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A0EA5" w14:textId="77777777" w:rsidR="00AE0FFB" w:rsidRDefault="00AE0FFB" w:rsidP="00AE0FFB">
      <w:pPr>
        <w:spacing w:after="0"/>
        <w:jc w:val="center"/>
        <w:rPr>
          <w:rFonts w:ascii="Times New Roman" w:hAnsi="Times New Roman" w:cs="Times New Roman"/>
          <w:b/>
          <w:sz w:val="32"/>
          <w:szCs w:val="32"/>
        </w:rPr>
      </w:pPr>
      <w:bookmarkStart w:id="0" w:name="_Hlk179032418"/>
      <w:bookmarkEnd w:id="0"/>
      <w:r>
        <w:rPr>
          <w:rFonts w:ascii="Times New Roman" w:hAnsi="Times New Roman" w:cs="Times New Roman"/>
          <w:b/>
          <w:sz w:val="32"/>
          <w:szCs w:val="32"/>
        </w:rPr>
        <w:t>An Accounting-Based Measure of Valuation Uncertainty</w:t>
      </w:r>
    </w:p>
    <w:p w14:paraId="7680C221" w14:textId="77777777" w:rsidR="00AE0FFB" w:rsidRPr="00C86847" w:rsidRDefault="00AE0FFB" w:rsidP="00AE0FFB">
      <w:pPr>
        <w:spacing w:after="0"/>
        <w:jc w:val="center"/>
        <w:rPr>
          <w:rFonts w:ascii="Times New Roman" w:hAnsi="Times New Roman" w:cs="Times New Roman"/>
          <w:b/>
          <w:sz w:val="32"/>
          <w:szCs w:val="32"/>
        </w:rPr>
      </w:pPr>
    </w:p>
    <w:p w14:paraId="44A4654C" w14:textId="77777777" w:rsidR="00AE0FFB" w:rsidRPr="00A146E8" w:rsidRDefault="00AE0FFB" w:rsidP="00AE0FFB">
      <w:pPr>
        <w:tabs>
          <w:tab w:val="left" w:pos="709"/>
        </w:tabs>
        <w:spacing w:after="100"/>
        <w:contextualSpacing/>
        <w:jc w:val="center"/>
        <w:rPr>
          <w:rFonts w:ascii="Times New Roman" w:hAnsi="Times New Roman"/>
          <w:sz w:val="24"/>
          <w:szCs w:val="24"/>
        </w:rPr>
      </w:pPr>
      <w:r>
        <w:rPr>
          <w:rFonts w:ascii="Times New Roman" w:hAnsi="Times New Roman"/>
          <w:sz w:val="24"/>
          <w:szCs w:val="24"/>
        </w:rPr>
        <w:t>Andrey Golubov and Theodosia Konstantinidi*</w:t>
      </w:r>
    </w:p>
    <w:p w14:paraId="71CEF171" w14:textId="77777777" w:rsidR="00AE0FFB" w:rsidRDefault="00AE0FFB" w:rsidP="00AE0FFB">
      <w:pPr>
        <w:jc w:val="center"/>
        <w:rPr>
          <w:rFonts w:ascii="Times New Roman" w:hAnsi="Times New Roman" w:cs="Times New Roman"/>
          <w:b/>
          <w:sz w:val="24"/>
          <w:szCs w:val="24"/>
        </w:rPr>
      </w:pPr>
    </w:p>
    <w:p w14:paraId="2B117E47" w14:textId="2DBCF809" w:rsidR="00AE0FFB" w:rsidRDefault="00AE0FFB" w:rsidP="00AE0FFB">
      <w:pPr>
        <w:jc w:val="center"/>
        <w:rPr>
          <w:rFonts w:ascii="Times New Roman" w:hAnsi="Times New Roman" w:cs="Times New Roman"/>
          <w:sz w:val="24"/>
          <w:szCs w:val="24"/>
        </w:rPr>
      </w:pPr>
      <w:r>
        <w:rPr>
          <w:rFonts w:ascii="Times New Roman" w:hAnsi="Times New Roman" w:cs="Times New Roman"/>
          <w:sz w:val="24"/>
          <w:szCs w:val="24"/>
        </w:rPr>
        <w:t>19 February 2026</w:t>
      </w:r>
    </w:p>
    <w:p w14:paraId="62CC7FEF" w14:textId="40CE5694" w:rsidR="00BA7EF3" w:rsidRDefault="00BA7EF3" w:rsidP="00AE0FFB">
      <w:pPr>
        <w:jc w:val="center"/>
        <w:rPr>
          <w:rFonts w:ascii="Times New Roman" w:hAnsi="Times New Roman" w:cs="Times New Roman"/>
          <w:sz w:val="24"/>
          <w:szCs w:val="24"/>
        </w:rPr>
      </w:pPr>
      <w:r w:rsidRPr="00BA7EF3">
        <w:rPr>
          <w:rFonts w:ascii="Times New Roman" w:hAnsi="Times New Roman" w:cs="Times New Roman"/>
          <w:i/>
          <w:iCs/>
          <w:sz w:val="24"/>
          <w:szCs w:val="24"/>
        </w:rPr>
        <w:t>The Accounting Review</w:t>
      </w:r>
      <w:r>
        <w:rPr>
          <w:rFonts w:ascii="Times New Roman" w:hAnsi="Times New Roman" w:cs="Times New Roman"/>
          <w:sz w:val="24"/>
          <w:szCs w:val="24"/>
        </w:rPr>
        <w:t>, forthcoming</w:t>
      </w:r>
    </w:p>
    <w:p w14:paraId="2A3D03B3" w14:textId="77777777" w:rsidR="00AE0FFB" w:rsidRDefault="00AE0FFB" w:rsidP="00AE0FFB">
      <w:pPr>
        <w:rPr>
          <w:rFonts w:ascii="Times New Roman" w:hAnsi="Times New Roman" w:cs="Times New Roman"/>
          <w:b/>
          <w:sz w:val="24"/>
          <w:szCs w:val="24"/>
        </w:rPr>
      </w:pPr>
    </w:p>
    <w:p w14:paraId="01C3BA21" w14:textId="20D53577" w:rsidR="00AE0FFB" w:rsidRDefault="00AE0FFB" w:rsidP="00AE0FFB">
      <w:pPr>
        <w:jc w:val="both"/>
        <w:rPr>
          <w:rFonts w:ascii="Times New Roman" w:hAnsi="Times New Roman" w:cs="Times New Roman"/>
          <w:sz w:val="24"/>
          <w:szCs w:val="24"/>
        </w:rPr>
      </w:pPr>
      <w:r w:rsidRPr="00701B1B">
        <w:rPr>
          <w:rFonts w:ascii="Times New Roman" w:hAnsi="Times New Roman" w:cs="Times New Roman"/>
          <w:b/>
          <w:sz w:val="24"/>
          <w:szCs w:val="24"/>
        </w:rPr>
        <w:t>ABSTRACT</w:t>
      </w:r>
      <w:r>
        <w:rPr>
          <w:rFonts w:ascii="Times New Roman" w:hAnsi="Times New Roman" w:cs="Times New Roman"/>
          <w:b/>
          <w:sz w:val="24"/>
          <w:szCs w:val="24"/>
        </w:rPr>
        <w:t xml:space="preserve">: </w:t>
      </w:r>
      <w:r>
        <w:rPr>
          <w:rFonts w:ascii="Times New Roman" w:hAnsi="Times New Roman" w:cs="Times New Roman"/>
          <w:sz w:val="24"/>
          <w:szCs w:val="24"/>
        </w:rPr>
        <w:t xml:space="preserve">Existing measures of valuation uncertainty are indirect or available for limited samples. </w:t>
      </w:r>
      <w:r w:rsidRPr="009129DD">
        <w:rPr>
          <w:rFonts w:ascii="Times New Roman" w:hAnsi="Times New Roman" w:cs="Times New Roman"/>
          <w:sz w:val="24"/>
          <w:szCs w:val="24"/>
          <w:lang w:val="en-US"/>
        </w:rPr>
        <w:t xml:space="preserve">We use an accounting-based valuation model to estimate a </w:t>
      </w:r>
      <w:r>
        <w:rPr>
          <w:rFonts w:ascii="Times New Roman" w:hAnsi="Times New Roman" w:cs="Times New Roman"/>
          <w:sz w:val="24"/>
          <w:szCs w:val="24"/>
          <w:lang w:val="en-US"/>
        </w:rPr>
        <w:t>set</w:t>
      </w:r>
      <w:r w:rsidRPr="009129DD">
        <w:rPr>
          <w:rFonts w:ascii="Times New Roman" w:hAnsi="Times New Roman" w:cs="Times New Roman"/>
          <w:sz w:val="24"/>
          <w:szCs w:val="24"/>
          <w:lang w:val="en-US"/>
        </w:rPr>
        <w:t xml:space="preserve"> of hypothetical intrinsic equity values and measure uncertainty by their spread</w:t>
      </w:r>
      <w:r w:rsidRPr="0069052D">
        <w:rPr>
          <w:rFonts w:ascii="Times New Roman" w:hAnsi="Times New Roman" w:cs="Times New Roman"/>
          <w:sz w:val="24"/>
          <w:szCs w:val="24"/>
        </w:rPr>
        <w:t>.</w:t>
      </w:r>
      <w:r>
        <w:rPr>
          <w:rFonts w:ascii="Times New Roman" w:hAnsi="Times New Roman" w:cs="Times New Roman"/>
          <w:sz w:val="24"/>
          <w:szCs w:val="24"/>
        </w:rPr>
        <w:t xml:space="preserve"> We show that our measure reflects both cash flow and discount rate uncertainty, explains price ranges in IPO prospectuses and M&amp;A fairness opinions, and incrementally predicts various future outcomes indicative of uncertainty. An application of our measure to a popular asset pricing context yields new insights </w:t>
      </w:r>
      <w:r w:rsidR="00137E00">
        <w:rPr>
          <w:rFonts w:ascii="Times New Roman" w:hAnsi="Times New Roman" w:cs="Times New Roman"/>
          <w:sz w:val="24"/>
          <w:szCs w:val="24"/>
        </w:rPr>
        <w:t>into</w:t>
      </w:r>
      <w:r>
        <w:rPr>
          <w:rFonts w:ascii="Times New Roman" w:hAnsi="Times New Roman" w:cs="Times New Roman"/>
          <w:sz w:val="24"/>
          <w:szCs w:val="24"/>
        </w:rPr>
        <w:t xml:space="preserve"> the properties of the value premium. Overall, our paper demonstrates how accounting information can be used to summarize uncertainty about intrinsic equity value.  </w:t>
      </w:r>
    </w:p>
    <w:p w14:paraId="4CC83E22" w14:textId="77777777" w:rsidR="00AE0FFB" w:rsidRDefault="00AE0FFB" w:rsidP="00AE0FFB">
      <w:pPr>
        <w:jc w:val="both"/>
        <w:rPr>
          <w:rFonts w:ascii="Times New Roman" w:hAnsi="Times New Roman" w:cs="Times New Roman"/>
          <w:sz w:val="24"/>
          <w:szCs w:val="24"/>
        </w:rPr>
      </w:pPr>
    </w:p>
    <w:p w14:paraId="39047665" w14:textId="77777777" w:rsidR="00AE0FFB" w:rsidRDefault="00AE0FFB" w:rsidP="00AE0FFB">
      <w:pPr>
        <w:jc w:val="both"/>
        <w:rPr>
          <w:rFonts w:ascii="Times New Roman" w:hAnsi="Times New Roman" w:cs="Times New Roman"/>
          <w:sz w:val="24"/>
          <w:szCs w:val="24"/>
        </w:rPr>
      </w:pPr>
    </w:p>
    <w:p w14:paraId="7B3EDB93" w14:textId="77777777" w:rsidR="00AE0FFB" w:rsidRDefault="00AE0FFB" w:rsidP="00AE0FFB">
      <w:pPr>
        <w:jc w:val="both"/>
        <w:rPr>
          <w:rFonts w:ascii="Times New Roman" w:hAnsi="Times New Roman" w:cs="Times New Roman"/>
          <w:sz w:val="24"/>
          <w:szCs w:val="24"/>
        </w:rPr>
      </w:pPr>
    </w:p>
    <w:p w14:paraId="357AA345" w14:textId="77777777" w:rsidR="00AE0FFB" w:rsidRPr="00FC1605" w:rsidRDefault="00AE0FFB" w:rsidP="00AE0FFB">
      <w:pPr>
        <w:jc w:val="both"/>
        <w:rPr>
          <w:rFonts w:ascii="Times New Roman" w:hAnsi="Times New Roman"/>
          <w:b/>
          <w:sz w:val="24"/>
          <w:szCs w:val="24"/>
        </w:rPr>
      </w:pPr>
      <w:r w:rsidRPr="00FC1605">
        <w:rPr>
          <w:rFonts w:ascii="Times New Roman" w:hAnsi="Times New Roman"/>
          <w:b/>
          <w:sz w:val="24"/>
          <w:szCs w:val="24"/>
        </w:rPr>
        <w:t xml:space="preserve">JEL classification: </w:t>
      </w:r>
      <w:r w:rsidRPr="00F4568A">
        <w:rPr>
          <w:rFonts w:ascii="Times New Roman" w:hAnsi="Times New Roman"/>
          <w:bCs/>
          <w:sz w:val="24"/>
          <w:szCs w:val="24"/>
        </w:rPr>
        <w:t xml:space="preserve">M41; </w:t>
      </w:r>
      <w:r>
        <w:rPr>
          <w:rFonts w:ascii="Times New Roman" w:hAnsi="Times New Roman"/>
          <w:sz w:val="24"/>
          <w:szCs w:val="24"/>
        </w:rPr>
        <w:t>G12; G14</w:t>
      </w:r>
    </w:p>
    <w:p w14:paraId="3CD65420" w14:textId="77777777" w:rsidR="00AE0FFB" w:rsidRDefault="00AE0FFB" w:rsidP="00AE0FFB">
      <w:pPr>
        <w:spacing w:line="360" w:lineRule="auto"/>
        <w:jc w:val="both"/>
        <w:rPr>
          <w:rFonts w:ascii="Times New Roman" w:hAnsi="Times New Roman"/>
          <w:sz w:val="24"/>
          <w:szCs w:val="24"/>
        </w:rPr>
      </w:pPr>
      <w:r>
        <w:rPr>
          <w:rFonts w:ascii="Times New Roman" w:hAnsi="Times New Roman"/>
          <w:b/>
          <w:sz w:val="24"/>
          <w:szCs w:val="24"/>
        </w:rPr>
        <w:t xml:space="preserve">Keywords: </w:t>
      </w:r>
      <w:r>
        <w:rPr>
          <w:rFonts w:ascii="Times New Roman" w:hAnsi="Times New Roman"/>
          <w:sz w:val="24"/>
          <w:szCs w:val="24"/>
        </w:rPr>
        <w:t>Valuation uncertainty, residual income valuation, valuation mistakes, value premium</w:t>
      </w:r>
    </w:p>
    <w:p w14:paraId="05662319" w14:textId="77777777" w:rsidR="00AE0FFB" w:rsidRDefault="00AE0FFB" w:rsidP="00AE0FFB">
      <w:pPr>
        <w:jc w:val="both"/>
        <w:rPr>
          <w:rFonts w:ascii="Times New Roman" w:hAnsi="Times New Roman"/>
          <w:sz w:val="20"/>
          <w:szCs w:val="20"/>
        </w:rPr>
      </w:pPr>
    </w:p>
    <w:p w14:paraId="3A5D36E5" w14:textId="77777777" w:rsidR="00AE0FFB" w:rsidRDefault="00AE0FFB" w:rsidP="00AE0FFB">
      <w:pPr>
        <w:jc w:val="both"/>
        <w:rPr>
          <w:rFonts w:ascii="Times New Roman" w:hAnsi="Times New Roman"/>
          <w:sz w:val="20"/>
          <w:szCs w:val="20"/>
        </w:rPr>
      </w:pPr>
    </w:p>
    <w:p w14:paraId="250FCD9A" w14:textId="24B67947" w:rsidR="00AE0FFB" w:rsidRDefault="00AE0FFB" w:rsidP="00AE0FFB">
      <w:pPr>
        <w:jc w:val="both"/>
        <w:rPr>
          <w:rFonts w:ascii="Times New Roman" w:hAnsi="Times New Roman"/>
          <w:sz w:val="20"/>
          <w:szCs w:val="20"/>
          <w:lang w:val="en-US"/>
        </w:rPr>
      </w:pPr>
      <w:r>
        <w:rPr>
          <w:rFonts w:ascii="Times New Roman" w:hAnsi="Times New Roman"/>
          <w:sz w:val="20"/>
          <w:szCs w:val="20"/>
        </w:rPr>
        <w:t xml:space="preserve">* </w:t>
      </w:r>
      <w:r w:rsidRPr="00073A6F">
        <w:rPr>
          <w:rFonts w:ascii="Times New Roman" w:hAnsi="Times New Roman"/>
          <w:sz w:val="20"/>
          <w:szCs w:val="20"/>
          <w:lang w:val="en-US"/>
        </w:rPr>
        <w:t>Golubov is from the Rotman School of Management, University of Toronto, 105 St. George Street, Toronto, ON, M5S 3E6, Canada (</w:t>
      </w:r>
      <w:hyperlink r:id="rId11" w:history="1">
        <w:r w:rsidRPr="00B8366E">
          <w:rPr>
            <w:rStyle w:val="Hyperlink"/>
            <w:rFonts w:ascii="Times New Roman" w:hAnsi="Times New Roman"/>
            <w:sz w:val="20"/>
            <w:szCs w:val="20"/>
            <w:lang w:val="en-US"/>
          </w:rPr>
          <w:t>andrey.golubov@rotman.utoronto.ca</w:t>
        </w:r>
      </w:hyperlink>
      <w:r>
        <w:rPr>
          <w:rFonts w:ascii="Times New Roman" w:hAnsi="Times New Roman"/>
          <w:sz w:val="20"/>
          <w:szCs w:val="20"/>
          <w:lang w:val="en-US"/>
        </w:rPr>
        <w:t>). Konstantinidi is from Bayes Business School, City St George’s, University of London, 106 Bunhill Row, London, EC1Y 8TZ, United Kingdom (</w:t>
      </w:r>
      <w:hyperlink r:id="rId12" w:history="1">
        <w:r w:rsidRPr="005D5855">
          <w:rPr>
            <w:rStyle w:val="Hyperlink"/>
            <w:rFonts w:ascii="Times New Roman" w:hAnsi="Times New Roman" w:cs="Times New Roman"/>
            <w:sz w:val="20"/>
            <w:szCs w:val="20"/>
          </w:rPr>
          <w:t>sonia.konstantinidi.1@citystgeorges.ac.uk</w:t>
        </w:r>
      </w:hyperlink>
      <w:r>
        <w:rPr>
          <w:rFonts w:ascii="Times New Roman" w:hAnsi="Times New Roman"/>
          <w:sz w:val="20"/>
          <w:szCs w:val="20"/>
          <w:lang w:val="en-US"/>
        </w:rPr>
        <w:t>). We are grateful to</w:t>
      </w:r>
      <w:r w:rsidR="006517DB">
        <w:rPr>
          <w:rFonts w:ascii="Times New Roman" w:hAnsi="Times New Roman"/>
          <w:sz w:val="20"/>
          <w:szCs w:val="20"/>
          <w:lang w:val="en-US"/>
        </w:rPr>
        <w:t xml:space="preserve"> </w:t>
      </w:r>
      <w:r w:rsidR="006517DB" w:rsidRPr="006517DB">
        <w:rPr>
          <w:rFonts w:ascii="Times New Roman" w:hAnsi="Times New Roman"/>
          <w:sz w:val="20"/>
          <w:szCs w:val="20"/>
          <w:lang w:val="en-US"/>
        </w:rPr>
        <w:t>the Editor (Maria Ogneva), two anonymous referees</w:t>
      </w:r>
      <w:r w:rsidR="006517DB">
        <w:rPr>
          <w:rFonts w:ascii="Times New Roman" w:hAnsi="Times New Roman"/>
          <w:sz w:val="20"/>
          <w:szCs w:val="20"/>
          <w:lang w:val="en-US"/>
        </w:rPr>
        <w:t>, as well as</w:t>
      </w:r>
      <w:r w:rsidRPr="006517DB">
        <w:rPr>
          <w:rFonts w:ascii="Times New Roman" w:hAnsi="Times New Roman"/>
          <w:sz w:val="20"/>
          <w:szCs w:val="20"/>
          <w:lang w:val="en-US"/>
        </w:rPr>
        <w:t xml:space="preserve"> Yakov</w:t>
      </w:r>
      <w:r>
        <w:rPr>
          <w:rFonts w:ascii="Times New Roman" w:hAnsi="Times New Roman"/>
          <w:sz w:val="20"/>
          <w:szCs w:val="20"/>
          <w:lang w:val="en-US"/>
        </w:rPr>
        <w:t xml:space="preserve"> Amihud, Mark Bradshaw, Max Bruche, Ettore Croci, Zhi Da, Alex Edmans, Chris Florackis, Peter Joos, Raymond Kan, Maria Ogneva, Chay Ornthanalai, Stephen Penman, Dimitris </w:t>
      </w:r>
      <w:proofErr w:type="spellStart"/>
      <w:r>
        <w:rPr>
          <w:rFonts w:ascii="Times New Roman" w:hAnsi="Times New Roman"/>
          <w:sz w:val="20"/>
          <w:szCs w:val="20"/>
          <w:lang w:val="en-US"/>
        </w:rPr>
        <w:t>Petmezas</w:t>
      </w:r>
      <w:proofErr w:type="spellEnd"/>
      <w:r>
        <w:rPr>
          <w:rFonts w:ascii="Times New Roman" w:hAnsi="Times New Roman"/>
          <w:sz w:val="20"/>
          <w:szCs w:val="20"/>
          <w:lang w:val="en-US"/>
        </w:rPr>
        <w:t>, Scott Richardson, Susanne Siedhoff, Mikhail Simutin, Wenyu Wang, Alfred Yawson, and Huizhong (Jodie) Zhang for useful comments. We also thank audiences at the FMA Europe 2022 Conference and the Bank of Canada 2021 Fellowship Learning Exchange, as well as seminar participants at Birkbeck, University of London, City</w:t>
      </w:r>
      <w:r w:rsidR="006517DB">
        <w:rPr>
          <w:rFonts w:ascii="Times New Roman" w:hAnsi="Times New Roman"/>
          <w:sz w:val="20"/>
          <w:szCs w:val="20"/>
          <w:lang w:val="en-US"/>
        </w:rPr>
        <w:t xml:space="preserve"> St George’s</w:t>
      </w:r>
      <w:r>
        <w:rPr>
          <w:rFonts w:ascii="Times New Roman" w:hAnsi="Times New Roman"/>
          <w:sz w:val="20"/>
          <w:szCs w:val="20"/>
          <w:lang w:val="en-US"/>
        </w:rPr>
        <w:t>, University of London (Bayes), ESSEC Business School, HEC Montr</w:t>
      </w:r>
      <w:r w:rsidRPr="005249AD">
        <w:rPr>
          <w:rFonts w:ascii="Times New Roman" w:hAnsi="Times New Roman"/>
          <w:sz w:val="20"/>
          <w:szCs w:val="20"/>
          <w:lang w:val="en-US"/>
        </w:rPr>
        <w:t>é</w:t>
      </w:r>
      <w:r>
        <w:rPr>
          <w:rFonts w:ascii="Times New Roman" w:hAnsi="Times New Roman"/>
          <w:sz w:val="20"/>
          <w:szCs w:val="20"/>
          <w:lang w:val="en-US"/>
        </w:rPr>
        <w:t>al, Higher School of Economics, INSEAD, McGill University (Desautels), New Economic School, Norwegian School of Economics (NHH), SKEMA Business School, Universit</w:t>
      </w:r>
      <w:r w:rsidRPr="00E72089">
        <w:rPr>
          <w:rFonts w:ascii="Times New Roman" w:hAnsi="Times New Roman" w:cs="Times New Roman"/>
          <w:sz w:val="20"/>
          <w:szCs w:val="20"/>
          <w:lang w:val="en-US"/>
        </w:rPr>
        <w:t>à</w:t>
      </w:r>
      <w:r>
        <w:rPr>
          <w:rFonts w:ascii="Times New Roman" w:hAnsi="Times New Roman"/>
          <w:sz w:val="20"/>
          <w:szCs w:val="20"/>
          <w:lang w:val="en-US"/>
        </w:rPr>
        <w:t xml:space="preserve"> di Bologna, University of British Columbia (Sauder), University of Groningen, University of Manchester, University of Melbourne, University of South Carolina (Darla Moore), University of Toronto (Rotman), and University of Wisconsin Milwaukee (Lubar). </w:t>
      </w:r>
      <w:r w:rsidRPr="00FD6DD9">
        <w:rPr>
          <w:rFonts w:ascii="Times New Roman" w:hAnsi="Times New Roman"/>
          <w:sz w:val="20"/>
          <w:szCs w:val="20"/>
          <w:lang w:val="en-US"/>
        </w:rPr>
        <w:t>Golubov acknowledges financial support from the Bank of Canada Governor's Award. The views expressed herein are not necessarily those of the Bank of Canada and are the authors' alone.</w:t>
      </w:r>
    </w:p>
    <w:p w14:paraId="7DEB2DC7" w14:textId="77777777" w:rsidR="00BA7EF3" w:rsidRDefault="00BA7EF3" w:rsidP="00BB09AC">
      <w:pPr>
        <w:spacing w:after="0" w:line="480" w:lineRule="auto"/>
        <w:jc w:val="center"/>
        <w:rPr>
          <w:rFonts w:ascii="Times New Roman" w:hAnsi="Times New Roman" w:cs="Times New Roman"/>
          <w:b/>
          <w:sz w:val="24"/>
          <w:szCs w:val="24"/>
        </w:rPr>
      </w:pPr>
    </w:p>
    <w:p w14:paraId="60748864" w14:textId="3BD88ECD" w:rsidR="00131339" w:rsidRDefault="00BB09AC" w:rsidP="00BB09A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w:t>
      </w:r>
      <w:r w:rsidR="005C7CA4" w:rsidRPr="005C7CA4">
        <w:rPr>
          <w:rFonts w:ascii="Times New Roman" w:hAnsi="Times New Roman" w:cs="Times New Roman"/>
          <w:b/>
          <w:sz w:val="24"/>
          <w:szCs w:val="24"/>
        </w:rPr>
        <w:t xml:space="preserve">. </w:t>
      </w:r>
      <w:r w:rsidRPr="005C7CA4">
        <w:rPr>
          <w:rFonts w:ascii="Times New Roman" w:hAnsi="Times New Roman" w:cs="Times New Roman"/>
          <w:b/>
          <w:sz w:val="24"/>
          <w:szCs w:val="24"/>
        </w:rPr>
        <w:t>INTRODUCTION</w:t>
      </w:r>
    </w:p>
    <w:p w14:paraId="695D1C89" w14:textId="2E5C068C" w:rsidR="0015360E" w:rsidRDefault="0015360E" w:rsidP="00E53B52">
      <w:pPr>
        <w:tabs>
          <w:tab w:val="left" w:pos="1985"/>
        </w:tabs>
        <w:spacing w:after="0" w:line="480" w:lineRule="auto"/>
        <w:jc w:val="both"/>
        <w:rPr>
          <w:rFonts w:ascii="Times New Roman" w:hAnsi="Times New Roman" w:cs="Times New Roman"/>
          <w:bCs/>
          <w:sz w:val="24"/>
          <w:szCs w:val="24"/>
        </w:rPr>
      </w:pPr>
      <w:r w:rsidRPr="005C525B">
        <w:rPr>
          <w:rFonts w:ascii="Times New Roman" w:hAnsi="Times New Roman" w:cs="Times New Roman"/>
          <w:bCs/>
          <w:sz w:val="24"/>
          <w:szCs w:val="24"/>
        </w:rPr>
        <w:t xml:space="preserve">The main </w:t>
      </w:r>
      <w:r>
        <w:rPr>
          <w:rFonts w:ascii="Times New Roman" w:hAnsi="Times New Roman" w:cs="Times New Roman"/>
          <w:bCs/>
          <w:sz w:val="24"/>
          <w:szCs w:val="24"/>
        </w:rPr>
        <w:t>purpose</w:t>
      </w:r>
      <w:r w:rsidRPr="005C525B">
        <w:rPr>
          <w:rFonts w:ascii="Times New Roman" w:hAnsi="Times New Roman" w:cs="Times New Roman"/>
          <w:bCs/>
          <w:sz w:val="24"/>
          <w:szCs w:val="24"/>
        </w:rPr>
        <w:t xml:space="preserve"> of financial reporting is to aid investors in forming economic decisions (</w:t>
      </w:r>
      <w:r w:rsidR="00026D6B">
        <w:rPr>
          <w:rFonts w:ascii="Times New Roman" w:hAnsi="Times New Roman" w:cs="Times New Roman"/>
          <w:bCs/>
          <w:sz w:val="24"/>
          <w:szCs w:val="24"/>
        </w:rPr>
        <w:t xml:space="preserve">SFAC No. 8, </w:t>
      </w:r>
      <w:hyperlink w:anchor="_ENREF_32" w:tooltip="FASB, 2021 #1822"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AuthorYear="1"&gt;&lt;Author&gt;FASB&lt;/Author&gt;&lt;Year&gt;2021&lt;/Year&gt;&lt;RecNum&gt;1822&lt;/RecNum&gt;&lt;DisplayText&gt;FASB (2021)&lt;/DisplayText&gt;&lt;record&gt;&lt;rec-number&gt;1822&lt;/rec-number&gt;&lt;foreign-keys&gt;&lt;key app="EN" db-id="a00ppf5vbz2zw4efraqp9recxrvdwwtasszf" timestamp="1689677456"&gt;1822&lt;/key&gt;&lt;/foreign-keys&gt;&lt;ref-type name="Legal Rule or Regulation"&gt;50&lt;/ref-type&gt;&lt;contributors&gt;&lt;authors&gt;&lt;author&gt;FASB&lt;/author&gt;&lt;/authors&gt;&lt;secondary-authors&gt;&lt;author&gt;Financial Accounting Standard Board&lt;/author&gt;&lt;/secondary-authors&gt;&lt;/contributors&gt;&lt;titles&gt;&lt;title&gt;Statement of Financial Accounting Concepts No. 8&lt;/title&gt;&lt;/titles&gt;&lt;dates&gt;&lt;year&gt;2021&lt;/year&gt;&lt;/dates&gt;&lt;pub-location&gt;Norwalk, Connecticut&lt;/pub-location&gt;&lt;urls&gt;&lt;/urls&gt;&lt;/record&gt;&lt;/Cite&gt;&lt;/EndNote&gt;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FASB (2021)</w:t>
        </w:r>
        <w:r w:rsidR="00A4299A">
          <w:rPr>
            <w:rFonts w:ascii="Times New Roman" w:hAnsi="Times New Roman" w:cs="Times New Roman"/>
            <w:bCs/>
            <w:sz w:val="24"/>
            <w:szCs w:val="24"/>
          </w:rPr>
          <w:fldChar w:fldCharType="end"/>
        </w:r>
      </w:hyperlink>
      <w:r w:rsidRPr="005C525B">
        <w:rPr>
          <w:rFonts w:ascii="Times New Roman" w:hAnsi="Times New Roman" w:cs="Times New Roman"/>
          <w:bCs/>
          <w:sz w:val="24"/>
          <w:szCs w:val="24"/>
        </w:rPr>
        <w:t xml:space="preserve">). </w:t>
      </w:r>
      <w:r>
        <w:rPr>
          <w:rFonts w:ascii="Times New Roman" w:hAnsi="Times New Roman" w:cs="Times New Roman"/>
          <w:bCs/>
          <w:sz w:val="24"/>
          <w:szCs w:val="24"/>
        </w:rPr>
        <w:t xml:space="preserve">Such </w:t>
      </w:r>
      <w:r w:rsidRPr="005C525B">
        <w:rPr>
          <w:rFonts w:ascii="Times New Roman" w:hAnsi="Times New Roman" w:cs="Times New Roman"/>
          <w:bCs/>
          <w:sz w:val="24"/>
          <w:szCs w:val="24"/>
        </w:rPr>
        <w:t xml:space="preserve">decisions </w:t>
      </w:r>
      <w:r>
        <w:rPr>
          <w:rFonts w:ascii="Times New Roman" w:hAnsi="Times New Roman" w:cs="Times New Roman"/>
          <w:bCs/>
          <w:sz w:val="24"/>
          <w:szCs w:val="24"/>
        </w:rPr>
        <w:t>often require estimati</w:t>
      </w:r>
      <w:r w:rsidR="001A217E">
        <w:rPr>
          <w:rFonts w:ascii="Times New Roman" w:hAnsi="Times New Roman" w:cs="Times New Roman"/>
          <w:bCs/>
          <w:sz w:val="24"/>
          <w:szCs w:val="24"/>
        </w:rPr>
        <w:t>ng</w:t>
      </w:r>
      <w:r>
        <w:rPr>
          <w:rFonts w:ascii="Times New Roman" w:hAnsi="Times New Roman" w:cs="Times New Roman"/>
          <w:bCs/>
          <w:sz w:val="24"/>
          <w:szCs w:val="24"/>
        </w:rPr>
        <w:t xml:space="preserve"> not only expected equity values, but also their likely ranges – valuations are inherently uncertain.</w:t>
      </w:r>
      <w:r w:rsidRPr="005C525B">
        <w:rPr>
          <w:rFonts w:ascii="Times New Roman" w:hAnsi="Times New Roman" w:cs="Times New Roman"/>
          <w:bCs/>
          <w:sz w:val="24"/>
          <w:szCs w:val="24"/>
        </w:rPr>
        <w:t xml:space="preserve"> </w:t>
      </w:r>
      <w:r>
        <w:rPr>
          <w:rFonts w:ascii="Times New Roman" w:hAnsi="Times New Roman" w:cs="Times New Roman"/>
          <w:bCs/>
          <w:sz w:val="24"/>
          <w:szCs w:val="24"/>
        </w:rPr>
        <w:t xml:space="preserve">The accounting literature has focused primarily on the former task, producing accounting based-valuation models in which financial statement information </w:t>
      </w:r>
      <w:r w:rsidR="001A217E">
        <w:rPr>
          <w:rFonts w:ascii="Times New Roman" w:hAnsi="Times New Roman" w:cs="Times New Roman"/>
          <w:bCs/>
          <w:sz w:val="24"/>
          <w:szCs w:val="24"/>
        </w:rPr>
        <w:t>is</w:t>
      </w:r>
      <w:r>
        <w:rPr>
          <w:rFonts w:ascii="Times New Roman" w:hAnsi="Times New Roman" w:cs="Times New Roman"/>
          <w:bCs/>
          <w:sz w:val="24"/>
          <w:szCs w:val="24"/>
        </w:rPr>
        <w:t xml:space="preserve"> used to estimate expected</w:t>
      </w:r>
      <w:r>
        <w:rPr>
          <w:rFonts w:ascii="Times New Roman" w:hAnsi="Times New Roman" w:cs="Times New Roman"/>
          <w:bCs/>
          <w:i/>
          <w:iCs/>
          <w:sz w:val="24"/>
          <w:szCs w:val="24"/>
        </w:rPr>
        <w:t xml:space="preserve"> </w:t>
      </w:r>
      <w:r>
        <w:rPr>
          <w:rFonts w:ascii="Times New Roman" w:hAnsi="Times New Roman" w:cs="Times New Roman"/>
          <w:bCs/>
          <w:sz w:val="24"/>
          <w:szCs w:val="24"/>
        </w:rPr>
        <w:t>equity values</w:t>
      </w:r>
      <w:r w:rsidRPr="005C525B">
        <w:rPr>
          <w:rFonts w:ascii="Times New Roman" w:hAnsi="Times New Roman" w:cs="Times New Roman"/>
          <w:bCs/>
          <w:sz w:val="24"/>
          <w:szCs w:val="24"/>
        </w:rPr>
        <w:t xml:space="preserve"> (</w:t>
      </w:r>
      <w:r>
        <w:rPr>
          <w:rFonts w:ascii="Times New Roman" w:hAnsi="Times New Roman" w:cs="Times New Roman"/>
          <w:bCs/>
          <w:sz w:val="24"/>
          <w:szCs w:val="24"/>
        </w:rPr>
        <w:t xml:space="preserve">e.g., </w:t>
      </w:r>
      <w:hyperlink w:anchor="_ENREF_58" w:tooltip="Ohlson, 1995 #1799"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AuthorYear="1"&gt;&lt;Author&gt;Ohlson&lt;/Author&gt;&lt;Year&gt;1995&lt;/Year&gt;&lt;RecNum&gt;1799&lt;/RecNum&gt;&lt;DisplayText&gt;Ohlson (1995)&lt;/DisplayText&gt;&lt;record&gt;&lt;rec-number&gt;1799&lt;/rec-number&gt;&lt;foreign-keys&gt;&lt;key app="EN" db-id="a00ppf5vbz2zw4efraqp9recxrvdwwtasszf" timestamp="1687442359"&gt;1799&lt;/key&gt;&lt;/foreign-keys&gt;&lt;ref-type name="Journal Article"&gt;17&lt;/ref-type&gt;&lt;contributors&gt;&lt;authors&gt;&lt;author&gt;Ohlson, James A.&lt;/author&gt;&lt;/authors&gt;&lt;/contributors&gt;&lt;titles&gt;&lt;title&gt;Earnings, Book Values, and Dividends in Equity Valuation&lt;/title&gt;&lt;secondary-title&gt;Contemporary Accounting Research&lt;/secondary-title&gt;&lt;/titles&gt;&lt;periodical&gt;&lt;full-title&gt;Contemporary Accounting Research&lt;/full-title&gt;&lt;/periodical&gt;&lt;pages&gt;661-687&lt;/pages&gt;&lt;volume&gt;11&lt;/volume&gt;&lt;number&gt;2&lt;/number&gt;&lt;dates&gt;&lt;year&gt;1995&lt;/year&gt;&lt;/dates&gt;&lt;isbn&gt;0823-9150&lt;/isbn&gt;&lt;urls&gt;&lt;related-urls&gt;&lt;url&gt;https://onlinelibrary.wiley.com/doi/abs/10.1111/j.1911-3846.1995.tb00461.x&lt;/url&gt;&lt;/related-urls&gt;&lt;/urls&gt;&lt;electronic-resource-num&gt;https://doi.org/10.1111/j.1911-3846.1995.tb00461.x&lt;/electronic-resource-num&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Ohlson (1995)</w:t>
        </w:r>
        <w:r w:rsidR="00A4299A">
          <w:rPr>
            <w:rFonts w:ascii="Times New Roman" w:hAnsi="Times New Roman" w:cs="Times New Roman"/>
            <w:bCs/>
            <w:sz w:val="24"/>
            <w:szCs w:val="24"/>
          </w:rPr>
          <w:fldChar w:fldCharType="end"/>
        </w:r>
      </w:hyperlink>
      <w:r w:rsidRPr="005C525B">
        <w:rPr>
          <w:rFonts w:ascii="Times New Roman" w:hAnsi="Times New Roman" w:cs="Times New Roman"/>
          <w:bCs/>
          <w:sz w:val="24"/>
          <w:szCs w:val="24"/>
        </w:rPr>
        <w:t>,</w:t>
      </w:r>
      <w:r w:rsidR="005F67F0">
        <w:rPr>
          <w:rFonts w:ascii="Times New Roman" w:hAnsi="Times New Roman" w:cs="Times New Roman"/>
          <w:bCs/>
          <w:sz w:val="24"/>
          <w:szCs w:val="24"/>
        </w:rPr>
        <w:t xml:space="preserve"> </w:t>
      </w:r>
      <w:hyperlink w:anchor="_ENREF_33" w:tooltip="Feltham, 1995 #1798"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AuthorYear="1"&gt;&lt;Author&gt;Feltham&lt;/Author&gt;&lt;Year&gt;1995&lt;/Year&gt;&lt;RecNum&gt;1798&lt;/RecNum&gt;&lt;DisplayText&gt;Feltham and Ohlson (1995)&lt;/DisplayText&gt;&lt;record&gt;&lt;rec-number&gt;1798&lt;/rec-number&gt;&lt;foreign-keys&gt;&lt;key app="EN" db-id="a00ppf5vbz2zw4efraqp9recxrvdwwtasszf" timestamp="1687436200"&gt;1798&lt;/key&gt;&lt;/foreign-keys&gt;&lt;ref-type name="Journal Article"&gt;17&lt;/ref-type&gt;&lt;contributors&gt;&lt;authors&gt;&lt;author&gt;Feltham, Gerald A.&lt;/author&gt;&lt;author&gt;Ohlson, James A.&lt;/author&gt;&lt;/authors&gt;&lt;/contributors&gt;&lt;titles&gt;&lt;title&gt;Valuation and Clean Surplus Accounting for Operating and Financial Activities&lt;/title&gt;&lt;secondary-title&gt;Contemporary Accounting Research&lt;/secondary-title&gt;&lt;/titles&gt;&lt;periodical&gt;&lt;full-title&gt;Contemporary Accounting Research&lt;/full-title&gt;&lt;/periodical&gt;&lt;pages&gt;689-731&lt;/pages&gt;&lt;volume&gt;11&lt;/volume&gt;&lt;number&gt;2&lt;/number&gt;&lt;dates&gt;&lt;year&gt;1995&lt;/year&gt;&lt;/dates&gt;&lt;isbn&gt;0823-9150&lt;/isbn&gt;&lt;urls&gt;&lt;related-urls&gt;&lt;url&gt;https://onlinelibrary.wiley.com/doi/abs/10.1111/j.1911-3846.1995.tb00462.x&lt;/url&gt;&lt;/related-urls&gt;&lt;/urls&gt;&lt;electronic-resource-num&gt;https://doi.org/10.1111/j.1911-3846.1995.tb00462.x&lt;/electronic-resource-num&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Feltham and Ohlson (1995)</w:t>
        </w:r>
        <w:r w:rsidR="00A4299A">
          <w:rPr>
            <w:rFonts w:ascii="Times New Roman" w:hAnsi="Times New Roman" w:cs="Times New Roman"/>
            <w:bCs/>
            <w:sz w:val="24"/>
            <w:szCs w:val="24"/>
          </w:rPr>
          <w:fldChar w:fldCharType="end"/>
        </w:r>
      </w:hyperlink>
      <w:r>
        <w:rPr>
          <w:rFonts w:ascii="Times New Roman" w:hAnsi="Times New Roman" w:cs="Times New Roman"/>
          <w:bCs/>
          <w:sz w:val="24"/>
          <w:szCs w:val="24"/>
        </w:rPr>
        <w:t xml:space="preserve">). This literature has also </w:t>
      </w:r>
      <w:r w:rsidR="001A217E">
        <w:rPr>
          <w:rFonts w:ascii="Times New Roman" w:hAnsi="Times New Roman" w:cs="Times New Roman"/>
          <w:bCs/>
          <w:sz w:val="24"/>
          <w:szCs w:val="24"/>
        </w:rPr>
        <w:t xml:space="preserve">studied </w:t>
      </w:r>
      <w:r>
        <w:rPr>
          <w:rFonts w:ascii="Times New Roman" w:hAnsi="Times New Roman" w:cs="Times New Roman"/>
          <w:bCs/>
          <w:sz w:val="24"/>
          <w:szCs w:val="24"/>
        </w:rPr>
        <w:t>the role of</w:t>
      </w:r>
      <w:r w:rsidR="003F70D4">
        <w:rPr>
          <w:rFonts w:ascii="Times New Roman" w:hAnsi="Times New Roman" w:cs="Times New Roman"/>
          <w:bCs/>
          <w:sz w:val="24"/>
          <w:szCs w:val="24"/>
        </w:rPr>
        <w:t xml:space="preserve"> various</w:t>
      </w:r>
      <w:r>
        <w:rPr>
          <w:rFonts w:ascii="Times New Roman" w:hAnsi="Times New Roman" w:cs="Times New Roman"/>
          <w:bCs/>
          <w:sz w:val="24"/>
          <w:szCs w:val="24"/>
        </w:rPr>
        <w:t xml:space="preserve"> accounting </w:t>
      </w:r>
      <w:r w:rsidR="003F70D4">
        <w:rPr>
          <w:rFonts w:ascii="Times New Roman" w:hAnsi="Times New Roman" w:cs="Times New Roman"/>
          <w:bCs/>
          <w:sz w:val="24"/>
          <w:szCs w:val="24"/>
        </w:rPr>
        <w:t xml:space="preserve">items </w:t>
      </w:r>
      <w:r>
        <w:rPr>
          <w:rFonts w:ascii="Times New Roman" w:hAnsi="Times New Roman" w:cs="Times New Roman"/>
          <w:bCs/>
          <w:sz w:val="24"/>
          <w:szCs w:val="24"/>
        </w:rPr>
        <w:t xml:space="preserve">in explaining observed equity prices (e.g., </w:t>
      </w:r>
      <w:hyperlink w:anchor="_ENREF_9" w:tooltip="Barth, 1999 #1821"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AuthorYear="1"&gt;&lt;Author&gt;Barth&lt;/Author&gt;&lt;Year&gt;1999&lt;/Year&gt;&lt;RecNum&gt;1821&lt;/RecNum&gt;&lt;DisplayText&gt;Barth, Beaver, Hand, and Landsman (1999)&lt;/DisplayText&gt;&lt;record&gt;&lt;rec-number&gt;1821&lt;/rec-number&gt;&lt;foreign-keys&gt;&lt;key app="EN" db-id="a00ppf5vbz2zw4efraqp9recxrvdwwtasszf" timestamp="1689674902"&gt;1821&lt;/key&gt;&lt;/foreign-keys&gt;&lt;ref-type name="Journal Article"&gt;17&lt;/ref-type&gt;&lt;contributors&gt;&lt;authors&gt;&lt;author&gt;Barth, Mary E.&lt;/author&gt;&lt;author&gt;Beaver, William H.&lt;/author&gt;&lt;author&gt;Hand, John R. M.&lt;/author&gt;&lt;author&gt;Landsman, Wayne R.&lt;/author&gt;&lt;/authors&gt;&lt;/contributors&gt;&lt;titles&gt;&lt;title&gt;Accruals, Cash Flows, and Equity Values&lt;/title&gt;&lt;secondary-title&gt;Review of Accounting Studies&lt;/secondary-title&gt;&lt;/titles&gt;&lt;pages&gt;205-229&lt;/pages&gt;&lt;volume&gt;4&lt;/volume&gt;&lt;number&gt;3&lt;/number&gt;&lt;dates&gt;&lt;year&gt;1999&lt;/year&gt;&lt;pub-dates&gt;&lt;date&gt;1999/12/01&lt;/date&gt;&lt;/pub-dates&gt;&lt;/dates&gt;&lt;isbn&gt;1573-7136&lt;/isbn&gt;&lt;urls&gt;&lt;related-urls&gt;&lt;url&gt;https://doi.org/10.1023/A:1009630100586&lt;/url&gt;&lt;/related-urls&gt;&lt;/urls&gt;&lt;electronic-resource-num&gt;10.1023/A:1009630100586&lt;/electronic-resource-num&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Barth, Beaver, Hand, and Landsman (1999)</w:t>
        </w:r>
        <w:r w:rsidR="00A4299A">
          <w:rPr>
            <w:rFonts w:ascii="Times New Roman" w:hAnsi="Times New Roman" w:cs="Times New Roman"/>
            <w:bCs/>
            <w:sz w:val="24"/>
            <w:szCs w:val="24"/>
          </w:rPr>
          <w:fldChar w:fldCharType="end"/>
        </w:r>
      </w:hyperlink>
      <w:r w:rsidR="007556DA">
        <w:rPr>
          <w:rFonts w:ascii="Times New Roman" w:hAnsi="Times New Roman" w:cs="Times New Roman"/>
          <w:bCs/>
          <w:sz w:val="24"/>
          <w:szCs w:val="24"/>
        </w:rPr>
        <w:t xml:space="preserve">, </w:t>
      </w:r>
      <w:hyperlink w:anchor="_ENREF_22" w:tooltip="Collins, 1997 #1820"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AuthorYear="1"&gt;&lt;Author&gt;Collins&lt;/Author&gt;&lt;Year&gt;1997&lt;/Year&gt;&lt;RecNum&gt;1820&lt;/RecNum&gt;&lt;DisplayText&gt;Collins, Maydew, and Weiss (1997)&lt;/DisplayText&gt;&lt;record&gt;&lt;rec-number&gt;1820&lt;/rec-number&gt;&lt;foreign-keys&gt;&lt;key app="EN" db-id="a00ppf5vbz2zw4efraqp9recxrvdwwtasszf" timestamp="1688136771"&gt;1820&lt;/key&gt;&lt;/foreign-keys&gt;&lt;ref-type name="Journal Article"&gt;17&lt;/ref-type&gt;&lt;contributors&gt;&lt;authors&gt;&lt;author&gt;Collins, Daniel W.&lt;/author&gt;&lt;author&gt;Maydew, Edward L.&lt;/author&gt;&lt;author&gt;Weiss, Ira S.&lt;/author&gt;&lt;/authors&gt;&lt;/contributors&gt;&lt;titles&gt;&lt;title&gt;Changes in the value-relevance of earnings and book values over the past forty years&lt;/title&gt;&lt;secondary-title&gt;Journal of Accounting and Economics&lt;/secondary-title&gt;&lt;/titles&gt;&lt;periodical&gt;&lt;full-title&gt;Journal of Accounting and Economics&lt;/full-title&gt;&lt;/periodical&gt;&lt;pages&gt;39-67&lt;/pages&gt;&lt;volume&gt;24&lt;/volume&gt;&lt;number&gt;1&lt;/number&gt;&lt;keywords&gt;&lt;keyword&gt;Capital markets&lt;/keyword&gt;&lt;keyword&gt;Financial reporting&lt;/keyword&gt;&lt;/keywords&gt;&lt;dates&gt;&lt;year&gt;1997&lt;/year&gt;&lt;pub-dates&gt;&lt;date&gt;1997/12/01/&lt;/date&gt;&lt;/pub-dates&gt;&lt;/dates&gt;&lt;isbn&gt;0165-4101&lt;/isbn&gt;&lt;urls&gt;&lt;related-urls&gt;&lt;url&gt;https://www.sciencedirect.com/science/article/pii/S0165410197000153&lt;/url&gt;&lt;/related-urls&gt;&lt;/urls&gt;&lt;electronic-resource-num&gt;https://doi.org/10.1016/S0165-4101(97)00015-3&lt;/electronic-resource-num&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Collins, Maydew, and Weiss (1997)</w:t>
        </w:r>
        <w:r w:rsidR="00A4299A">
          <w:rPr>
            <w:rFonts w:ascii="Times New Roman" w:hAnsi="Times New Roman" w:cs="Times New Roman"/>
            <w:bCs/>
            <w:sz w:val="24"/>
            <w:szCs w:val="24"/>
          </w:rPr>
          <w:fldChar w:fldCharType="end"/>
        </w:r>
      </w:hyperlink>
      <w:r>
        <w:rPr>
          <w:rFonts w:ascii="Times New Roman" w:hAnsi="Times New Roman" w:cs="Times New Roman"/>
          <w:bCs/>
          <w:sz w:val="24"/>
          <w:szCs w:val="24"/>
        </w:rPr>
        <w:t xml:space="preserve">) and, to a lesser extent, </w:t>
      </w:r>
      <w:r w:rsidR="00B77AF0">
        <w:rPr>
          <w:rFonts w:ascii="Times New Roman" w:hAnsi="Times New Roman" w:cs="Times New Roman"/>
          <w:bCs/>
          <w:sz w:val="24"/>
          <w:szCs w:val="24"/>
        </w:rPr>
        <w:t xml:space="preserve">explaining </w:t>
      </w:r>
      <w:r w:rsidR="003F70D4">
        <w:rPr>
          <w:rFonts w:ascii="Times New Roman" w:hAnsi="Times New Roman" w:cs="Times New Roman"/>
          <w:bCs/>
          <w:sz w:val="24"/>
          <w:szCs w:val="24"/>
        </w:rPr>
        <w:t xml:space="preserve">market-based measures of risk such as </w:t>
      </w:r>
      <w:r>
        <w:rPr>
          <w:rFonts w:ascii="Times New Roman" w:hAnsi="Times New Roman" w:cs="Times New Roman"/>
          <w:bCs/>
          <w:sz w:val="24"/>
          <w:szCs w:val="24"/>
        </w:rPr>
        <w:t>return volatilit</w:t>
      </w:r>
      <w:r w:rsidR="00723436">
        <w:rPr>
          <w:rFonts w:ascii="Times New Roman" w:hAnsi="Times New Roman" w:cs="Times New Roman"/>
          <w:bCs/>
          <w:sz w:val="24"/>
          <w:szCs w:val="24"/>
        </w:rPr>
        <w:t>y</w:t>
      </w:r>
      <w:r>
        <w:rPr>
          <w:rFonts w:ascii="Times New Roman" w:hAnsi="Times New Roman" w:cs="Times New Roman"/>
          <w:bCs/>
          <w:sz w:val="24"/>
          <w:szCs w:val="24"/>
        </w:rPr>
        <w:t xml:space="preserve"> (e.g.,</w:t>
      </w:r>
      <w:r w:rsidR="007040CB">
        <w:rPr>
          <w:rFonts w:ascii="Times New Roman" w:hAnsi="Times New Roman" w:cs="Times New Roman"/>
          <w:bCs/>
          <w:sz w:val="24"/>
          <w:szCs w:val="24"/>
        </w:rPr>
        <w:t xml:space="preserve"> </w:t>
      </w:r>
      <w:hyperlink w:anchor="_ENREF_63" w:tooltip="Sridharan, 2015 #1816"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AuthorYear="1"&gt;&lt;Author&gt;Sridharan&lt;/Author&gt;&lt;Year&gt;2015&lt;/Year&gt;&lt;RecNum&gt;1816&lt;/RecNum&gt;&lt;DisplayText&gt;Sridharan (2015)&lt;/DisplayText&gt;&lt;record&gt;&lt;rec-number&gt;1816&lt;/rec-number&gt;&lt;foreign-keys&gt;&lt;key app="EN" db-id="a00ppf5vbz2zw4efraqp9recxrvdwwtasszf" timestamp="1688130746"&gt;1816&lt;/key&gt;&lt;/foreign-keys&gt;&lt;ref-type name="Journal Article"&gt;17&lt;/ref-type&gt;&lt;contributors&gt;&lt;authors&gt;&lt;author&gt;Sridharan, Suhas A.&lt;/author&gt;&lt;/authors&gt;&lt;/contributors&gt;&lt;titles&gt;&lt;title&gt;Volatility Forecasting Using Financial Statement Information&lt;/title&gt;&lt;secondary-title&gt;The Accounting Review&lt;/secondary-title&gt;&lt;/titles&gt;&lt;periodical&gt;&lt;full-title&gt;The Accounting Review&lt;/full-title&gt;&lt;/periodical&gt;&lt;pages&gt;2079-2106&lt;/pages&gt;&lt;volume&gt;90&lt;/volume&gt;&lt;number&gt;5&lt;/number&gt;&lt;dates&gt;&lt;year&gt;2015&lt;/year&gt;&lt;/dates&gt;&lt;publisher&gt;American Accounting Association&lt;/publisher&gt;&lt;isbn&gt;00014826, 15587967&lt;/isbn&gt;&lt;urls&gt;&lt;related-urls&gt;&lt;url&gt;https://www.jstor.org/stable/26550603&lt;/url&gt;&lt;/related-urls&gt;&lt;/urls&gt;&lt;custom1&gt;Full publication date: SEPTEMBER 2015&lt;/custom1&gt;&lt;remote-database-name&gt;JSTOR&lt;/remote-database-name&gt;&lt;access-date&gt;2023/06/30/&lt;/access-date&gt;&lt;/record&gt;&lt;/Cite&gt;&lt;/EndNote&gt;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Sridharan (2015)</w:t>
        </w:r>
        <w:r w:rsidR="00A4299A">
          <w:rPr>
            <w:rFonts w:ascii="Times New Roman" w:hAnsi="Times New Roman" w:cs="Times New Roman"/>
            <w:bCs/>
            <w:sz w:val="24"/>
            <w:szCs w:val="24"/>
          </w:rPr>
          <w:fldChar w:fldCharType="end"/>
        </w:r>
      </w:hyperlink>
      <w:r w:rsidR="003F70D4">
        <w:rPr>
          <w:rFonts w:ascii="Times New Roman" w:hAnsi="Times New Roman" w:cs="Times New Roman"/>
          <w:bCs/>
          <w:sz w:val="24"/>
          <w:szCs w:val="24"/>
        </w:rPr>
        <w:t xml:space="preserve">, </w:t>
      </w:r>
      <w:hyperlink w:anchor="_ENREF_42" w:tooltip="Heflin, 2022 #1815"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AuthorYear="1"&gt;&lt;Author&gt;Heflin&lt;/Author&gt;&lt;Year&gt;2022&lt;/Year&gt;&lt;RecNum&gt;1815&lt;/RecNum&gt;&lt;DisplayText&gt;Heflin, Kolev, and Whipple (2022)&lt;/DisplayText&gt;&lt;record&gt;&lt;rec-number&gt;1815&lt;/rec-number&gt;&lt;foreign-keys&gt;&lt;key app="EN" db-id="a00ppf5vbz2zw4efraqp9recxrvdwwtasszf" timestamp="1688128908"&gt;1815&lt;/key&gt;&lt;/foreign-keys&gt;&lt;ref-type name="Journal Article"&gt;17&lt;/ref-type&gt;&lt;contributors&gt;&lt;authors&gt;&lt;author&gt;Heflin, Frank&lt;/author&gt;&lt;author&gt;Kolev, Kalin S.&lt;/author&gt;&lt;author&gt;Whipple, Benjamin&lt;/author&gt;&lt;/authors&gt;&lt;/contributors&gt;&lt;titles&gt;&lt;title&gt;The risk-relevance of non-GAAP earnings&lt;/title&gt;&lt;secondary-title&gt;Review of Accounting Studies&lt;/secondary-title&gt;&lt;/titles&gt;&lt;volume&gt;forthcoming&lt;/volume&gt;&lt;dates&gt;&lt;year&gt;2022&lt;/year&gt;&lt;pub-dates&gt;&lt;date&gt;2022/11/09&lt;/date&gt;&lt;/pub-dates&gt;&lt;/dates&gt;&lt;isbn&gt;1573-7136&lt;/isbn&gt;&lt;urls&gt;&lt;related-urls&gt;&lt;url&gt;https://doi.org/10.1007/s11142-022-09725-w&lt;/url&gt;&lt;/related-urls&gt;&lt;/urls&gt;&lt;electronic-resource-num&gt;10.1007/s11142-022-09725-w&lt;/electronic-resource-num&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Heflin, Kolev, and Whipple (202</w:t>
        </w:r>
        <w:r w:rsidR="000118B6">
          <w:rPr>
            <w:rFonts w:ascii="Times New Roman" w:hAnsi="Times New Roman" w:cs="Times New Roman"/>
            <w:bCs/>
            <w:noProof/>
            <w:sz w:val="24"/>
            <w:szCs w:val="24"/>
          </w:rPr>
          <w:t>4</w:t>
        </w:r>
        <w:r w:rsidR="00A4299A">
          <w:rPr>
            <w:rFonts w:ascii="Times New Roman" w:hAnsi="Times New Roman" w:cs="Times New Roman"/>
            <w:bCs/>
            <w:noProof/>
            <w:sz w:val="24"/>
            <w:szCs w:val="24"/>
          </w:rPr>
          <w:t>)</w:t>
        </w:r>
        <w:r w:rsidR="00A4299A">
          <w:rPr>
            <w:rFonts w:ascii="Times New Roman" w:hAnsi="Times New Roman" w:cs="Times New Roman"/>
            <w:bCs/>
            <w:sz w:val="24"/>
            <w:szCs w:val="24"/>
          </w:rPr>
          <w:fldChar w:fldCharType="end"/>
        </w:r>
      </w:hyperlink>
      <w:r>
        <w:rPr>
          <w:rFonts w:ascii="Times New Roman" w:hAnsi="Times New Roman" w:cs="Times New Roman"/>
          <w:bCs/>
          <w:sz w:val="24"/>
          <w:szCs w:val="24"/>
        </w:rPr>
        <w:t xml:space="preserve">). In this paper, we adopt the perspective of an investor </w:t>
      </w:r>
      <w:r w:rsidR="003F70D4">
        <w:rPr>
          <w:rFonts w:ascii="Times New Roman" w:hAnsi="Times New Roman" w:cs="Times New Roman"/>
          <w:bCs/>
          <w:sz w:val="24"/>
          <w:szCs w:val="24"/>
        </w:rPr>
        <w:t>concerned with</w:t>
      </w:r>
      <w:r w:rsidR="00A56FA9">
        <w:rPr>
          <w:rFonts w:ascii="Times New Roman" w:hAnsi="Times New Roman" w:cs="Times New Roman"/>
          <w:bCs/>
          <w:sz w:val="24"/>
          <w:szCs w:val="24"/>
        </w:rPr>
        <w:t xml:space="preserve"> uncertainty about</w:t>
      </w:r>
      <w:r w:rsidR="003F70D4">
        <w:rPr>
          <w:rFonts w:ascii="Times New Roman" w:hAnsi="Times New Roman" w:cs="Times New Roman"/>
          <w:bCs/>
          <w:sz w:val="24"/>
          <w:szCs w:val="24"/>
        </w:rPr>
        <w:t xml:space="preserve"> </w:t>
      </w:r>
      <w:r>
        <w:rPr>
          <w:rFonts w:ascii="Times New Roman" w:hAnsi="Times New Roman" w:cs="Times New Roman"/>
          <w:bCs/>
          <w:sz w:val="24"/>
          <w:szCs w:val="24"/>
        </w:rPr>
        <w:t>intrinsic equity value. Measurement of</w:t>
      </w:r>
      <w:r w:rsidR="00A56FA9">
        <w:rPr>
          <w:rFonts w:ascii="Times New Roman" w:hAnsi="Times New Roman" w:cs="Times New Roman"/>
          <w:bCs/>
          <w:sz w:val="24"/>
          <w:szCs w:val="24"/>
        </w:rPr>
        <w:t xml:space="preserve"> such</w:t>
      </w:r>
      <w:r>
        <w:rPr>
          <w:rFonts w:ascii="Times New Roman" w:hAnsi="Times New Roman" w:cs="Times New Roman"/>
          <w:bCs/>
          <w:sz w:val="24"/>
          <w:szCs w:val="24"/>
        </w:rPr>
        <w:t xml:space="preserve"> uncertainty is of particular interest to long-term fundamental investors</w:t>
      </w:r>
      <w:r w:rsidR="001A217E">
        <w:rPr>
          <w:rFonts w:ascii="Times New Roman" w:hAnsi="Times New Roman" w:cs="Times New Roman"/>
          <w:bCs/>
          <w:sz w:val="24"/>
          <w:szCs w:val="24"/>
        </w:rPr>
        <w:t xml:space="preserve"> </w:t>
      </w:r>
      <w:r w:rsidR="00D978C6">
        <w:rPr>
          <w:rFonts w:ascii="Times New Roman" w:hAnsi="Times New Roman" w:cs="Times New Roman"/>
          <w:bCs/>
          <w:sz w:val="24"/>
          <w:szCs w:val="24"/>
        </w:rPr>
        <w:t xml:space="preserve">dealing </w:t>
      </w:r>
      <w:r w:rsidR="00317711">
        <w:rPr>
          <w:rFonts w:ascii="Times New Roman" w:hAnsi="Times New Roman" w:cs="Times New Roman"/>
          <w:bCs/>
          <w:sz w:val="24"/>
          <w:szCs w:val="24"/>
        </w:rPr>
        <w:t xml:space="preserve">with </w:t>
      </w:r>
      <w:r w:rsidR="001A217E">
        <w:rPr>
          <w:rFonts w:ascii="Times New Roman" w:hAnsi="Times New Roman" w:cs="Times New Roman"/>
          <w:bCs/>
          <w:sz w:val="24"/>
          <w:szCs w:val="24"/>
        </w:rPr>
        <w:t>both public and private equities</w:t>
      </w:r>
      <w:r>
        <w:rPr>
          <w:rFonts w:ascii="Times New Roman" w:hAnsi="Times New Roman" w:cs="Times New Roman"/>
          <w:bCs/>
          <w:sz w:val="24"/>
          <w:szCs w:val="24"/>
        </w:rPr>
        <w:t xml:space="preserve">. </w:t>
      </w:r>
      <w:r w:rsidR="001A217E">
        <w:rPr>
          <w:rFonts w:ascii="Times New Roman" w:hAnsi="Times New Roman" w:cs="Times New Roman"/>
          <w:bCs/>
          <w:sz w:val="24"/>
          <w:szCs w:val="24"/>
        </w:rPr>
        <w:t>V</w:t>
      </w:r>
      <w:r w:rsidR="00723436">
        <w:rPr>
          <w:rFonts w:ascii="Times New Roman" w:hAnsi="Times New Roman" w:cs="Times New Roman"/>
          <w:bCs/>
          <w:sz w:val="24"/>
          <w:szCs w:val="24"/>
        </w:rPr>
        <w:t xml:space="preserve">aluation </w:t>
      </w:r>
      <w:r>
        <w:rPr>
          <w:rFonts w:ascii="Times New Roman" w:hAnsi="Times New Roman" w:cs="Times New Roman"/>
          <w:bCs/>
          <w:sz w:val="24"/>
          <w:szCs w:val="24"/>
        </w:rPr>
        <w:t>uncertainty</w:t>
      </w:r>
      <w:r w:rsidR="00723436">
        <w:rPr>
          <w:rFonts w:ascii="Times New Roman" w:hAnsi="Times New Roman" w:cs="Times New Roman"/>
          <w:bCs/>
          <w:sz w:val="24"/>
          <w:szCs w:val="24"/>
        </w:rPr>
        <w:t xml:space="preserve"> </w:t>
      </w:r>
      <w:r>
        <w:rPr>
          <w:rFonts w:ascii="Times New Roman" w:hAnsi="Times New Roman" w:cs="Times New Roman"/>
          <w:bCs/>
          <w:sz w:val="24"/>
          <w:szCs w:val="24"/>
        </w:rPr>
        <w:t>is</w:t>
      </w:r>
      <w:r w:rsidR="001A217E">
        <w:rPr>
          <w:rFonts w:ascii="Times New Roman" w:hAnsi="Times New Roman" w:cs="Times New Roman"/>
          <w:bCs/>
          <w:sz w:val="24"/>
          <w:szCs w:val="24"/>
        </w:rPr>
        <w:t xml:space="preserve"> also</w:t>
      </w:r>
      <w:r>
        <w:rPr>
          <w:rFonts w:ascii="Times New Roman" w:hAnsi="Times New Roman" w:cs="Times New Roman"/>
          <w:bCs/>
          <w:sz w:val="24"/>
          <w:szCs w:val="24"/>
        </w:rPr>
        <w:t xml:space="preserve"> key </w:t>
      </w:r>
      <w:r w:rsidR="00A56FA9">
        <w:rPr>
          <w:rFonts w:ascii="Times New Roman" w:hAnsi="Times New Roman" w:cs="Times New Roman"/>
          <w:bCs/>
          <w:sz w:val="24"/>
          <w:szCs w:val="24"/>
        </w:rPr>
        <w:t>to many</w:t>
      </w:r>
      <w:r>
        <w:rPr>
          <w:rFonts w:ascii="Times New Roman" w:hAnsi="Times New Roman" w:cs="Times New Roman"/>
          <w:bCs/>
          <w:sz w:val="24"/>
          <w:szCs w:val="24"/>
        </w:rPr>
        <w:t xml:space="preserve"> theoretical models.</w:t>
      </w:r>
      <w:r w:rsidR="00723436">
        <w:rPr>
          <w:rStyle w:val="FootnoteReference"/>
          <w:rFonts w:ascii="Times New Roman" w:hAnsi="Times New Roman" w:cs="Times New Roman"/>
          <w:bCs/>
          <w:sz w:val="24"/>
          <w:szCs w:val="24"/>
        </w:rPr>
        <w:footnoteReference w:id="1"/>
      </w:r>
    </w:p>
    <w:p w14:paraId="54D1A726" w14:textId="093DA0E7" w:rsidR="009D6E16" w:rsidRDefault="000F4EFD"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To date</w:t>
      </w:r>
      <w:r w:rsidR="00FE5BF8">
        <w:rPr>
          <w:rFonts w:ascii="Times New Roman" w:hAnsi="Times New Roman" w:cs="Times New Roman"/>
          <w:sz w:val="24"/>
          <w:szCs w:val="24"/>
        </w:rPr>
        <w:t>,</w:t>
      </w:r>
      <w:r>
        <w:rPr>
          <w:rFonts w:ascii="Times New Roman" w:hAnsi="Times New Roman" w:cs="Times New Roman"/>
          <w:sz w:val="24"/>
          <w:szCs w:val="24"/>
        </w:rPr>
        <w:t xml:space="preserve"> the</w:t>
      </w:r>
      <w:r w:rsidR="0056407C">
        <w:rPr>
          <w:rFonts w:ascii="Times New Roman" w:hAnsi="Times New Roman" w:cs="Times New Roman"/>
          <w:sz w:val="24"/>
          <w:szCs w:val="24"/>
        </w:rPr>
        <w:t xml:space="preserve"> </w:t>
      </w:r>
      <w:r w:rsidR="00B31CD1">
        <w:rPr>
          <w:rFonts w:ascii="Times New Roman" w:hAnsi="Times New Roman" w:cs="Times New Roman"/>
          <w:sz w:val="24"/>
          <w:szCs w:val="24"/>
        </w:rPr>
        <w:t>empirical measurem</w:t>
      </w:r>
      <w:r w:rsidR="00064E67">
        <w:rPr>
          <w:rFonts w:ascii="Times New Roman" w:hAnsi="Times New Roman" w:cs="Times New Roman"/>
          <w:sz w:val="24"/>
          <w:szCs w:val="24"/>
        </w:rPr>
        <w:t>ent of valuation uncertainty</w:t>
      </w:r>
      <w:r w:rsidR="008910F1">
        <w:rPr>
          <w:rFonts w:ascii="Times New Roman" w:hAnsi="Times New Roman" w:cs="Times New Roman"/>
          <w:sz w:val="24"/>
          <w:szCs w:val="24"/>
        </w:rPr>
        <w:t xml:space="preserve"> </w:t>
      </w:r>
      <w:r w:rsidR="00064E67">
        <w:rPr>
          <w:rFonts w:ascii="Times New Roman" w:hAnsi="Times New Roman" w:cs="Times New Roman"/>
          <w:sz w:val="24"/>
          <w:szCs w:val="24"/>
        </w:rPr>
        <w:t xml:space="preserve">has </w:t>
      </w:r>
      <w:r w:rsidR="008910F1">
        <w:rPr>
          <w:rFonts w:ascii="Times New Roman" w:hAnsi="Times New Roman" w:cs="Times New Roman"/>
          <w:sz w:val="24"/>
          <w:szCs w:val="24"/>
        </w:rPr>
        <w:t xml:space="preserve">relied on </w:t>
      </w:r>
      <w:r w:rsidR="00FB557F">
        <w:rPr>
          <w:rFonts w:ascii="Times New Roman" w:hAnsi="Times New Roman" w:cs="Times New Roman"/>
          <w:sz w:val="24"/>
          <w:szCs w:val="24"/>
        </w:rPr>
        <w:t>various</w:t>
      </w:r>
      <w:r w:rsidR="00393134">
        <w:rPr>
          <w:rFonts w:ascii="Times New Roman" w:hAnsi="Times New Roman" w:cs="Times New Roman"/>
          <w:sz w:val="24"/>
          <w:szCs w:val="24"/>
        </w:rPr>
        <w:t xml:space="preserve"> proxies</w:t>
      </w:r>
      <w:r w:rsidR="007F1381">
        <w:rPr>
          <w:rFonts w:ascii="Times New Roman" w:hAnsi="Times New Roman" w:cs="Times New Roman"/>
          <w:sz w:val="24"/>
          <w:szCs w:val="24"/>
        </w:rPr>
        <w:t>, including f</w:t>
      </w:r>
      <w:r w:rsidR="006D1AA3">
        <w:rPr>
          <w:rFonts w:ascii="Times New Roman" w:hAnsi="Times New Roman" w:cs="Times New Roman"/>
          <w:sz w:val="24"/>
          <w:szCs w:val="24"/>
        </w:rPr>
        <w:t>irm size</w:t>
      </w:r>
      <w:r w:rsidR="007F1381">
        <w:rPr>
          <w:rFonts w:ascii="Times New Roman" w:hAnsi="Times New Roman" w:cs="Times New Roman"/>
          <w:sz w:val="24"/>
          <w:szCs w:val="24"/>
        </w:rPr>
        <w:t>,</w:t>
      </w:r>
      <w:r w:rsidR="006D1AA3">
        <w:rPr>
          <w:rFonts w:ascii="Times New Roman" w:hAnsi="Times New Roman" w:cs="Times New Roman"/>
          <w:sz w:val="24"/>
          <w:szCs w:val="24"/>
        </w:rPr>
        <w:t xml:space="preserve"> </w:t>
      </w:r>
      <w:r w:rsidR="00F93131">
        <w:rPr>
          <w:rFonts w:ascii="Times New Roman" w:hAnsi="Times New Roman" w:cs="Times New Roman"/>
          <w:sz w:val="24"/>
          <w:szCs w:val="24"/>
        </w:rPr>
        <w:t>asset tangibility</w:t>
      </w:r>
      <w:r w:rsidR="00C97F3A">
        <w:rPr>
          <w:rFonts w:ascii="Times New Roman" w:hAnsi="Times New Roman" w:cs="Times New Roman"/>
          <w:sz w:val="24"/>
          <w:szCs w:val="24"/>
        </w:rPr>
        <w:t xml:space="preserve">, return volatility, </w:t>
      </w:r>
      <w:r w:rsidR="007F1381">
        <w:rPr>
          <w:rFonts w:ascii="Times New Roman" w:hAnsi="Times New Roman" w:cs="Times New Roman"/>
          <w:sz w:val="24"/>
          <w:szCs w:val="24"/>
        </w:rPr>
        <w:t>option-</w:t>
      </w:r>
      <w:r w:rsidR="00C97F3A">
        <w:rPr>
          <w:rFonts w:ascii="Times New Roman" w:hAnsi="Times New Roman" w:cs="Times New Roman"/>
          <w:sz w:val="24"/>
          <w:szCs w:val="24"/>
        </w:rPr>
        <w:t>implied volatility</w:t>
      </w:r>
      <w:r w:rsidR="00AD21E2">
        <w:rPr>
          <w:rFonts w:ascii="Times New Roman" w:hAnsi="Times New Roman" w:cs="Times New Roman"/>
          <w:sz w:val="24"/>
          <w:szCs w:val="24"/>
        </w:rPr>
        <w:t xml:space="preserve"> and</w:t>
      </w:r>
      <w:r w:rsidR="00C97F3A">
        <w:rPr>
          <w:rFonts w:ascii="Times New Roman" w:hAnsi="Times New Roman" w:cs="Times New Roman"/>
          <w:sz w:val="24"/>
          <w:szCs w:val="24"/>
        </w:rPr>
        <w:t xml:space="preserve"> </w:t>
      </w:r>
      <w:r w:rsidR="008910F1">
        <w:rPr>
          <w:rFonts w:ascii="Times New Roman" w:hAnsi="Times New Roman" w:cs="Times New Roman"/>
          <w:sz w:val="24"/>
          <w:szCs w:val="24"/>
        </w:rPr>
        <w:t xml:space="preserve">analysts’ </w:t>
      </w:r>
      <w:r w:rsidR="00C97F3A">
        <w:rPr>
          <w:rFonts w:ascii="Times New Roman" w:hAnsi="Times New Roman" w:cs="Times New Roman"/>
          <w:sz w:val="24"/>
          <w:szCs w:val="24"/>
        </w:rPr>
        <w:t>forecast dispersion</w:t>
      </w:r>
      <w:r w:rsidR="00B31CD1">
        <w:rPr>
          <w:rFonts w:ascii="Times New Roman" w:hAnsi="Times New Roman" w:cs="Times New Roman"/>
          <w:sz w:val="24"/>
          <w:szCs w:val="24"/>
        </w:rPr>
        <w:t>.</w:t>
      </w:r>
      <w:r w:rsidR="006D1AA3">
        <w:rPr>
          <w:rFonts w:ascii="Times New Roman" w:hAnsi="Times New Roman" w:cs="Times New Roman"/>
          <w:sz w:val="24"/>
          <w:szCs w:val="24"/>
        </w:rPr>
        <w:t xml:space="preserve"> The indirect nature</w:t>
      </w:r>
      <w:r w:rsidR="009D1DD5">
        <w:rPr>
          <w:rFonts w:ascii="Times New Roman" w:hAnsi="Times New Roman" w:cs="Times New Roman"/>
          <w:sz w:val="24"/>
          <w:szCs w:val="24"/>
        </w:rPr>
        <w:t xml:space="preserve"> or restricted availability</w:t>
      </w:r>
      <w:r w:rsidR="006D1AA3">
        <w:rPr>
          <w:rFonts w:ascii="Times New Roman" w:hAnsi="Times New Roman" w:cs="Times New Roman"/>
          <w:sz w:val="24"/>
          <w:szCs w:val="24"/>
        </w:rPr>
        <w:t xml:space="preserve"> </w:t>
      </w:r>
      <w:r w:rsidR="00C97F3A">
        <w:rPr>
          <w:rFonts w:ascii="Times New Roman" w:hAnsi="Times New Roman" w:cs="Times New Roman"/>
          <w:sz w:val="24"/>
          <w:szCs w:val="24"/>
        </w:rPr>
        <w:t xml:space="preserve">of </w:t>
      </w:r>
      <w:r w:rsidR="006D1AA3">
        <w:rPr>
          <w:rFonts w:ascii="Times New Roman" w:hAnsi="Times New Roman" w:cs="Times New Roman"/>
          <w:sz w:val="24"/>
          <w:szCs w:val="24"/>
        </w:rPr>
        <w:t>the</w:t>
      </w:r>
      <w:r w:rsidR="00CA5F47">
        <w:rPr>
          <w:rFonts w:ascii="Times New Roman" w:hAnsi="Times New Roman" w:cs="Times New Roman"/>
          <w:sz w:val="24"/>
          <w:szCs w:val="24"/>
        </w:rPr>
        <w:t>se</w:t>
      </w:r>
      <w:r w:rsidR="006D1AA3">
        <w:rPr>
          <w:rFonts w:ascii="Times New Roman" w:hAnsi="Times New Roman" w:cs="Times New Roman"/>
          <w:sz w:val="24"/>
          <w:szCs w:val="24"/>
        </w:rPr>
        <w:t xml:space="preserve"> proxies</w:t>
      </w:r>
      <w:r w:rsidR="00484949">
        <w:rPr>
          <w:rFonts w:ascii="Times New Roman" w:hAnsi="Times New Roman" w:cs="Times New Roman"/>
          <w:sz w:val="24"/>
          <w:szCs w:val="24"/>
        </w:rPr>
        <w:t xml:space="preserve"> can </w:t>
      </w:r>
      <w:r w:rsidR="003B5F2E">
        <w:rPr>
          <w:rFonts w:ascii="Times New Roman" w:hAnsi="Times New Roman" w:cs="Times New Roman"/>
          <w:sz w:val="24"/>
          <w:szCs w:val="24"/>
        </w:rPr>
        <w:t>stand</w:t>
      </w:r>
      <w:r w:rsidR="00CA5F47">
        <w:rPr>
          <w:rFonts w:ascii="Times New Roman" w:hAnsi="Times New Roman" w:cs="Times New Roman"/>
          <w:sz w:val="24"/>
          <w:szCs w:val="24"/>
        </w:rPr>
        <w:t xml:space="preserve"> in the way of</w:t>
      </w:r>
      <w:r w:rsidR="0056407C">
        <w:rPr>
          <w:rFonts w:ascii="Times New Roman" w:hAnsi="Times New Roman" w:cs="Times New Roman"/>
          <w:sz w:val="24"/>
          <w:szCs w:val="24"/>
        </w:rPr>
        <w:t xml:space="preserve"> </w:t>
      </w:r>
      <w:r w:rsidR="009C3015">
        <w:rPr>
          <w:rFonts w:ascii="Times New Roman" w:hAnsi="Times New Roman" w:cs="Times New Roman"/>
          <w:sz w:val="24"/>
          <w:szCs w:val="24"/>
        </w:rPr>
        <w:t>well-specified</w:t>
      </w:r>
      <w:r w:rsidR="0056407C">
        <w:rPr>
          <w:rFonts w:ascii="Times New Roman" w:hAnsi="Times New Roman" w:cs="Times New Roman"/>
          <w:sz w:val="24"/>
          <w:szCs w:val="24"/>
        </w:rPr>
        <w:t xml:space="preserve"> tests </w:t>
      </w:r>
      <w:r w:rsidR="00501EA6">
        <w:rPr>
          <w:rFonts w:ascii="Times New Roman" w:hAnsi="Times New Roman" w:cs="Times New Roman"/>
          <w:sz w:val="24"/>
          <w:szCs w:val="24"/>
        </w:rPr>
        <w:t>of</w:t>
      </w:r>
      <w:r w:rsidR="00F93131">
        <w:rPr>
          <w:rFonts w:ascii="Times New Roman" w:hAnsi="Times New Roman" w:cs="Times New Roman"/>
          <w:sz w:val="24"/>
          <w:szCs w:val="24"/>
        </w:rPr>
        <w:t xml:space="preserve"> the associated</w:t>
      </w:r>
      <w:r w:rsidR="00501EA6">
        <w:rPr>
          <w:rFonts w:ascii="Times New Roman" w:hAnsi="Times New Roman" w:cs="Times New Roman"/>
          <w:sz w:val="24"/>
          <w:szCs w:val="24"/>
        </w:rPr>
        <w:t xml:space="preserve"> </w:t>
      </w:r>
      <w:r w:rsidR="00040433">
        <w:rPr>
          <w:rFonts w:ascii="Times New Roman" w:hAnsi="Times New Roman" w:cs="Times New Roman"/>
          <w:sz w:val="24"/>
          <w:szCs w:val="24"/>
        </w:rPr>
        <w:t xml:space="preserve">models’ </w:t>
      </w:r>
      <w:r w:rsidR="00501EA6">
        <w:rPr>
          <w:rFonts w:ascii="Times New Roman" w:hAnsi="Times New Roman" w:cs="Times New Roman"/>
          <w:sz w:val="24"/>
          <w:szCs w:val="24"/>
        </w:rPr>
        <w:t>predictions</w:t>
      </w:r>
      <w:r w:rsidR="006D1AA3">
        <w:rPr>
          <w:rFonts w:ascii="Times New Roman" w:hAnsi="Times New Roman" w:cs="Times New Roman"/>
          <w:sz w:val="24"/>
          <w:szCs w:val="24"/>
        </w:rPr>
        <w:t>.</w:t>
      </w:r>
      <w:r w:rsidR="00303516">
        <w:rPr>
          <w:rFonts w:ascii="Times New Roman" w:hAnsi="Times New Roman" w:cs="Times New Roman"/>
          <w:sz w:val="24"/>
          <w:szCs w:val="24"/>
        </w:rPr>
        <w:t xml:space="preserve"> </w:t>
      </w:r>
      <w:r w:rsidR="009D1DD5">
        <w:rPr>
          <w:rFonts w:ascii="Times New Roman" w:hAnsi="Times New Roman" w:cs="Times New Roman"/>
          <w:sz w:val="24"/>
          <w:szCs w:val="24"/>
        </w:rPr>
        <w:t>For instance,</w:t>
      </w:r>
      <w:r w:rsidR="0015360E" w:rsidDel="0015360E">
        <w:rPr>
          <w:rFonts w:ascii="Times New Roman" w:hAnsi="Times New Roman" w:cs="Times New Roman"/>
          <w:sz w:val="24"/>
          <w:szCs w:val="24"/>
        </w:rPr>
        <w:t xml:space="preserve"> </w:t>
      </w:r>
      <w:r w:rsidR="0015360E">
        <w:rPr>
          <w:rFonts w:ascii="Times New Roman" w:hAnsi="Times New Roman" w:cs="Times New Roman"/>
          <w:sz w:val="24"/>
          <w:szCs w:val="24"/>
        </w:rPr>
        <w:t>measures of</w:t>
      </w:r>
      <w:r w:rsidR="009D1DD5">
        <w:rPr>
          <w:rFonts w:ascii="Times New Roman" w:hAnsi="Times New Roman" w:cs="Times New Roman"/>
          <w:sz w:val="24"/>
          <w:szCs w:val="24"/>
        </w:rPr>
        <w:t xml:space="preserve"> </w:t>
      </w:r>
      <w:r w:rsidR="00C97F3A">
        <w:rPr>
          <w:rFonts w:ascii="Times New Roman" w:hAnsi="Times New Roman" w:cs="Times New Roman"/>
          <w:sz w:val="24"/>
          <w:szCs w:val="24"/>
        </w:rPr>
        <w:t xml:space="preserve">option-implied volatility and analysts’ forecast dispersion restrict the sample to smaller sizes, while return volatility </w:t>
      </w:r>
      <w:r w:rsidR="00F13960">
        <w:rPr>
          <w:rFonts w:ascii="Times New Roman" w:hAnsi="Times New Roman" w:cs="Times New Roman"/>
          <w:sz w:val="24"/>
          <w:szCs w:val="24"/>
        </w:rPr>
        <w:t>is backward</w:t>
      </w:r>
      <w:r w:rsidR="00464B7E">
        <w:rPr>
          <w:rFonts w:ascii="Times New Roman" w:hAnsi="Times New Roman" w:cs="Times New Roman"/>
          <w:sz w:val="24"/>
          <w:szCs w:val="24"/>
        </w:rPr>
        <w:t>-</w:t>
      </w:r>
      <w:r w:rsidR="00F13960">
        <w:rPr>
          <w:rFonts w:ascii="Times New Roman" w:hAnsi="Times New Roman" w:cs="Times New Roman"/>
          <w:sz w:val="24"/>
          <w:szCs w:val="24"/>
        </w:rPr>
        <w:t xml:space="preserve">looking and </w:t>
      </w:r>
      <w:r w:rsidR="00C97F3A">
        <w:rPr>
          <w:rFonts w:ascii="Times New Roman" w:hAnsi="Times New Roman" w:cs="Times New Roman"/>
          <w:sz w:val="24"/>
          <w:szCs w:val="24"/>
        </w:rPr>
        <w:t xml:space="preserve">requires firms to be listed. </w:t>
      </w:r>
      <w:r w:rsidR="00B31CD1">
        <w:rPr>
          <w:rFonts w:ascii="Times New Roman" w:hAnsi="Times New Roman" w:cs="Times New Roman"/>
          <w:sz w:val="24"/>
          <w:szCs w:val="24"/>
        </w:rPr>
        <w:t xml:space="preserve">In this paper, we </w:t>
      </w:r>
      <w:r w:rsidR="00663F01">
        <w:rPr>
          <w:rFonts w:ascii="Times New Roman" w:hAnsi="Times New Roman" w:cs="Times New Roman"/>
          <w:sz w:val="24"/>
          <w:szCs w:val="24"/>
        </w:rPr>
        <w:t>use an accounting-based valuation framework to develop</w:t>
      </w:r>
      <w:r w:rsidR="00B31CD1">
        <w:rPr>
          <w:rFonts w:ascii="Times New Roman" w:hAnsi="Times New Roman" w:cs="Times New Roman"/>
          <w:sz w:val="24"/>
          <w:szCs w:val="24"/>
        </w:rPr>
        <w:t xml:space="preserve"> a </w:t>
      </w:r>
      <w:r w:rsidR="00064E67">
        <w:rPr>
          <w:rFonts w:ascii="Times New Roman" w:hAnsi="Times New Roman" w:cs="Times New Roman"/>
          <w:sz w:val="24"/>
          <w:szCs w:val="24"/>
        </w:rPr>
        <w:t>theoretically motivated</w:t>
      </w:r>
      <w:r w:rsidR="003502B7">
        <w:rPr>
          <w:rFonts w:ascii="Times New Roman" w:hAnsi="Times New Roman" w:cs="Times New Roman"/>
          <w:sz w:val="24"/>
          <w:szCs w:val="24"/>
        </w:rPr>
        <w:t xml:space="preserve"> empirical measure of</w:t>
      </w:r>
      <w:r w:rsidR="0088071F">
        <w:rPr>
          <w:rFonts w:ascii="Times New Roman" w:hAnsi="Times New Roman" w:cs="Times New Roman"/>
          <w:sz w:val="24"/>
          <w:szCs w:val="24"/>
        </w:rPr>
        <w:t xml:space="preserve"> equity</w:t>
      </w:r>
      <w:r w:rsidR="003502B7">
        <w:rPr>
          <w:rFonts w:ascii="Times New Roman" w:hAnsi="Times New Roman" w:cs="Times New Roman"/>
          <w:sz w:val="24"/>
          <w:szCs w:val="24"/>
        </w:rPr>
        <w:t xml:space="preserve"> valuation uncertainty</w:t>
      </w:r>
      <w:r w:rsidR="00F70535">
        <w:rPr>
          <w:rFonts w:ascii="Times New Roman" w:hAnsi="Times New Roman" w:cs="Times New Roman"/>
          <w:sz w:val="24"/>
          <w:szCs w:val="24"/>
        </w:rPr>
        <w:t xml:space="preserve"> </w:t>
      </w:r>
      <w:r w:rsidR="00770C14">
        <w:rPr>
          <w:rFonts w:ascii="Times New Roman" w:hAnsi="Times New Roman" w:cs="Times New Roman"/>
          <w:sz w:val="24"/>
          <w:szCs w:val="24"/>
        </w:rPr>
        <w:t xml:space="preserve">that is </w:t>
      </w:r>
      <w:r w:rsidR="00F70535">
        <w:rPr>
          <w:rFonts w:ascii="Times New Roman" w:hAnsi="Times New Roman" w:cs="Times New Roman"/>
          <w:sz w:val="24"/>
          <w:szCs w:val="24"/>
        </w:rPr>
        <w:t>available for large samples</w:t>
      </w:r>
      <w:r w:rsidR="00D838FE">
        <w:rPr>
          <w:rFonts w:ascii="Times New Roman" w:hAnsi="Times New Roman" w:cs="Times New Roman"/>
          <w:sz w:val="24"/>
          <w:szCs w:val="24"/>
        </w:rPr>
        <w:t xml:space="preserve"> </w:t>
      </w:r>
      <w:r w:rsidR="002C5CEA">
        <w:rPr>
          <w:rFonts w:ascii="Times New Roman" w:hAnsi="Times New Roman" w:cs="Times New Roman"/>
          <w:sz w:val="24"/>
          <w:szCs w:val="24"/>
        </w:rPr>
        <w:t>and can be obtained</w:t>
      </w:r>
      <w:r w:rsidR="00643AE2">
        <w:rPr>
          <w:rFonts w:ascii="Times New Roman" w:hAnsi="Times New Roman" w:cs="Times New Roman"/>
          <w:sz w:val="24"/>
          <w:szCs w:val="24"/>
        </w:rPr>
        <w:t xml:space="preserve"> even</w:t>
      </w:r>
      <w:r w:rsidR="00D838FE">
        <w:rPr>
          <w:rFonts w:ascii="Times New Roman" w:hAnsi="Times New Roman" w:cs="Times New Roman"/>
          <w:sz w:val="24"/>
          <w:szCs w:val="24"/>
        </w:rPr>
        <w:t xml:space="preserve"> for private firms</w:t>
      </w:r>
      <w:r w:rsidR="003502B7">
        <w:rPr>
          <w:rFonts w:ascii="Times New Roman" w:hAnsi="Times New Roman" w:cs="Times New Roman"/>
          <w:sz w:val="24"/>
          <w:szCs w:val="24"/>
        </w:rPr>
        <w:t>.</w:t>
      </w:r>
      <w:r w:rsidR="00303516">
        <w:rPr>
          <w:rFonts w:ascii="Times New Roman" w:hAnsi="Times New Roman" w:cs="Times New Roman"/>
          <w:sz w:val="24"/>
          <w:szCs w:val="24"/>
        </w:rPr>
        <w:t xml:space="preserve"> </w:t>
      </w:r>
      <w:r w:rsidR="003502B7">
        <w:rPr>
          <w:rFonts w:ascii="Times New Roman" w:hAnsi="Times New Roman" w:cs="Times New Roman"/>
          <w:sz w:val="24"/>
          <w:szCs w:val="24"/>
        </w:rPr>
        <w:lastRenderedPageBreak/>
        <w:t xml:space="preserve">Having established the validity of </w:t>
      </w:r>
      <w:r w:rsidR="00064E67">
        <w:rPr>
          <w:rFonts w:ascii="Times New Roman" w:hAnsi="Times New Roman" w:cs="Times New Roman"/>
          <w:sz w:val="24"/>
          <w:szCs w:val="24"/>
        </w:rPr>
        <w:t>this n</w:t>
      </w:r>
      <w:r w:rsidR="00BE48EF">
        <w:rPr>
          <w:rFonts w:ascii="Times New Roman" w:hAnsi="Times New Roman" w:cs="Times New Roman"/>
          <w:sz w:val="24"/>
          <w:szCs w:val="24"/>
        </w:rPr>
        <w:t xml:space="preserve">ew measure, </w:t>
      </w:r>
      <w:r w:rsidR="003A17AF">
        <w:rPr>
          <w:rFonts w:ascii="Times New Roman" w:hAnsi="Times New Roman" w:cs="Times New Roman"/>
          <w:sz w:val="24"/>
          <w:szCs w:val="24"/>
        </w:rPr>
        <w:t>we</w:t>
      </w:r>
      <w:r w:rsidR="003502B7">
        <w:rPr>
          <w:rFonts w:ascii="Times New Roman" w:hAnsi="Times New Roman" w:cs="Times New Roman"/>
          <w:sz w:val="24"/>
          <w:szCs w:val="24"/>
        </w:rPr>
        <w:t xml:space="preserve"> </w:t>
      </w:r>
      <w:r w:rsidR="000D7601">
        <w:rPr>
          <w:rFonts w:ascii="Times New Roman" w:hAnsi="Times New Roman" w:cs="Times New Roman"/>
          <w:sz w:val="24"/>
          <w:szCs w:val="24"/>
        </w:rPr>
        <w:t>apply it to a popular asset pricing context</w:t>
      </w:r>
      <w:r w:rsidR="003A17AF">
        <w:rPr>
          <w:rFonts w:ascii="Times New Roman" w:hAnsi="Times New Roman" w:cs="Times New Roman"/>
          <w:sz w:val="24"/>
          <w:szCs w:val="24"/>
        </w:rPr>
        <w:t xml:space="preserve">. This </w:t>
      </w:r>
      <w:r w:rsidR="00040433">
        <w:rPr>
          <w:rFonts w:ascii="Times New Roman" w:hAnsi="Times New Roman" w:cs="Times New Roman"/>
          <w:sz w:val="24"/>
          <w:szCs w:val="24"/>
        </w:rPr>
        <w:t xml:space="preserve">particular </w:t>
      </w:r>
      <w:r w:rsidR="003A17AF">
        <w:rPr>
          <w:rFonts w:ascii="Times New Roman" w:hAnsi="Times New Roman" w:cs="Times New Roman"/>
          <w:sz w:val="24"/>
          <w:szCs w:val="24"/>
        </w:rPr>
        <w:t xml:space="preserve">analysis yields novel insights </w:t>
      </w:r>
      <w:r w:rsidR="0070346D">
        <w:rPr>
          <w:rFonts w:ascii="Times New Roman" w:hAnsi="Times New Roman" w:cs="Times New Roman"/>
          <w:sz w:val="24"/>
          <w:szCs w:val="24"/>
        </w:rPr>
        <w:t xml:space="preserve">into </w:t>
      </w:r>
      <w:r w:rsidR="003B5F2E">
        <w:rPr>
          <w:rFonts w:ascii="Times New Roman" w:hAnsi="Times New Roman" w:cs="Times New Roman"/>
          <w:sz w:val="24"/>
          <w:szCs w:val="24"/>
        </w:rPr>
        <w:t>the</w:t>
      </w:r>
      <w:r w:rsidR="003A17AF">
        <w:rPr>
          <w:rFonts w:ascii="Times New Roman" w:hAnsi="Times New Roman" w:cs="Times New Roman"/>
          <w:sz w:val="24"/>
          <w:szCs w:val="24"/>
        </w:rPr>
        <w:t xml:space="preserve"> </w:t>
      </w:r>
      <w:r w:rsidR="00FC18D4">
        <w:rPr>
          <w:rFonts w:ascii="Times New Roman" w:hAnsi="Times New Roman" w:cs="Times New Roman"/>
          <w:sz w:val="24"/>
          <w:szCs w:val="24"/>
        </w:rPr>
        <w:t>nature</w:t>
      </w:r>
      <w:r w:rsidR="003A17AF">
        <w:rPr>
          <w:rFonts w:ascii="Times New Roman" w:hAnsi="Times New Roman" w:cs="Times New Roman"/>
          <w:sz w:val="24"/>
          <w:szCs w:val="24"/>
        </w:rPr>
        <w:t xml:space="preserve"> of the value premium.</w:t>
      </w:r>
    </w:p>
    <w:p w14:paraId="2F0E7FB7" w14:textId="19B088E8" w:rsidR="009D6E16" w:rsidRDefault="005E3FE6" w:rsidP="0059330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We consider a </w:t>
      </w:r>
      <w:r w:rsidR="00C92E0B">
        <w:rPr>
          <w:rFonts w:ascii="Times New Roman" w:hAnsi="Times New Roman" w:cs="Times New Roman"/>
          <w:sz w:val="24"/>
          <w:szCs w:val="24"/>
        </w:rPr>
        <w:t>setup</w:t>
      </w:r>
      <w:r>
        <w:rPr>
          <w:rFonts w:ascii="Times New Roman" w:hAnsi="Times New Roman" w:cs="Times New Roman"/>
          <w:sz w:val="24"/>
          <w:szCs w:val="24"/>
        </w:rPr>
        <w:t xml:space="preserve"> in which</w:t>
      </w:r>
      <w:r w:rsidR="00EF4D35">
        <w:rPr>
          <w:rFonts w:ascii="Times New Roman" w:hAnsi="Times New Roman" w:cs="Times New Roman"/>
          <w:sz w:val="24"/>
          <w:szCs w:val="24"/>
        </w:rPr>
        <w:t xml:space="preserve"> investors</w:t>
      </w:r>
      <w:r w:rsidR="0062362E">
        <w:rPr>
          <w:rFonts w:ascii="Times New Roman" w:hAnsi="Times New Roman" w:cs="Times New Roman"/>
          <w:sz w:val="24"/>
          <w:szCs w:val="24"/>
        </w:rPr>
        <w:t xml:space="preserve"> </w:t>
      </w:r>
      <w:r w:rsidR="00EF4D35">
        <w:rPr>
          <w:rFonts w:ascii="Times New Roman" w:hAnsi="Times New Roman" w:cs="Times New Roman"/>
          <w:sz w:val="24"/>
          <w:szCs w:val="24"/>
        </w:rPr>
        <w:t>face</w:t>
      </w:r>
      <w:r w:rsidR="0062362E">
        <w:rPr>
          <w:rFonts w:ascii="Times New Roman" w:hAnsi="Times New Roman" w:cs="Times New Roman"/>
          <w:sz w:val="24"/>
          <w:szCs w:val="24"/>
        </w:rPr>
        <w:t xml:space="preserve"> uncertainty about the distribution </w:t>
      </w:r>
      <w:r w:rsidR="004B58FA">
        <w:rPr>
          <w:rFonts w:ascii="Times New Roman" w:hAnsi="Times New Roman" w:cs="Times New Roman"/>
          <w:sz w:val="24"/>
          <w:szCs w:val="24"/>
        </w:rPr>
        <w:t xml:space="preserve">of </w:t>
      </w:r>
      <w:r w:rsidR="0062362E">
        <w:rPr>
          <w:rFonts w:ascii="Times New Roman" w:hAnsi="Times New Roman" w:cs="Times New Roman"/>
          <w:sz w:val="24"/>
          <w:szCs w:val="24"/>
        </w:rPr>
        <w:t>future cash flows and</w:t>
      </w:r>
      <w:r w:rsidR="00EF4D35">
        <w:rPr>
          <w:rFonts w:ascii="Times New Roman" w:hAnsi="Times New Roman" w:cs="Times New Roman"/>
          <w:sz w:val="24"/>
          <w:szCs w:val="24"/>
        </w:rPr>
        <w:t xml:space="preserve"> </w:t>
      </w:r>
      <w:r w:rsidR="0062362E">
        <w:rPr>
          <w:rFonts w:ascii="Times New Roman" w:hAnsi="Times New Roman" w:cs="Times New Roman"/>
          <w:sz w:val="24"/>
          <w:szCs w:val="24"/>
        </w:rPr>
        <w:t>the applicable discount rate</w:t>
      </w:r>
      <w:r w:rsidR="00B57531">
        <w:rPr>
          <w:rFonts w:ascii="Times New Roman" w:hAnsi="Times New Roman" w:cs="Times New Roman"/>
          <w:sz w:val="24"/>
          <w:szCs w:val="24"/>
        </w:rPr>
        <w:t xml:space="preserve">, </w:t>
      </w:r>
      <w:r w:rsidR="0017352B">
        <w:rPr>
          <w:rFonts w:ascii="Times New Roman" w:hAnsi="Times New Roman" w:cs="Times New Roman"/>
          <w:sz w:val="24"/>
          <w:szCs w:val="24"/>
        </w:rPr>
        <w:t xml:space="preserve">both </w:t>
      </w:r>
      <w:r w:rsidR="00B57531">
        <w:rPr>
          <w:rFonts w:ascii="Times New Roman" w:hAnsi="Times New Roman" w:cs="Times New Roman"/>
          <w:sz w:val="24"/>
          <w:szCs w:val="24"/>
        </w:rPr>
        <w:t xml:space="preserve">resolved </w:t>
      </w:r>
      <w:r w:rsidR="00EF4D35">
        <w:rPr>
          <w:rFonts w:ascii="Times New Roman" w:hAnsi="Times New Roman" w:cs="Times New Roman"/>
          <w:sz w:val="24"/>
          <w:szCs w:val="24"/>
        </w:rPr>
        <w:t xml:space="preserve">at </w:t>
      </w:r>
      <w:r w:rsidR="00C92D9E">
        <w:rPr>
          <w:rFonts w:ascii="Times New Roman" w:hAnsi="Times New Roman" w:cs="Times New Roman"/>
          <w:sz w:val="24"/>
          <w:szCs w:val="24"/>
        </w:rPr>
        <w:t>some</w:t>
      </w:r>
      <w:r w:rsidR="00EF4D35">
        <w:rPr>
          <w:rFonts w:ascii="Times New Roman" w:hAnsi="Times New Roman" w:cs="Times New Roman"/>
          <w:sz w:val="24"/>
          <w:szCs w:val="24"/>
        </w:rPr>
        <w:t xml:space="preserve"> intermediate stage</w:t>
      </w:r>
      <w:r w:rsidR="0062362E">
        <w:rPr>
          <w:rFonts w:ascii="Times New Roman" w:hAnsi="Times New Roman" w:cs="Times New Roman"/>
          <w:sz w:val="24"/>
          <w:szCs w:val="24"/>
        </w:rPr>
        <w:t xml:space="preserve">. In that framework, </w:t>
      </w:r>
      <w:r w:rsidR="00EF4D35">
        <w:rPr>
          <w:rFonts w:ascii="Times New Roman" w:hAnsi="Times New Roman" w:cs="Times New Roman"/>
          <w:sz w:val="24"/>
          <w:szCs w:val="24"/>
        </w:rPr>
        <w:t>current</w:t>
      </w:r>
      <w:r w:rsidR="0062362E">
        <w:rPr>
          <w:rFonts w:ascii="Times New Roman" w:hAnsi="Times New Roman" w:cs="Times New Roman"/>
          <w:sz w:val="24"/>
          <w:szCs w:val="24"/>
        </w:rPr>
        <w:t xml:space="preserve"> stock price derives from</w:t>
      </w:r>
      <w:r>
        <w:rPr>
          <w:rFonts w:ascii="Times New Roman" w:hAnsi="Times New Roman" w:cs="Times New Roman"/>
          <w:sz w:val="24"/>
          <w:szCs w:val="24"/>
        </w:rPr>
        <w:t xml:space="preserve"> possible</w:t>
      </w:r>
      <w:r w:rsidR="0062362E">
        <w:rPr>
          <w:rFonts w:ascii="Times New Roman" w:hAnsi="Times New Roman" w:cs="Times New Roman"/>
          <w:sz w:val="24"/>
          <w:szCs w:val="24"/>
        </w:rPr>
        <w:t xml:space="preserve"> </w:t>
      </w:r>
      <w:r w:rsidR="007F2110">
        <w:rPr>
          <w:rFonts w:ascii="Times New Roman" w:hAnsi="Times New Roman" w:cs="Times New Roman"/>
          <w:sz w:val="24"/>
          <w:szCs w:val="24"/>
        </w:rPr>
        <w:t>future</w:t>
      </w:r>
      <w:r w:rsidR="0062362E">
        <w:rPr>
          <w:rFonts w:ascii="Times New Roman" w:hAnsi="Times New Roman" w:cs="Times New Roman"/>
          <w:sz w:val="24"/>
          <w:szCs w:val="24"/>
        </w:rPr>
        <w:t xml:space="preserve"> state-contingent </w:t>
      </w:r>
      <w:r w:rsidR="007F2110">
        <w:rPr>
          <w:rFonts w:ascii="Times New Roman" w:hAnsi="Times New Roman" w:cs="Times New Roman"/>
          <w:sz w:val="24"/>
          <w:szCs w:val="24"/>
        </w:rPr>
        <w:t>valuations</w:t>
      </w:r>
      <w:r w:rsidR="00515994">
        <w:rPr>
          <w:rFonts w:ascii="Times New Roman" w:hAnsi="Times New Roman" w:cs="Times New Roman"/>
          <w:sz w:val="24"/>
          <w:szCs w:val="24"/>
        </w:rPr>
        <w:t xml:space="preserve">. </w:t>
      </w:r>
      <w:r w:rsidR="00A6585B">
        <w:rPr>
          <w:rFonts w:ascii="Times New Roman" w:hAnsi="Times New Roman" w:cs="Times New Roman"/>
          <w:sz w:val="24"/>
          <w:szCs w:val="24"/>
        </w:rPr>
        <w:t xml:space="preserve">The </w:t>
      </w:r>
      <w:r>
        <w:rPr>
          <w:rFonts w:ascii="Times New Roman" w:hAnsi="Times New Roman" w:cs="Times New Roman"/>
          <w:sz w:val="24"/>
          <w:szCs w:val="24"/>
        </w:rPr>
        <w:t>dispersion of</w:t>
      </w:r>
      <w:r w:rsidR="0017352B">
        <w:rPr>
          <w:rFonts w:ascii="Times New Roman" w:hAnsi="Times New Roman" w:cs="Times New Roman"/>
          <w:sz w:val="24"/>
          <w:szCs w:val="24"/>
        </w:rPr>
        <w:t xml:space="preserve"> th</w:t>
      </w:r>
      <w:r w:rsidR="003625A5">
        <w:rPr>
          <w:rFonts w:ascii="Times New Roman" w:hAnsi="Times New Roman" w:cs="Times New Roman"/>
          <w:sz w:val="24"/>
          <w:szCs w:val="24"/>
        </w:rPr>
        <w:t>ose</w:t>
      </w:r>
      <w:r w:rsidR="0017352B">
        <w:rPr>
          <w:rFonts w:ascii="Times New Roman" w:hAnsi="Times New Roman" w:cs="Times New Roman"/>
          <w:sz w:val="24"/>
          <w:szCs w:val="24"/>
        </w:rPr>
        <w:t xml:space="preserve"> values</w:t>
      </w:r>
      <w:r w:rsidR="00EF4D35">
        <w:rPr>
          <w:rFonts w:ascii="Times New Roman" w:hAnsi="Times New Roman" w:cs="Times New Roman"/>
          <w:sz w:val="24"/>
          <w:szCs w:val="24"/>
        </w:rPr>
        <w:t xml:space="preserve"> is what we call valuation uncertainty</w:t>
      </w:r>
      <w:r w:rsidR="00515994">
        <w:rPr>
          <w:rFonts w:ascii="Times New Roman" w:hAnsi="Times New Roman" w:cs="Times New Roman"/>
          <w:sz w:val="24"/>
          <w:szCs w:val="24"/>
        </w:rPr>
        <w:t>, and o</w:t>
      </w:r>
      <w:r w:rsidR="00C92D9E">
        <w:rPr>
          <w:rFonts w:ascii="Times New Roman" w:hAnsi="Times New Roman" w:cs="Times New Roman"/>
          <w:sz w:val="24"/>
          <w:szCs w:val="24"/>
        </w:rPr>
        <w:t xml:space="preserve">ur core innovation </w:t>
      </w:r>
      <w:r w:rsidR="00F510F1">
        <w:rPr>
          <w:rFonts w:ascii="Times New Roman" w:hAnsi="Times New Roman" w:cs="Times New Roman"/>
          <w:sz w:val="24"/>
          <w:szCs w:val="24"/>
        </w:rPr>
        <w:t>is</w:t>
      </w:r>
      <w:r w:rsidR="00083CC6">
        <w:rPr>
          <w:rFonts w:ascii="Times New Roman" w:hAnsi="Times New Roman" w:cs="Times New Roman"/>
          <w:sz w:val="24"/>
          <w:szCs w:val="24"/>
        </w:rPr>
        <w:t xml:space="preserve"> the</w:t>
      </w:r>
      <w:r w:rsidR="00C92E0B">
        <w:rPr>
          <w:rFonts w:ascii="Times New Roman" w:hAnsi="Times New Roman" w:cs="Times New Roman"/>
          <w:sz w:val="24"/>
          <w:szCs w:val="24"/>
        </w:rPr>
        <w:t xml:space="preserve"> </w:t>
      </w:r>
      <w:r w:rsidR="00C92D9E">
        <w:rPr>
          <w:rFonts w:ascii="Times New Roman" w:hAnsi="Times New Roman" w:cs="Times New Roman"/>
          <w:sz w:val="24"/>
          <w:szCs w:val="24"/>
        </w:rPr>
        <w:t>methodology for</w:t>
      </w:r>
      <w:r w:rsidR="00264069">
        <w:rPr>
          <w:rFonts w:ascii="Times New Roman" w:hAnsi="Times New Roman" w:cs="Times New Roman"/>
          <w:sz w:val="24"/>
          <w:szCs w:val="24"/>
        </w:rPr>
        <w:t xml:space="preserve"> </w:t>
      </w:r>
      <w:r w:rsidR="002B0E6E">
        <w:rPr>
          <w:rFonts w:ascii="Times New Roman" w:hAnsi="Times New Roman" w:cs="Times New Roman"/>
          <w:sz w:val="24"/>
          <w:szCs w:val="24"/>
        </w:rPr>
        <w:t>obtain</w:t>
      </w:r>
      <w:r w:rsidR="00C92D9E">
        <w:rPr>
          <w:rFonts w:ascii="Times New Roman" w:hAnsi="Times New Roman" w:cs="Times New Roman"/>
          <w:sz w:val="24"/>
          <w:szCs w:val="24"/>
        </w:rPr>
        <w:t>ing</w:t>
      </w:r>
      <w:r w:rsidR="002B0E6E">
        <w:rPr>
          <w:rFonts w:ascii="Times New Roman" w:hAnsi="Times New Roman" w:cs="Times New Roman"/>
          <w:sz w:val="24"/>
          <w:szCs w:val="24"/>
        </w:rPr>
        <w:t xml:space="preserve"> </w:t>
      </w:r>
      <w:r w:rsidR="003625A5">
        <w:rPr>
          <w:rFonts w:ascii="Times New Roman" w:hAnsi="Times New Roman" w:cs="Times New Roman"/>
          <w:sz w:val="24"/>
          <w:szCs w:val="24"/>
        </w:rPr>
        <w:t>such</w:t>
      </w:r>
      <w:r w:rsidR="002B0E6E">
        <w:rPr>
          <w:rFonts w:ascii="Times New Roman" w:hAnsi="Times New Roman" w:cs="Times New Roman"/>
          <w:sz w:val="24"/>
          <w:szCs w:val="24"/>
        </w:rPr>
        <w:t xml:space="preserve"> hypothetical valuations</w:t>
      </w:r>
      <w:r w:rsidR="00AA6CD6">
        <w:rPr>
          <w:rFonts w:ascii="Times New Roman" w:hAnsi="Times New Roman" w:cs="Times New Roman"/>
          <w:sz w:val="24"/>
          <w:szCs w:val="24"/>
        </w:rPr>
        <w:t xml:space="preserve">. </w:t>
      </w:r>
      <w:r w:rsidR="00400046">
        <w:rPr>
          <w:rFonts w:ascii="Times New Roman" w:hAnsi="Times New Roman" w:cs="Times New Roman"/>
          <w:sz w:val="24"/>
          <w:szCs w:val="24"/>
        </w:rPr>
        <w:t>To value firms, w</w:t>
      </w:r>
      <w:r w:rsidR="0024719B">
        <w:rPr>
          <w:rFonts w:ascii="Times New Roman" w:hAnsi="Times New Roman" w:cs="Times New Roman"/>
          <w:sz w:val="24"/>
          <w:szCs w:val="24"/>
        </w:rPr>
        <w:t>e build on th</w:t>
      </w:r>
      <w:r w:rsidR="000F5328">
        <w:rPr>
          <w:rFonts w:ascii="Times New Roman" w:hAnsi="Times New Roman" w:cs="Times New Roman"/>
          <w:sz w:val="24"/>
          <w:szCs w:val="24"/>
        </w:rPr>
        <w:t xml:space="preserve">e work of </w:t>
      </w:r>
      <w:hyperlink w:anchor="_ENREF_62" w:tooltip="Rhodes–Kropf, 2005 #152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AuthorYear="1"&gt;&lt;Author&gt;Rhodes–Kropf&lt;/Author&gt;&lt;Year&gt;2005&lt;/Year&gt;&lt;RecNum&gt;1527&lt;/RecNum&gt;&lt;DisplayText&gt;Rhodes–Kropf, Robinson, and Viswanathan (2005)&lt;/DisplayText&gt;&lt;record&gt;&lt;rec-number&gt;1527&lt;/rec-number&gt;&lt;foreign-keys&gt;&lt;key app="EN" db-id="a00ppf5vbz2zw4efraqp9recxrvdwwtasszf" timestamp="1636055779"&gt;1527&lt;/key&gt;&lt;/foreign-keys&gt;&lt;ref-type name="Journal Article"&gt;17&lt;/ref-type&gt;&lt;contributors&gt;&lt;authors&gt;&lt;author&gt;Rhodes–Kropf, Matthew&lt;/author&gt;&lt;author&gt;Robinson, David T.&lt;/author&gt;&lt;author&gt;Viswanathan, S.&lt;/author&gt;&lt;/authors&gt;&lt;/contributors&gt;&lt;titles&gt;&lt;title&gt;Valuation waves and merger activity: The empirical evidence&lt;/title&gt;&lt;secondary-title&gt;Journal of Financial Economics&lt;/secondary-title&gt;&lt;/titles&gt;&lt;periodical&gt;&lt;full-title&gt;Journal of Financial Economics&lt;/full-title&gt;&lt;/periodical&gt;&lt;pages&gt;561-603&lt;/pages&gt;&lt;volume&gt;77&lt;/volume&gt;&lt;number&gt;3&lt;/number&gt;&lt;keywords&gt;&lt;keyword&gt;CONSOLIDATION &amp;amp; merger of corporations&lt;/keyword&gt;&lt;keyword&gt;DEBT-to-equity ratio&lt;/keyword&gt;&lt;keyword&gt;VALUATION&lt;/keyword&gt;&lt;keyword&gt;PRICING&lt;/keyword&gt;&lt;keyword&gt;STOCK exchanges&lt;/keyword&gt;&lt;keyword&gt;DECOMPOSITION (Mathematics)&lt;/keyword&gt;&lt;keyword&gt;G14&lt;/keyword&gt;&lt;keyword&gt;Merger waves&lt;/keyword&gt;&lt;keyword&gt;Mergers and acquisitions&lt;/keyword&gt;&lt;/keywords&gt;&lt;dates&gt;&lt;year&gt;2005&lt;/year&gt;&lt;/dates&gt;&lt;isbn&gt;0304405X&lt;/isbn&gt;&lt;accession-num&gt;18244341&lt;/accession-num&gt;&lt;work-type&gt;Article&lt;/work-type&gt;&lt;urls&gt;&lt;related-urls&gt;&lt;url&gt;http://search.ebscohost.com/login.aspx?direct=true&amp;amp;AuthType=athens,ip,cookie,url,uid&amp;amp;db=bth&amp;amp;AN=18244341&amp;amp;site=ehost-live&lt;/url&gt;&lt;/related-urls&gt;&lt;/urls&gt;&lt;electronic-resource-num&gt;10.1016/j.jfineco.2004.06.015&lt;/electronic-resource-num&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Rhodes–Kropf, Robinson, and Viswanathan (2005)</w:t>
        </w:r>
        <w:r w:rsidR="00A4299A">
          <w:rPr>
            <w:rFonts w:ascii="Times New Roman" w:hAnsi="Times New Roman" w:cs="Times New Roman"/>
            <w:sz w:val="24"/>
            <w:szCs w:val="24"/>
          </w:rPr>
          <w:fldChar w:fldCharType="end"/>
        </w:r>
      </w:hyperlink>
      <w:r w:rsidR="00AA6CD6">
        <w:rPr>
          <w:rFonts w:ascii="Times New Roman" w:hAnsi="Times New Roman" w:cs="Times New Roman"/>
          <w:sz w:val="24"/>
          <w:szCs w:val="24"/>
        </w:rPr>
        <w:t xml:space="preserve"> </w:t>
      </w:r>
      <w:r w:rsidR="00CE513D">
        <w:rPr>
          <w:rFonts w:ascii="Times New Roman" w:hAnsi="Times New Roman" w:cs="Times New Roman"/>
          <w:sz w:val="24"/>
          <w:szCs w:val="24"/>
        </w:rPr>
        <w:t xml:space="preserve">who </w:t>
      </w:r>
      <w:r w:rsidR="00134317">
        <w:rPr>
          <w:rFonts w:ascii="Times New Roman" w:hAnsi="Times New Roman" w:cs="Times New Roman"/>
          <w:sz w:val="24"/>
          <w:szCs w:val="24"/>
        </w:rPr>
        <w:t>ma</w:t>
      </w:r>
      <w:r w:rsidR="005D6DAB">
        <w:rPr>
          <w:rFonts w:ascii="Times New Roman" w:hAnsi="Times New Roman" w:cs="Times New Roman"/>
          <w:sz w:val="24"/>
          <w:szCs w:val="24"/>
        </w:rPr>
        <w:t>p stock prices into accounting</w:t>
      </w:r>
      <w:r w:rsidR="00400046">
        <w:rPr>
          <w:rFonts w:ascii="Times New Roman" w:hAnsi="Times New Roman" w:cs="Times New Roman"/>
          <w:sz w:val="24"/>
          <w:szCs w:val="24"/>
        </w:rPr>
        <w:t xml:space="preserve"> </w:t>
      </w:r>
      <w:r w:rsidR="00134317">
        <w:rPr>
          <w:rFonts w:ascii="Times New Roman" w:hAnsi="Times New Roman" w:cs="Times New Roman"/>
          <w:sz w:val="24"/>
          <w:szCs w:val="24"/>
        </w:rPr>
        <w:t>fundamentals</w:t>
      </w:r>
      <w:r w:rsidR="00CE513D">
        <w:rPr>
          <w:rFonts w:ascii="Times New Roman" w:hAnsi="Times New Roman" w:cs="Times New Roman"/>
          <w:sz w:val="24"/>
          <w:szCs w:val="24"/>
        </w:rPr>
        <w:t xml:space="preserve"> </w:t>
      </w:r>
      <w:r w:rsidR="00757055">
        <w:rPr>
          <w:rFonts w:ascii="Times New Roman" w:hAnsi="Times New Roman" w:cs="Times New Roman"/>
          <w:sz w:val="24"/>
          <w:szCs w:val="24"/>
        </w:rPr>
        <w:t xml:space="preserve">to </w:t>
      </w:r>
      <w:r w:rsidR="00CE513D">
        <w:rPr>
          <w:rFonts w:ascii="Times New Roman" w:hAnsi="Times New Roman" w:cs="Times New Roman"/>
          <w:sz w:val="24"/>
          <w:szCs w:val="24"/>
        </w:rPr>
        <w:t>obtain</w:t>
      </w:r>
      <w:r w:rsidR="00400046">
        <w:rPr>
          <w:rFonts w:ascii="Times New Roman" w:hAnsi="Times New Roman" w:cs="Times New Roman"/>
          <w:sz w:val="24"/>
          <w:szCs w:val="24"/>
        </w:rPr>
        <w:t xml:space="preserve"> </w:t>
      </w:r>
      <w:r w:rsidR="00134317">
        <w:rPr>
          <w:rFonts w:ascii="Times New Roman" w:hAnsi="Times New Roman" w:cs="Times New Roman"/>
          <w:sz w:val="24"/>
          <w:szCs w:val="24"/>
        </w:rPr>
        <w:t>industry-</w:t>
      </w:r>
      <w:r w:rsidR="00745738">
        <w:rPr>
          <w:rFonts w:ascii="Times New Roman" w:hAnsi="Times New Roman" w:cs="Times New Roman"/>
          <w:sz w:val="24"/>
          <w:szCs w:val="24"/>
        </w:rPr>
        <w:t xml:space="preserve">year </w:t>
      </w:r>
      <w:r w:rsidR="00134317">
        <w:rPr>
          <w:rFonts w:ascii="Times New Roman" w:hAnsi="Times New Roman" w:cs="Times New Roman"/>
          <w:sz w:val="24"/>
          <w:szCs w:val="24"/>
        </w:rPr>
        <w:t>valuation multiples</w:t>
      </w:r>
      <w:r w:rsidR="00BF33B0">
        <w:rPr>
          <w:rFonts w:ascii="Times New Roman" w:hAnsi="Times New Roman" w:cs="Times New Roman"/>
          <w:sz w:val="24"/>
          <w:szCs w:val="24"/>
        </w:rPr>
        <w:t xml:space="preserve"> rooted in the residual income valuation </w:t>
      </w:r>
      <w:r w:rsidR="00633C3C">
        <w:rPr>
          <w:rFonts w:ascii="Times New Roman" w:hAnsi="Times New Roman" w:cs="Times New Roman"/>
          <w:sz w:val="24"/>
          <w:szCs w:val="24"/>
        </w:rPr>
        <w:t>model</w:t>
      </w:r>
      <w:r w:rsidR="00134317">
        <w:rPr>
          <w:rFonts w:ascii="Times New Roman" w:hAnsi="Times New Roman" w:cs="Times New Roman"/>
          <w:sz w:val="24"/>
          <w:szCs w:val="24"/>
        </w:rPr>
        <w:t>. We</w:t>
      </w:r>
      <w:r w:rsidR="00633C3C">
        <w:rPr>
          <w:rFonts w:ascii="Times New Roman" w:hAnsi="Times New Roman" w:cs="Times New Roman"/>
          <w:sz w:val="24"/>
          <w:szCs w:val="24"/>
        </w:rPr>
        <w:t xml:space="preserve"> refine th</w:t>
      </w:r>
      <w:r w:rsidR="00757055">
        <w:rPr>
          <w:rFonts w:ascii="Times New Roman" w:hAnsi="Times New Roman" w:cs="Times New Roman"/>
          <w:sz w:val="24"/>
          <w:szCs w:val="24"/>
        </w:rPr>
        <w:t>at</w:t>
      </w:r>
      <w:r w:rsidR="00633C3C">
        <w:rPr>
          <w:rFonts w:ascii="Times New Roman" w:hAnsi="Times New Roman" w:cs="Times New Roman"/>
          <w:sz w:val="24"/>
          <w:szCs w:val="24"/>
        </w:rPr>
        <w:t xml:space="preserve"> approach</w:t>
      </w:r>
      <w:r w:rsidR="00EB2022">
        <w:rPr>
          <w:rFonts w:ascii="Times New Roman" w:hAnsi="Times New Roman" w:cs="Times New Roman"/>
          <w:sz w:val="24"/>
          <w:szCs w:val="24"/>
        </w:rPr>
        <w:t xml:space="preserve"> </w:t>
      </w:r>
      <w:r w:rsidR="00593307">
        <w:rPr>
          <w:rFonts w:ascii="Times New Roman" w:hAnsi="Times New Roman" w:cs="Times New Roman"/>
          <w:sz w:val="24"/>
          <w:szCs w:val="24"/>
        </w:rPr>
        <w:t xml:space="preserve">in </w:t>
      </w:r>
      <w:r w:rsidR="00EB2022">
        <w:rPr>
          <w:rFonts w:ascii="Times New Roman" w:hAnsi="Times New Roman" w:cs="Times New Roman"/>
          <w:sz w:val="24"/>
          <w:szCs w:val="24"/>
        </w:rPr>
        <w:t>a number of ways</w:t>
      </w:r>
      <w:r w:rsidR="002D2C55">
        <w:rPr>
          <w:rFonts w:ascii="Times New Roman" w:hAnsi="Times New Roman" w:cs="Times New Roman"/>
          <w:sz w:val="24"/>
          <w:szCs w:val="24"/>
        </w:rPr>
        <w:t xml:space="preserve"> and incorporate </w:t>
      </w:r>
      <w:r w:rsidR="00134317">
        <w:rPr>
          <w:rFonts w:ascii="Times New Roman" w:hAnsi="Times New Roman" w:cs="Times New Roman"/>
          <w:sz w:val="24"/>
          <w:szCs w:val="24"/>
        </w:rPr>
        <w:t xml:space="preserve">intangible </w:t>
      </w:r>
      <w:r w:rsidR="00633C3C">
        <w:rPr>
          <w:rFonts w:ascii="Times New Roman" w:hAnsi="Times New Roman" w:cs="Times New Roman"/>
          <w:sz w:val="24"/>
          <w:szCs w:val="24"/>
        </w:rPr>
        <w:t>capital in light of its rising importance</w:t>
      </w:r>
      <w:r w:rsidR="00035303">
        <w:rPr>
          <w:rFonts w:ascii="Times New Roman" w:hAnsi="Times New Roman" w:cs="Times New Roman"/>
          <w:sz w:val="24"/>
          <w:szCs w:val="24"/>
        </w:rPr>
        <w:t xml:space="preserve"> (</w:t>
      </w:r>
      <w:r w:rsidR="00D838FE">
        <w:rPr>
          <w:rFonts w:ascii="Times New Roman" w:hAnsi="Times New Roman" w:cs="Times New Roman"/>
          <w:sz w:val="24"/>
          <w:szCs w:val="24"/>
        </w:rPr>
        <w:t xml:space="preserve">see, e.g., </w:t>
      </w:r>
      <w:hyperlink w:anchor="_ENREF_12" w:tooltip="Barth, 2023 #179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AuthorYear="1"&gt;&lt;Author&gt;Barth&lt;/Author&gt;&lt;Year&gt;2023&lt;/Year&gt;&lt;RecNum&gt;1797&lt;/RecNum&gt;&lt;DisplayText&gt;Barth, Li, and McClure (2023)&lt;/DisplayText&gt;&lt;record&gt;&lt;rec-number&gt;1797&lt;/rec-number&gt;&lt;foreign-keys&gt;&lt;key app="EN" db-id="a00ppf5vbz2zw4efraqp9recxrvdwwtasszf" timestamp="1687432775"&gt;1797&lt;/key&gt;&lt;/foreign-keys&gt;&lt;ref-type name="Journal Article"&gt;17&lt;/ref-type&gt;&lt;contributors&gt;&lt;authors&gt;&lt;author&gt;Barth, Mary E.&lt;/author&gt;&lt;author&gt;Li, Ken&lt;/author&gt;&lt;author&gt;McClure, Charles G.&lt;/author&gt;&lt;/authors&gt;&lt;/contributors&gt;&lt;titles&gt;&lt;title&gt;Evolution in Value Relevance of Accounting Information&lt;/title&gt;&lt;secondary-title&gt;The Accounting Review&lt;/secondary-title&gt;&lt;/titles&gt;&lt;periodical&gt;&lt;full-title&gt;The Accounting Review&lt;/full-title&gt;&lt;/periodical&gt;&lt;pages&gt;1-28&lt;/pages&gt;&lt;volume&gt;98&lt;/volume&gt;&lt;number&gt;1&lt;/number&gt;&lt;dates&gt;&lt;year&gt;2023&lt;/year&gt;&lt;/dates&gt;&lt;isbn&gt;0001-4826&lt;/isbn&gt;&lt;urls&gt;&lt;related-urls&gt;&lt;url&gt;https://doi.org/10.2308/TAR-2019-0521&lt;/url&gt;&lt;/related-urls&gt;&lt;/urls&gt;&lt;electronic-resource-num&gt;10.2308/tar-2019-0521&lt;/electronic-resource-num&gt;&lt;access-date&gt;6/22/2023&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Barth, Li, and McClure (2023)</w:t>
        </w:r>
        <w:r w:rsidR="00A4299A">
          <w:rPr>
            <w:rFonts w:ascii="Times New Roman" w:hAnsi="Times New Roman" w:cs="Times New Roman"/>
            <w:sz w:val="24"/>
            <w:szCs w:val="24"/>
          </w:rPr>
          <w:fldChar w:fldCharType="end"/>
        </w:r>
      </w:hyperlink>
      <w:r w:rsidR="00D838FE">
        <w:rPr>
          <w:rFonts w:ascii="Times New Roman" w:hAnsi="Times New Roman" w:cs="Times New Roman"/>
          <w:sz w:val="24"/>
          <w:szCs w:val="24"/>
        </w:rPr>
        <w:t>)</w:t>
      </w:r>
      <w:r w:rsidR="00134317">
        <w:rPr>
          <w:rFonts w:ascii="Times New Roman" w:hAnsi="Times New Roman" w:cs="Times New Roman"/>
          <w:sz w:val="24"/>
          <w:szCs w:val="24"/>
        </w:rPr>
        <w:t>.</w:t>
      </w:r>
      <w:r w:rsidR="0024719B">
        <w:rPr>
          <w:rFonts w:ascii="Times New Roman" w:hAnsi="Times New Roman" w:cs="Times New Roman"/>
          <w:sz w:val="24"/>
          <w:szCs w:val="24"/>
        </w:rPr>
        <w:t xml:space="preserve"> </w:t>
      </w:r>
      <w:r w:rsidR="00593307">
        <w:rPr>
          <w:rFonts w:ascii="Times New Roman" w:hAnsi="Times New Roman" w:cs="Times New Roman"/>
          <w:sz w:val="24"/>
          <w:szCs w:val="24"/>
        </w:rPr>
        <w:t>T</w:t>
      </w:r>
      <w:r w:rsidR="00074125">
        <w:rPr>
          <w:rFonts w:ascii="Times New Roman" w:hAnsi="Times New Roman" w:cs="Times New Roman"/>
          <w:sz w:val="24"/>
          <w:szCs w:val="24"/>
        </w:rPr>
        <w:t xml:space="preserve">o </w:t>
      </w:r>
      <w:r w:rsidR="00593307">
        <w:rPr>
          <w:rFonts w:ascii="Times New Roman" w:hAnsi="Times New Roman" w:cs="Times New Roman"/>
          <w:sz w:val="24"/>
          <w:szCs w:val="24"/>
        </w:rPr>
        <w:t xml:space="preserve">obtain </w:t>
      </w:r>
      <w:r w:rsidR="00C92D9E">
        <w:rPr>
          <w:rFonts w:ascii="Times New Roman" w:hAnsi="Times New Roman" w:cs="Times New Roman"/>
          <w:sz w:val="24"/>
          <w:szCs w:val="24"/>
        </w:rPr>
        <w:t>a</w:t>
      </w:r>
      <w:r w:rsidR="00074125">
        <w:rPr>
          <w:rFonts w:ascii="Times New Roman" w:hAnsi="Times New Roman" w:cs="Times New Roman"/>
          <w:sz w:val="24"/>
          <w:szCs w:val="24"/>
        </w:rPr>
        <w:t xml:space="preserve"> </w:t>
      </w:r>
      <w:r w:rsidR="00807D67" w:rsidRPr="002F28CF">
        <w:rPr>
          <w:rFonts w:ascii="Times New Roman" w:hAnsi="Times New Roman" w:cs="Times New Roman"/>
          <w:i/>
          <w:iCs/>
          <w:sz w:val="24"/>
          <w:szCs w:val="24"/>
        </w:rPr>
        <w:t>range</w:t>
      </w:r>
      <w:r w:rsidR="00074125">
        <w:rPr>
          <w:rFonts w:ascii="Times New Roman" w:hAnsi="Times New Roman" w:cs="Times New Roman"/>
          <w:sz w:val="24"/>
          <w:szCs w:val="24"/>
        </w:rPr>
        <w:t xml:space="preserve"> </w:t>
      </w:r>
      <w:r w:rsidR="0024719B">
        <w:rPr>
          <w:rFonts w:ascii="Times New Roman" w:hAnsi="Times New Roman" w:cs="Times New Roman"/>
          <w:sz w:val="24"/>
          <w:szCs w:val="24"/>
        </w:rPr>
        <w:t xml:space="preserve">of </w:t>
      </w:r>
      <w:r w:rsidR="00593307">
        <w:rPr>
          <w:rFonts w:ascii="Times New Roman" w:hAnsi="Times New Roman" w:cs="Times New Roman"/>
          <w:sz w:val="24"/>
          <w:szCs w:val="24"/>
        </w:rPr>
        <w:t xml:space="preserve">hypothetical </w:t>
      </w:r>
      <w:r w:rsidR="0024719B">
        <w:rPr>
          <w:rFonts w:ascii="Times New Roman" w:hAnsi="Times New Roman" w:cs="Times New Roman"/>
          <w:sz w:val="24"/>
          <w:szCs w:val="24"/>
        </w:rPr>
        <w:t>fundamental values</w:t>
      </w:r>
      <w:r w:rsidR="00074125">
        <w:rPr>
          <w:rFonts w:ascii="Times New Roman" w:hAnsi="Times New Roman" w:cs="Times New Roman"/>
          <w:sz w:val="24"/>
          <w:szCs w:val="24"/>
        </w:rPr>
        <w:t xml:space="preserve"> of a given firm</w:t>
      </w:r>
      <w:r w:rsidR="002D2C55">
        <w:rPr>
          <w:rFonts w:ascii="Times New Roman" w:hAnsi="Times New Roman" w:cs="Times New Roman"/>
          <w:sz w:val="24"/>
          <w:szCs w:val="24"/>
        </w:rPr>
        <w:t>,</w:t>
      </w:r>
      <w:r w:rsidR="00593307">
        <w:rPr>
          <w:rFonts w:ascii="Times New Roman" w:hAnsi="Times New Roman" w:cs="Times New Roman"/>
          <w:sz w:val="24"/>
          <w:szCs w:val="24"/>
        </w:rPr>
        <w:t xml:space="preserve"> </w:t>
      </w:r>
      <w:r w:rsidR="00BD6708">
        <w:rPr>
          <w:rFonts w:ascii="Times New Roman" w:hAnsi="Times New Roman" w:cs="Times New Roman"/>
          <w:sz w:val="24"/>
          <w:szCs w:val="24"/>
        </w:rPr>
        <w:t>we</w:t>
      </w:r>
      <w:r w:rsidR="00317711">
        <w:rPr>
          <w:rFonts w:ascii="Times New Roman" w:hAnsi="Times New Roman" w:cs="Times New Roman"/>
          <w:sz w:val="24"/>
          <w:szCs w:val="24"/>
        </w:rPr>
        <w:t xml:space="preserve"> model after</w:t>
      </w:r>
      <w:r w:rsidR="00DA2DFE">
        <w:rPr>
          <w:rFonts w:ascii="Times New Roman" w:hAnsi="Times New Roman" w:cs="Times New Roman"/>
          <w:sz w:val="24"/>
          <w:szCs w:val="24"/>
        </w:rPr>
        <w:t xml:space="preserve"> </w:t>
      </w:r>
      <w:hyperlink w:anchor="_ENREF_49" w:tooltip="Konstantinidi, 2016 #1131"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AuthorYear="1"&gt;&lt;Author&gt;Konstantinidi&lt;/Author&gt;&lt;Year&gt;2016&lt;/Year&gt;&lt;RecNum&gt;1131&lt;/RecNum&gt;&lt;DisplayText&gt;Konstantinidi and Pope (2016)&lt;/DisplayText&gt;&lt;record&gt;&lt;rec-number&gt;1131&lt;/rec-number&gt;&lt;foreign-keys&gt;&lt;key app="EN" db-id="a00ppf5vbz2zw4efraqp9recxrvdwwtasszf" timestamp="1636055775"&gt;1131&lt;/key&gt;&lt;/foreign-keys&gt;&lt;ref-type name="Journal Article"&gt;17&lt;/ref-type&gt;&lt;contributors&gt;&lt;authors&gt;&lt;author&gt;Konstantinidi, Theodosia&lt;/author&gt;&lt;author&gt;Pope, Peter F.&lt;/author&gt;&lt;/authors&gt;&lt;/contributors&gt;&lt;titles&gt;&lt;title&gt;Forecasting Risk in Earnings&lt;/title&gt;&lt;secondary-title&gt;Contemporary Accounting Research&lt;/secondary-title&gt;&lt;/titles&gt;&lt;periodical&gt;&lt;full-title&gt;Contemporary Accounting Research&lt;/full-title&gt;&lt;/periodical&gt;&lt;pages&gt;487-525&lt;/pages&gt;&lt;volume&gt;33&lt;/volume&gt;&lt;number&gt;2&lt;/number&gt;&lt;keywords&gt;&lt;keyword&gt;EARNINGS forecasting&lt;/keyword&gt;&lt;keyword&gt;HIERARCHICAL Bayes model&lt;/keyword&gt;&lt;keyword&gt;FINANCIAL economics&lt;/keyword&gt;&lt;keyword&gt;INVESTMENT analysis&lt;/keyword&gt;&lt;keyword&gt;HAIRCUT (Finance)&lt;/keyword&gt;&lt;keyword&gt;OPPORTUNITY costs&lt;/keyword&gt;&lt;keyword&gt;MARKET value&lt;/keyword&gt;&lt;keyword&gt;PREDICTION models&lt;/keyword&gt;&lt;/keywords&gt;&lt;dates&gt;&lt;year&gt;2016&lt;/year&gt;&lt;pub-dates&gt;&lt;date&gt;Summer2016&lt;/date&gt;&lt;/pub-dates&gt;&lt;/dates&gt;&lt;isbn&gt;08239150&lt;/isbn&gt;&lt;accession-num&gt;115813092&lt;/accession-num&gt;&lt;work-type&gt;Article&lt;/work-type&gt;&lt;urls&gt;&lt;related-urls&gt;&lt;url&gt;http://search.ebscohost.com/login.aspx?direct=true&amp;amp;db=buh&amp;amp;AN=115813092&amp;amp;site=ehost-live&lt;/url&gt;&lt;/related-urls&gt;&lt;/urls&gt;&lt;electronic-resource-num&gt;10.1111/1911-3846.12158&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Konstantinidi and Pope (2016)</w:t>
        </w:r>
        <w:r w:rsidR="00A4299A">
          <w:rPr>
            <w:rFonts w:ascii="Times New Roman" w:hAnsi="Times New Roman" w:cs="Times New Roman"/>
            <w:sz w:val="24"/>
            <w:szCs w:val="24"/>
          </w:rPr>
          <w:fldChar w:fldCharType="end"/>
        </w:r>
      </w:hyperlink>
      <w:r w:rsidR="00DA2DFE">
        <w:rPr>
          <w:rFonts w:ascii="Times New Roman" w:hAnsi="Times New Roman" w:cs="Times New Roman"/>
          <w:sz w:val="24"/>
          <w:szCs w:val="24"/>
        </w:rPr>
        <w:t xml:space="preserve"> who use quantile regressions to </w:t>
      </w:r>
      <w:r w:rsidR="00731934">
        <w:rPr>
          <w:rFonts w:ascii="Times New Roman" w:hAnsi="Times New Roman" w:cs="Times New Roman"/>
          <w:sz w:val="24"/>
          <w:szCs w:val="24"/>
        </w:rPr>
        <w:t xml:space="preserve">forecast </w:t>
      </w:r>
      <w:r w:rsidR="00DA2DFE">
        <w:rPr>
          <w:rFonts w:ascii="Times New Roman" w:hAnsi="Times New Roman" w:cs="Times New Roman"/>
          <w:sz w:val="24"/>
          <w:szCs w:val="24"/>
        </w:rPr>
        <w:t>risk in</w:t>
      </w:r>
      <w:r w:rsidR="00731934">
        <w:rPr>
          <w:rFonts w:ascii="Times New Roman" w:hAnsi="Times New Roman" w:cs="Times New Roman"/>
          <w:sz w:val="24"/>
          <w:szCs w:val="24"/>
        </w:rPr>
        <w:t xml:space="preserve"> corporate</w:t>
      </w:r>
      <w:r w:rsidR="00DA2DFE">
        <w:rPr>
          <w:rFonts w:ascii="Times New Roman" w:hAnsi="Times New Roman" w:cs="Times New Roman"/>
          <w:sz w:val="24"/>
          <w:szCs w:val="24"/>
        </w:rPr>
        <w:t xml:space="preserve"> earnings. </w:t>
      </w:r>
      <w:r w:rsidR="007C549F">
        <w:rPr>
          <w:rFonts w:ascii="Times New Roman" w:hAnsi="Times New Roman" w:cs="Times New Roman"/>
          <w:sz w:val="24"/>
          <w:szCs w:val="24"/>
        </w:rPr>
        <w:t xml:space="preserve">We </w:t>
      </w:r>
      <w:r w:rsidR="00AA5007">
        <w:rPr>
          <w:rFonts w:ascii="Times New Roman" w:hAnsi="Times New Roman" w:cs="Times New Roman"/>
          <w:sz w:val="24"/>
          <w:szCs w:val="24"/>
        </w:rPr>
        <w:t xml:space="preserve">estimate </w:t>
      </w:r>
      <w:r w:rsidR="0035198C">
        <w:rPr>
          <w:rFonts w:ascii="Times New Roman" w:hAnsi="Times New Roman" w:cs="Times New Roman"/>
          <w:sz w:val="24"/>
          <w:szCs w:val="24"/>
        </w:rPr>
        <w:t>quantile regressions</w:t>
      </w:r>
      <w:r w:rsidR="00AA5007">
        <w:rPr>
          <w:rFonts w:ascii="Times New Roman" w:hAnsi="Times New Roman" w:cs="Times New Roman"/>
          <w:sz w:val="24"/>
          <w:szCs w:val="24"/>
        </w:rPr>
        <w:t xml:space="preserve"> of equity values on accounting fundamentals </w:t>
      </w:r>
      <w:r w:rsidR="00757055">
        <w:rPr>
          <w:rFonts w:ascii="Times New Roman" w:hAnsi="Times New Roman" w:cs="Times New Roman"/>
          <w:sz w:val="24"/>
          <w:szCs w:val="24"/>
        </w:rPr>
        <w:t>by</w:t>
      </w:r>
      <w:r w:rsidR="00AA5007">
        <w:rPr>
          <w:rFonts w:ascii="Times New Roman" w:hAnsi="Times New Roman" w:cs="Times New Roman"/>
          <w:sz w:val="24"/>
          <w:szCs w:val="24"/>
        </w:rPr>
        <w:t xml:space="preserve"> industry-year</w:t>
      </w:r>
      <w:r w:rsidR="0035198C">
        <w:rPr>
          <w:rFonts w:ascii="Times New Roman" w:hAnsi="Times New Roman" w:cs="Times New Roman"/>
          <w:sz w:val="24"/>
          <w:szCs w:val="24"/>
        </w:rPr>
        <w:t xml:space="preserve"> and </w:t>
      </w:r>
      <w:r w:rsidR="00AA5007">
        <w:rPr>
          <w:rFonts w:ascii="Times New Roman" w:hAnsi="Times New Roman" w:cs="Times New Roman"/>
          <w:sz w:val="24"/>
          <w:szCs w:val="24"/>
        </w:rPr>
        <w:t xml:space="preserve">use the </w:t>
      </w:r>
      <w:r w:rsidR="0035198C">
        <w:rPr>
          <w:rFonts w:ascii="Times New Roman" w:hAnsi="Times New Roman" w:cs="Times New Roman"/>
          <w:sz w:val="24"/>
          <w:szCs w:val="24"/>
        </w:rPr>
        <w:t xml:space="preserve">valuation multiples of </w:t>
      </w:r>
      <w:r w:rsidR="007C549F">
        <w:rPr>
          <w:rFonts w:ascii="Times New Roman" w:hAnsi="Times New Roman" w:cs="Times New Roman"/>
          <w:sz w:val="24"/>
          <w:szCs w:val="24"/>
        </w:rPr>
        <w:t>high- and low-valued peer</w:t>
      </w:r>
      <w:r w:rsidR="0035198C">
        <w:rPr>
          <w:rFonts w:ascii="Times New Roman" w:hAnsi="Times New Roman" w:cs="Times New Roman"/>
          <w:sz w:val="24"/>
          <w:szCs w:val="24"/>
        </w:rPr>
        <w:t>s</w:t>
      </w:r>
      <w:r w:rsidR="00AA5007">
        <w:rPr>
          <w:rFonts w:ascii="Times New Roman" w:hAnsi="Times New Roman" w:cs="Times New Roman"/>
          <w:sz w:val="24"/>
          <w:szCs w:val="24"/>
        </w:rPr>
        <w:t xml:space="preserve"> to generate</w:t>
      </w:r>
      <w:r w:rsidR="00C27B72">
        <w:rPr>
          <w:rFonts w:ascii="Times New Roman" w:hAnsi="Times New Roman" w:cs="Times New Roman"/>
          <w:sz w:val="24"/>
          <w:szCs w:val="24"/>
        </w:rPr>
        <w:t xml:space="preserve"> a</w:t>
      </w:r>
      <w:r w:rsidR="00AA5007">
        <w:rPr>
          <w:rFonts w:ascii="Times New Roman" w:hAnsi="Times New Roman" w:cs="Times New Roman"/>
          <w:sz w:val="24"/>
          <w:szCs w:val="24"/>
        </w:rPr>
        <w:t xml:space="preserve"> </w:t>
      </w:r>
      <w:r w:rsidR="00C27B72">
        <w:rPr>
          <w:rFonts w:ascii="Times New Roman" w:hAnsi="Times New Roman" w:cs="Times New Roman"/>
          <w:sz w:val="24"/>
          <w:szCs w:val="24"/>
        </w:rPr>
        <w:t xml:space="preserve">range of </w:t>
      </w:r>
      <w:r w:rsidR="00AA5007">
        <w:rPr>
          <w:rFonts w:ascii="Times New Roman" w:hAnsi="Times New Roman" w:cs="Times New Roman"/>
          <w:sz w:val="24"/>
          <w:szCs w:val="24"/>
        </w:rPr>
        <w:t>hypothetical state-contingent values for a given firm</w:t>
      </w:r>
      <w:r w:rsidR="0035198C">
        <w:rPr>
          <w:rFonts w:ascii="Times New Roman" w:hAnsi="Times New Roman" w:cs="Times New Roman"/>
          <w:sz w:val="24"/>
          <w:szCs w:val="24"/>
        </w:rPr>
        <w:t>.</w:t>
      </w:r>
      <w:r w:rsidR="001328A4">
        <w:rPr>
          <w:rFonts w:ascii="Times New Roman" w:hAnsi="Times New Roman" w:cs="Times New Roman"/>
          <w:sz w:val="24"/>
          <w:szCs w:val="24"/>
        </w:rPr>
        <w:t xml:space="preserve"> </w:t>
      </w:r>
      <w:r w:rsidR="00AA5007">
        <w:rPr>
          <w:rFonts w:ascii="Times New Roman" w:hAnsi="Times New Roman" w:cs="Times New Roman"/>
          <w:sz w:val="24"/>
          <w:szCs w:val="24"/>
        </w:rPr>
        <w:t>We</w:t>
      </w:r>
      <w:r w:rsidR="007C549F">
        <w:rPr>
          <w:rFonts w:ascii="Times New Roman" w:hAnsi="Times New Roman" w:cs="Times New Roman"/>
          <w:sz w:val="24"/>
          <w:szCs w:val="24"/>
        </w:rPr>
        <w:t xml:space="preserve"> </w:t>
      </w:r>
      <w:r w:rsidR="0017352B">
        <w:rPr>
          <w:rFonts w:ascii="Times New Roman" w:hAnsi="Times New Roman" w:cs="Times New Roman"/>
          <w:sz w:val="24"/>
          <w:szCs w:val="24"/>
        </w:rPr>
        <w:t>measure</w:t>
      </w:r>
      <w:r w:rsidR="00A47201">
        <w:rPr>
          <w:rFonts w:ascii="Times New Roman" w:hAnsi="Times New Roman" w:cs="Times New Roman"/>
          <w:sz w:val="24"/>
          <w:szCs w:val="24"/>
        </w:rPr>
        <w:t xml:space="preserve"> valuation uncertainty</w:t>
      </w:r>
      <w:r w:rsidR="007C549F">
        <w:rPr>
          <w:rFonts w:ascii="Times New Roman" w:hAnsi="Times New Roman" w:cs="Times New Roman"/>
          <w:sz w:val="24"/>
          <w:szCs w:val="24"/>
        </w:rPr>
        <w:t xml:space="preserve"> as the</w:t>
      </w:r>
      <w:r w:rsidR="0035198C">
        <w:rPr>
          <w:rFonts w:ascii="Times New Roman" w:hAnsi="Times New Roman" w:cs="Times New Roman"/>
          <w:sz w:val="24"/>
          <w:szCs w:val="24"/>
        </w:rPr>
        <w:t xml:space="preserve"> (scaled) </w:t>
      </w:r>
      <w:r w:rsidR="00AA5007">
        <w:rPr>
          <w:rFonts w:ascii="Times New Roman" w:hAnsi="Times New Roman" w:cs="Times New Roman"/>
          <w:sz w:val="24"/>
          <w:szCs w:val="24"/>
        </w:rPr>
        <w:t>range</w:t>
      </w:r>
      <w:r w:rsidR="0035198C">
        <w:rPr>
          <w:rFonts w:ascii="Times New Roman" w:hAnsi="Times New Roman" w:cs="Times New Roman"/>
          <w:sz w:val="24"/>
          <w:szCs w:val="24"/>
        </w:rPr>
        <w:t xml:space="preserve"> between valuations implied by the 25</w:t>
      </w:r>
      <w:r w:rsidR="0035198C" w:rsidRPr="002F28CF">
        <w:rPr>
          <w:rFonts w:ascii="Times New Roman" w:hAnsi="Times New Roman" w:cs="Times New Roman"/>
          <w:sz w:val="24"/>
          <w:szCs w:val="24"/>
          <w:vertAlign w:val="superscript"/>
        </w:rPr>
        <w:t>th</w:t>
      </w:r>
      <w:r w:rsidR="0035198C">
        <w:rPr>
          <w:rFonts w:ascii="Times New Roman" w:hAnsi="Times New Roman" w:cs="Times New Roman"/>
          <w:sz w:val="24"/>
          <w:szCs w:val="24"/>
        </w:rPr>
        <w:t xml:space="preserve"> and 75</w:t>
      </w:r>
      <w:r w:rsidR="0035198C" w:rsidRPr="002F28CF">
        <w:rPr>
          <w:rFonts w:ascii="Times New Roman" w:hAnsi="Times New Roman" w:cs="Times New Roman"/>
          <w:sz w:val="24"/>
          <w:szCs w:val="24"/>
          <w:vertAlign w:val="superscript"/>
        </w:rPr>
        <w:t>th</w:t>
      </w:r>
      <w:r w:rsidR="0035198C">
        <w:rPr>
          <w:rFonts w:ascii="Times New Roman" w:hAnsi="Times New Roman" w:cs="Times New Roman"/>
          <w:sz w:val="24"/>
          <w:szCs w:val="24"/>
        </w:rPr>
        <w:t xml:space="preserve"> percentiles of</w:t>
      </w:r>
      <w:r w:rsidR="00AA5007">
        <w:rPr>
          <w:rFonts w:ascii="Times New Roman" w:hAnsi="Times New Roman" w:cs="Times New Roman"/>
          <w:sz w:val="24"/>
          <w:szCs w:val="24"/>
        </w:rPr>
        <w:t xml:space="preserve"> peer</w:t>
      </w:r>
      <w:r w:rsidR="0035198C">
        <w:rPr>
          <w:rFonts w:ascii="Times New Roman" w:hAnsi="Times New Roman" w:cs="Times New Roman"/>
          <w:sz w:val="24"/>
          <w:szCs w:val="24"/>
        </w:rPr>
        <w:t xml:space="preserve"> valuations</w:t>
      </w:r>
      <w:r w:rsidR="00935213">
        <w:rPr>
          <w:rFonts w:ascii="Times New Roman" w:hAnsi="Times New Roman" w:cs="Times New Roman"/>
          <w:sz w:val="24"/>
          <w:szCs w:val="24"/>
        </w:rPr>
        <w:t>.</w:t>
      </w:r>
      <w:r w:rsidR="0035198C">
        <w:rPr>
          <w:rStyle w:val="FootnoteReference"/>
          <w:rFonts w:ascii="Times New Roman" w:hAnsi="Times New Roman" w:cs="Times New Roman"/>
          <w:sz w:val="24"/>
          <w:szCs w:val="24"/>
        </w:rPr>
        <w:footnoteReference w:id="2"/>
      </w:r>
      <w:r w:rsidR="00935213">
        <w:rPr>
          <w:rFonts w:ascii="Times New Roman" w:hAnsi="Times New Roman" w:cs="Times New Roman"/>
          <w:sz w:val="24"/>
          <w:szCs w:val="24"/>
        </w:rPr>
        <w:t xml:space="preserve"> </w:t>
      </w:r>
    </w:p>
    <w:p w14:paraId="5A464A00" w14:textId="2C04747B" w:rsidR="00935213" w:rsidRDefault="0072613E"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We validate our measure of valuation uncertainty using</w:t>
      </w:r>
      <w:r w:rsidR="00DB7CC3">
        <w:rPr>
          <w:rFonts w:ascii="Times New Roman" w:hAnsi="Times New Roman" w:cs="Times New Roman"/>
          <w:sz w:val="24"/>
          <w:szCs w:val="24"/>
        </w:rPr>
        <w:t xml:space="preserve"> a </w:t>
      </w:r>
      <w:r w:rsidR="00EC43B3">
        <w:rPr>
          <w:rFonts w:ascii="Times New Roman" w:hAnsi="Times New Roman" w:cs="Times New Roman"/>
          <w:sz w:val="24"/>
          <w:szCs w:val="24"/>
        </w:rPr>
        <w:t>variety of approaches.</w:t>
      </w:r>
      <w:r w:rsidR="00DB7CC3">
        <w:rPr>
          <w:rFonts w:ascii="Times New Roman" w:hAnsi="Times New Roman" w:cs="Times New Roman"/>
          <w:sz w:val="24"/>
          <w:szCs w:val="24"/>
        </w:rPr>
        <w:t xml:space="preserve"> Theoretically, valuation uncertainty stems from uncertainty about cash</w:t>
      </w:r>
      <w:r w:rsidR="00994C3A">
        <w:rPr>
          <w:rFonts w:ascii="Times New Roman" w:hAnsi="Times New Roman" w:cs="Times New Roman"/>
          <w:sz w:val="24"/>
          <w:szCs w:val="24"/>
        </w:rPr>
        <w:t xml:space="preserve"> </w:t>
      </w:r>
      <w:r w:rsidR="00DB7CC3">
        <w:rPr>
          <w:rFonts w:ascii="Times New Roman" w:hAnsi="Times New Roman" w:cs="Times New Roman"/>
          <w:sz w:val="24"/>
          <w:szCs w:val="24"/>
        </w:rPr>
        <w:t xml:space="preserve">flows and discount rates. We show that our measure is </w:t>
      </w:r>
      <w:r w:rsidR="00B013EE">
        <w:rPr>
          <w:rFonts w:ascii="Times New Roman" w:hAnsi="Times New Roman" w:cs="Times New Roman"/>
          <w:sz w:val="24"/>
          <w:szCs w:val="24"/>
        </w:rPr>
        <w:t xml:space="preserve">indeed </w:t>
      </w:r>
      <w:r w:rsidR="00DB7CC3">
        <w:rPr>
          <w:rFonts w:ascii="Times New Roman" w:hAnsi="Times New Roman" w:cs="Times New Roman"/>
          <w:sz w:val="24"/>
          <w:szCs w:val="24"/>
        </w:rPr>
        <w:t xml:space="preserve">related to several </w:t>
      </w:r>
      <w:r w:rsidR="00EF3457">
        <w:rPr>
          <w:rFonts w:ascii="Times New Roman" w:hAnsi="Times New Roman" w:cs="Times New Roman"/>
          <w:sz w:val="24"/>
          <w:szCs w:val="24"/>
        </w:rPr>
        <w:t>ex-ante firm characteristics linked to such uncertainty</w:t>
      </w:r>
      <w:r w:rsidR="00B013EE">
        <w:rPr>
          <w:rFonts w:ascii="Times New Roman" w:hAnsi="Times New Roman" w:cs="Times New Roman"/>
          <w:sz w:val="24"/>
          <w:szCs w:val="24"/>
        </w:rPr>
        <w:t xml:space="preserve">. For instance, our measure is higher for firms with more volatile earnings, higher </w:t>
      </w:r>
      <w:r w:rsidR="00B013EE">
        <w:rPr>
          <w:rFonts w:ascii="Times New Roman" w:hAnsi="Times New Roman" w:cs="Times New Roman"/>
          <w:sz w:val="24"/>
          <w:szCs w:val="24"/>
        </w:rPr>
        <w:lastRenderedPageBreak/>
        <w:t>accruals,</w:t>
      </w:r>
      <w:r w:rsidR="00472D39">
        <w:rPr>
          <w:rFonts w:ascii="Times New Roman" w:hAnsi="Times New Roman" w:cs="Times New Roman"/>
          <w:sz w:val="24"/>
          <w:szCs w:val="24"/>
        </w:rPr>
        <w:t xml:space="preserve"> lower quality earnings,</w:t>
      </w:r>
      <w:r w:rsidR="00B013EE">
        <w:rPr>
          <w:rFonts w:ascii="Times New Roman" w:hAnsi="Times New Roman" w:cs="Times New Roman"/>
          <w:sz w:val="24"/>
          <w:szCs w:val="24"/>
        </w:rPr>
        <w:t xml:space="preserve"> and lower</w:t>
      </w:r>
      <w:r w:rsidR="00472D39">
        <w:rPr>
          <w:rFonts w:ascii="Times New Roman" w:hAnsi="Times New Roman" w:cs="Times New Roman"/>
          <w:sz w:val="24"/>
          <w:szCs w:val="24"/>
        </w:rPr>
        <w:t xml:space="preserve"> earnings smoothness.</w:t>
      </w:r>
      <w:r w:rsidR="00B013EE">
        <w:rPr>
          <w:rFonts w:ascii="Times New Roman" w:hAnsi="Times New Roman" w:cs="Times New Roman"/>
          <w:sz w:val="24"/>
          <w:szCs w:val="24"/>
        </w:rPr>
        <w:t xml:space="preserve"> </w:t>
      </w:r>
      <w:r w:rsidR="00472D39">
        <w:rPr>
          <w:rFonts w:ascii="Times New Roman" w:hAnsi="Times New Roman" w:cs="Times New Roman"/>
          <w:sz w:val="24"/>
          <w:szCs w:val="24"/>
        </w:rPr>
        <w:t>It is also higher for firms with more volatile market betas and for firms with higher beta estimation uncertainty (standard error of beta estimates).</w:t>
      </w:r>
      <w:r w:rsidR="00DB7CC3">
        <w:rPr>
          <w:rFonts w:ascii="Times New Roman" w:hAnsi="Times New Roman" w:cs="Times New Roman"/>
          <w:sz w:val="24"/>
          <w:szCs w:val="24"/>
        </w:rPr>
        <w:t xml:space="preserve"> </w:t>
      </w:r>
      <w:r w:rsidR="0008011B">
        <w:rPr>
          <w:rFonts w:ascii="Times New Roman" w:hAnsi="Times New Roman" w:cs="Times New Roman"/>
          <w:sz w:val="24"/>
          <w:szCs w:val="24"/>
        </w:rPr>
        <w:t xml:space="preserve">We then show that </w:t>
      </w:r>
      <w:r w:rsidR="00876322">
        <w:rPr>
          <w:rFonts w:ascii="Times New Roman" w:hAnsi="Times New Roman" w:cs="Times New Roman"/>
          <w:sz w:val="24"/>
          <w:szCs w:val="24"/>
        </w:rPr>
        <w:t xml:space="preserve">our </w:t>
      </w:r>
      <w:r w:rsidR="0008011B">
        <w:rPr>
          <w:rFonts w:ascii="Times New Roman" w:hAnsi="Times New Roman" w:cs="Times New Roman"/>
          <w:sz w:val="24"/>
          <w:szCs w:val="24"/>
        </w:rPr>
        <w:t xml:space="preserve">measure is predictive of future or contemporaneous </w:t>
      </w:r>
      <w:r w:rsidR="006E3B77">
        <w:rPr>
          <w:rFonts w:ascii="Times New Roman" w:hAnsi="Times New Roman" w:cs="Times New Roman"/>
          <w:sz w:val="24"/>
          <w:szCs w:val="24"/>
        </w:rPr>
        <w:t>outcomes indicative of cash</w:t>
      </w:r>
      <w:r w:rsidR="00994C3A">
        <w:rPr>
          <w:rFonts w:ascii="Times New Roman" w:hAnsi="Times New Roman" w:cs="Times New Roman"/>
          <w:sz w:val="24"/>
          <w:szCs w:val="24"/>
        </w:rPr>
        <w:t xml:space="preserve"> </w:t>
      </w:r>
      <w:r w:rsidR="006E3B77">
        <w:rPr>
          <w:rFonts w:ascii="Times New Roman" w:hAnsi="Times New Roman" w:cs="Times New Roman"/>
          <w:sz w:val="24"/>
          <w:szCs w:val="24"/>
        </w:rPr>
        <w:t>flow</w:t>
      </w:r>
      <w:r w:rsidR="00693D6F">
        <w:rPr>
          <w:rFonts w:ascii="Times New Roman" w:hAnsi="Times New Roman" w:cs="Times New Roman"/>
          <w:sz w:val="24"/>
          <w:szCs w:val="24"/>
        </w:rPr>
        <w:t>,</w:t>
      </w:r>
      <w:r w:rsidR="006E3B77">
        <w:rPr>
          <w:rFonts w:ascii="Times New Roman" w:hAnsi="Times New Roman" w:cs="Times New Roman"/>
          <w:sz w:val="24"/>
          <w:szCs w:val="24"/>
        </w:rPr>
        <w:t xml:space="preserve"> discount rate</w:t>
      </w:r>
      <w:r w:rsidR="00693D6F">
        <w:rPr>
          <w:rFonts w:ascii="Times New Roman" w:hAnsi="Times New Roman" w:cs="Times New Roman"/>
          <w:sz w:val="24"/>
          <w:szCs w:val="24"/>
        </w:rPr>
        <w:t>, and overall valuation</w:t>
      </w:r>
      <w:r w:rsidR="006E3B77">
        <w:rPr>
          <w:rFonts w:ascii="Times New Roman" w:hAnsi="Times New Roman" w:cs="Times New Roman"/>
          <w:sz w:val="24"/>
          <w:szCs w:val="24"/>
        </w:rPr>
        <w:t xml:space="preserve"> uncertaint</w:t>
      </w:r>
      <w:r w:rsidR="00693D6F">
        <w:rPr>
          <w:rFonts w:ascii="Times New Roman" w:hAnsi="Times New Roman" w:cs="Times New Roman"/>
          <w:sz w:val="24"/>
          <w:szCs w:val="24"/>
        </w:rPr>
        <w:t>ies</w:t>
      </w:r>
      <w:r w:rsidR="006E3B77">
        <w:rPr>
          <w:rFonts w:ascii="Times New Roman" w:hAnsi="Times New Roman" w:cs="Times New Roman"/>
          <w:sz w:val="24"/>
          <w:szCs w:val="24"/>
        </w:rPr>
        <w:t xml:space="preserve">. In particular, our measure predicts future stock return volatility and contemporaneous option-implied volatility. It also predicts dispersion in analysts’ </w:t>
      </w:r>
      <w:r w:rsidR="00377250">
        <w:rPr>
          <w:rFonts w:ascii="Times New Roman" w:hAnsi="Times New Roman" w:cs="Times New Roman"/>
          <w:sz w:val="24"/>
          <w:szCs w:val="24"/>
        </w:rPr>
        <w:t>earnings</w:t>
      </w:r>
      <w:r w:rsidR="006E3B77">
        <w:rPr>
          <w:rFonts w:ascii="Times New Roman" w:hAnsi="Times New Roman" w:cs="Times New Roman"/>
          <w:sz w:val="24"/>
          <w:szCs w:val="24"/>
        </w:rPr>
        <w:t xml:space="preserve"> and</w:t>
      </w:r>
      <w:r w:rsidR="00F81FB0">
        <w:rPr>
          <w:rFonts w:ascii="Times New Roman" w:hAnsi="Times New Roman" w:cs="Times New Roman"/>
          <w:sz w:val="24"/>
          <w:szCs w:val="24"/>
        </w:rPr>
        <w:t xml:space="preserve"> </w:t>
      </w:r>
      <w:r w:rsidR="006E3B77">
        <w:rPr>
          <w:rFonts w:ascii="Times New Roman" w:hAnsi="Times New Roman" w:cs="Times New Roman"/>
          <w:sz w:val="24"/>
          <w:szCs w:val="24"/>
        </w:rPr>
        <w:t>long-term growth</w:t>
      </w:r>
      <w:r w:rsidR="00377250">
        <w:rPr>
          <w:rFonts w:ascii="Times New Roman" w:hAnsi="Times New Roman" w:cs="Times New Roman"/>
          <w:sz w:val="24"/>
          <w:szCs w:val="24"/>
        </w:rPr>
        <w:t xml:space="preserve"> forecasts</w:t>
      </w:r>
      <w:r w:rsidR="006E3B77">
        <w:rPr>
          <w:rFonts w:ascii="Times New Roman" w:hAnsi="Times New Roman" w:cs="Times New Roman"/>
          <w:sz w:val="24"/>
          <w:szCs w:val="24"/>
        </w:rPr>
        <w:t xml:space="preserve">, </w:t>
      </w:r>
      <w:r w:rsidR="009A0ACD">
        <w:rPr>
          <w:rFonts w:ascii="Times New Roman" w:hAnsi="Times New Roman" w:cs="Times New Roman"/>
          <w:sz w:val="24"/>
          <w:szCs w:val="24"/>
        </w:rPr>
        <w:t>cash flow news volatility</w:t>
      </w:r>
      <w:r w:rsidR="006E3B77">
        <w:rPr>
          <w:rFonts w:ascii="Times New Roman" w:hAnsi="Times New Roman" w:cs="Times New Roman"/>
          <w:sz w:val="24"/>
          <w:szCs w:val="24"/>
        </w:rPr>
        <w:t>, future beta volatility</w:t>
      </w:r>
      <w:r w:rsidR="00F81FB0">
        <w:rPr>
          <w:rFonts w:ascii="Times New Roman" w:hAnsi="Times New Roman" w:cs="Times New Roman"/>
          <w:sz w:val="24"/>
          <w:szCs w:val="24"/>
        </w:rPr>
        <w:t>,</w:t>
      </w:r>
      <w:r w:rsidR="006E3B77">
        <w:rPr>
          <w:rFonts w:ascii="Times New Roman" w:hAnsi="Times New Roman" w:cs="Times New Roman"/>
          <w:sz w:val="24"/>
          <w:szCs w:val="24"/>
        </w:rPr>
        <w:t xml:space="preserve"> and the standard error of future beta estimates. Finally, we validate our measure against firm-specific valuation spreads from valuation experts in </w:t>
      </w:r>
      <w:r w:rsidR="00E137F1">
        <w:rPr>
          <w:rFonts w:ascii="Times New Roman" w:hAnsi="Times New Roman" w:cs="Times New Roman"/>
          <w:sz w:val="24"/>
          <w:szCs w:val="24"/>
        </w:rPr>
        <w:t>two</w:t>
      </w:r>
      <w:r w:rsidR="006E3B77">
        <w:rPr>
          <w:rFonts w:ascii="Times New Roman" w:hAnsi="Times New Roman" w:cs="Times New Roman"/>
          <w:sz w:val="24"/>
          <w:szCs w:val="24"/>
        </w:rPr>
        <w:t xml:space="preserve"> contexts. Specifically, </w:t>
      </w:r>
      <w:r w:rsidR="00EF3457">
        <w:rPr>
          <w:rFonts w:ascii="Times New Roman" w:hAnsi="Times New Roman" w:cs="Times New Roman"/>
          <w:sz w:val="24"/>
          <w:szCs w:val="24"/>
        </w:rPr>
        <w:t xml:space="preserve">we show that </w:t>
      </w:r>
      <w:r w:rsidR="006E3B77">
        <w:rPr>
          <w:rFonts w:ascii="Times New Roman" w:hAnsi="Times New Roman" w:cs="Times New Roman"/>
          <w:sz w:val="24"/>
          <w:szCs w:val="24"/>
        </w:rPr>
        <w:t xml:space="preserve">our measure </w:t>
      </w:r>
      <w:r w:rsidR="00EF3457">
        <w:rPr>
          <w:rFonts w:ascii="Times New Roman" w:hAnsi="Times New Roman" w:cs="Times New Roman"/>
          <w:sz w:val="24"/>
          <w:szCs w:val="24"/>
        </w:rPr>
        <w:t>explains</w:t>
      </w:r>
      <w:r w:rsidR="006E3B77">
        <w:rPr>
          <w:rFonts w:ascii="Times New Roman" w:hAnsi="Times New Roman" w:cs="Times New Roman"/>
          <w:sz w:val="24"/>
          <w:szCs w:val="24"/>
        </w:rPr>
        <w:t xml:space="preserve"> the width of the</w:t>
      </w:r>
      <w:r w:rsidR="00EF3457">
        <w:rPr>
          <w:rFonts w:ascii="Times New Roman" w:hAnsi="Times New Roman" w:cs="Times New Roman"/>
          <w:sz w:val="24"/>
          <w:szCs w:val="24"/>
        </w:rPr>
        <w:t xml:space="preserve"> proposed</w:t>
      </w:r>
      <w:r w:rsidR="006E3B77">
        <w:rPr>
          <w:rFonts w:ascii="Times New Roman" w:hAnsi="Times New Roman" w:cs="Times New Roman"/>
          <w:sz w:val="24"/>
          <w:szCs w:val="24"/>
        </w:rPr>
        <w:t xml:space="preserve"> price range in IPO prospectuses and the range of</w:t>
      </w:r>
      <w:r w:rsidR="00EF3457">
        <w:rPr>
          <w:rFonts w:ascii="Times New Roman" w:hAnsi="Times New Roman" w:cs="Times New Roman"/>
          <w:sz w:val="24"/>
          <w:szCs w:val="24"/>
        </w:rPr>
        <w:t xml:space="preserve"> fair values of</w:t>
      </w:r>
      <w:r w:rsidR="006E3B77">
        <w:rPr>
          <w:rFonts w:ascii="Times New Roman" w:hAnsi="Times New Roman" w:cs="Times New Roman"/>
          <w:sz w:val="24"/>
          <w:szCs w:val="24"/>
        </w:rPr>
        <w:t xml:space="preserve"> M&amp;A targets </w:t>
      </w:r>
      <w:r w:rsidR="00EF3457">
        <w:rPr>
          <w:rFonts w:ascii="Times New Roman" w:hAnsi="Times New Roman" w:cs="Times New Roman"/>
          <w:sz w:val="24"/>
          <w:szCs w:val="24"/>
        </w:rPr>
        <w:t>in</w:t>
      </w:r>
      <w:r w:rsidR="006E3B77">
        <w:rPr>
          <w:rFonts w:ascii="Times New Roman" w:hAnsi="Times New Roman" w:cs="Times New Roman"/>
          <w:sz w:val="24"/>
          <w:szCs w:val="24"/>
        </w:rPr>
        <w:t xml:space="preserve"> fairness opinions</w:t>
      </w:r>
      <w:r w:rsidR="00EF3457">
        <w:rPr>
          <w:rFonts w:ascii="Times New Roman" w:hAnsi="Times New Roman" w:cs="Times New Roman"/>
          <w:sz w:val="24"/>
          <w:szCs w:val="24"/>
        </w:rPr>
        <w:t xml:space="preserve">. </w:t>
      </w:r>
    </w:p>
    <w:p w14:paraId="5591B685" w14:textId="76B235F3" w:rsidR="00B1335B" w:rsidRDefault="00A87A61"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While </w:t>
      </w:r>
      <w:r w:rsidR="009B5FBE">
        <w:rPr>
          <w:rFonts w:ascii="Times New Roman" w:hAnsi="Times New Roman" w:cs="Times New Roman"/>
          <w:sz w:val="24"/>
          <w:szCs w:val="24"/>
        </w:rPr>
        <w:t>possible applications of our new measure are numerous</w:t>
      </w:r>
      <w:r>
        <w:rPr>
          <w:rFonts w:ascii="Times New Roman" w:hAnsi="Times New Roman" w:cs="Times New Roman"/>
          <w:sz w:val="24"/>
          <w:szCs w:val="24"/>
        </w:rPr>
        <w:t xml:space="preserve">, we </w:t>
      </w:r>
      <w:r w:rsidR="009C3015">
        <w:rPr>
          <w:rFonts w:ascii="Times New Roman" w:hAnsi="Times New Roman" w:cs="Times New Roman"/>
          <w:sz w:val="24"/>
          <w:szCs w:val="24"/>
        </w:rPr>
        <w:t xml:space="preserve">demonstrate its power </w:t>
      </w:r>
      <w:r w:rsidR="0019162F">
        <w:rPr>
          <w:rFonts w:ascii="Times New Roman" w:hAnsi="Times New Roman" w:cs="Times New Roman"/>
          <w:sz w:val="24"/>
          <w:szCs w:val="24"/>
        </w:rPr>
        <w:t xml:space="preserve">through an application to cross-sectional asset pricing. In particular, we test the hypothesis </w:t>
      </w:r>
      <w:r w:rsidR="009C3015">
        <w:rPr>
          <w:rFonts w:ascii="Times New Roman" w:hAnsi="Times New Roman" w:cs="Times New Roman"/>
          <w:sz w:val="24"/>
          <w:szCs w:val="24"/>
        </w:rPr>
        <w:t>that valuation</w:t>
      </w:r>
      <w:r w:rsidR="0019162F">
        <w:rPr>
          <w:rFonts w:ascii="Times New Roman" w:hAnsi="Times New Roman" w:cs="Times New Roman"/>
          <w:sz w:val="24"/>
          <w:szCs w:val="24"/>
        </w:rPr>
        <w:t xml:space="preserve"> uncertainty is conducive to valuation mistakes.</w:t>
      </w:r>
      <w:r w:rsidR="0082448A">
        <w:rPr>
          <w:rFonts w:ascii="Times New Roman" w:hAnsi="Times New Roman" w:cs="Times New Roman"/>
          <w:sz w:val="24"/>
          <w:szCs w:val="24"/>
        </w:rPr>
        <w:t xml:space="preserve"> This prediction</w:t>
      </w:r>
      <w:r w:rsidR="0073203F">
        <w:rPr>
          <w:rFonts w:ascii="Times New Roman" w:hAnsi="Times New Roman" w:cs="Times New Roman"/>
          <w:sz w:val="24"/>
          <w:szCs w:val="24"/>
        </w:rPr>
        <w:t xml:space="preserve"> obtains in </w:t>
      </w:r>
      <w:r w:rsidR="00EC14CC">
        <w:rPr>
          <w:rFonts w:ascii="Times New Roman" w:hAnsi="Times New Roman" w:cs="Times New Roman"/>
          <w:sz w:val="24"/>
          <w:szCs w:val="24"/>
        </w:rPr>
        <w:t xml:space="preserve">models with heterogeneous </w:t>
      </w:r>
      <w:r w:rsidR="0082448A">
        <w:rPr>
          <w:rFonts w:ascii="Times New Roman" w:hAnsi="Times New Roman" w:cs="Times New Roman"/>
          <w:sz w:val="24"/>
          <w:szCs w:val="24"/>
        </w:rPr>
        <w:t xml:space="preserve">investor </w:t>
      </w:r>
      <w:r w:rsidR="00B71643">
        <w:rPr>
          <w:rFonts w:ascii="Times New Roman" w:hAnsi="Times New Roman" w:cs="Times New Roman"/>
          <w:sz w:val="24"/>
          <w:szCs w:val="24"/>
        </w:rPr>
        <w:t xml:space="preserve">beliefs </w:t>
      </w:r>
      <w:r w:rsidR="0082448A">
        <w:rPr>
          <w:rFonts w:ascii="Times New Roman" w:hAnsi="Times New Roman" w:cs="Times New Roman"/>
          <w:sz w:val="24"/>
          <w:szCs w:val="24"/>
        </w:rPr>
        <w:t>and trading frictions (</w:t>
      </w:r>
      <w:r w:rsidR="00D27C46">
        <w:rPr>
          <w:rFonts w:ascii="Times New Roman" w:hAnsi="Times New Roman" w:cs="Times New Roman"/>
          <w:sz w:val="24"/>
          <w:szCs w:val="24"/>
        </w:rPr>
        <w:t xml:space="preserve">e.g., </w:t>
      </w:r>
      <w:hyperlink w:anchor="_ENREF_55" w:tooltip="Miller, 1977 #1373"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AuthorYear="1"&gt;&lt;Author&gt;Miller&lt;/Author&gt;&lt;Year&gt;1977&lt;/Year&gt;&lt;RecNum&gt;1373&lt;/RecNum&gt;&lt;DisplayText&gt;Miller (1977)&lt;/DisplayText&gt;&lt;record&gt;&lt;rec-number&gt;1373&lt;/rec-number&gt;&lt;foreign-keys&gt;&lt;key app="EN" db-id="a00ppf5vbz2zw4efraqp9recxrvdwwtasszf" timestamp="1636055777"&gt;1373&lt;/key&gt;&lt;/foreign-keys&gt;&lt;ref-type name="Journal Article"&gt;17&lt;/ref-type&gt;&lt;contributors&gt;&lt;authors&gt;&lt;author&gt;Miller, Edward M.&lt;/author&gt;&lt;/authors&gt;&lt;/contributors&gt;&lt;titles&gt;&lt;title&gt;Risk, Uncertainty, and Divergence of Opinion&lt;/title&gt;&lt;secondary-title&gt;Journal of Finance&lt;/secondary-title&gt;&lt;/titles&gt;&lt;periodical&gt;&lt;full-title&gt;Journal of FInance&lt;/full-title&gt;&lt;/periodical&gt;&lt;pages&gt;1151-1168&lt;/pages&gt;&lt;volume&gt;32&lt;/volume&gt;&lt;number&gt;4&lt;/number&gt;&lt;keywords&gt;&lt;keyword&gt;SECURITIES&lt;/keyword&gt;&lt;keyword&gt;STOCKS (Finance)&lt;/keyword&gt;&lt;keyword&gt;STOCKS (Finance) -- Rate of return&lt;/keyword&gt;&lt;keyword&gt;SHORT selling (Securities)&lt;/keyword&gt;&lt;keyword&gt;STOCKS (Finance) -- Prices&lt;/keyword&gt;&lt;keyword&gt;INDIVIDUAL investors&lt;/keyword&gt;&lt;keyword&gt;INVESTMENTS&lt;/keyword&gt;&lt;keyword&gt;CAPITAL&lt;/keyword&gt;&lt;keyword&gt;RISK&lt;/keyword&gt;&lt;keyword&gt;RATE of return&lt;/keyword&gt;&lt;keyword&gt;UNCERTAINTY&lt;/keyword&gt;&lt;/keywords&gt;&lt;dates&gt;&lt;year&gt;1977&lt;/year&gt;&lt;/dates&gt;&lt;publisher&gt;Wiley-Blackwell&lt;/publisher&gt;&lt;isbn&gt;00221082&lt;/isbn&gt;&lt;accession-num&gt;4657524&lt;/accession-num&gt;&lt;work-type&gt;Article&lt;/work-type&gt;&lt;urls&gt;&lt;related-urls&gt;&lt;url&gt;http://search.ebscohost.com/login.aspx?direct=true&amp;amp;db=bth&amp;amp;AN=4657524&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Miller (1977)</w:t>
        </w:r>
        <w:r w:rsidR="00A4299A">
          <w:rPr>
            <w:rFonts w:ascii="Times New Roman" w:hAnsi="Times New Roman" w:cs="Times New Roman"/>
            <w:sz w:val="24"/>
            <w:szCs w:val="24"/>
          </w:rPr>
          <w:fldChar w:fldCharType="end"/>
        </w:r>
      </w:hyperlink>
      <w:r w:rsidR="0082448A">
        <w:rPr>
          <w:rFonts w:ascii="Times New Roman" w:hAnsi="Times New Roman" w:cs="Times New Roman"/>
          <w:sz w:val="24"/>
          <w:szCs w:val="24"/>
        </w:rPr>
        <w:t xml:space="preserve">, </w:t>
      </w:r>
      <w:hyperlink w:anchor="_ENREF_43" w:tooltip="Hong, 2006 #969"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AuthorYear="1"&gt;&lt;Author&gt;Hong&lt;/Author&gt;&lt;Year&gt;2006&lt;/Year&gt;&lt;RecNum&gt;969&lt;/RecNum&gt;&lt;DisplayText&gt;Hong, Scheinkman, and Xiong (2006)&lt;/DisplayText&gt;&lt;record&gt;&lt;rec-number&gt;969&lt;/rec-number&gt;&lt;foreign-keys&gt;&lt;key app="EN" db-id="a00ppf5vbz2zw4efraqp9recxrvdwwtasszf" timestamp="1636055774"&gt;969&lt;/key&gt;&lt;/foreign-keys&gt;&lt;ref-type name="Journal Article"&gt;17&lt;/ref-type&gt;&lt;contributors&gt;&lt;authors&gt;&lt;author&gt;Hong, Harrison&lt;/author&gt;&lt;author&gt;Scheinkman, José&lt;/author&gt;&lt;author&gt;Xiong, Wei&lt;/author&gt;&lt;/authors&gt;&lt;/contributors&gt;&lt;titles&gt;&lt;title&gt;Asset Float and Speculative Bubbles&lt;/title&gt;&lt;secondary-title&gt;The Journal of Finance&lt;/secondary-title&gt;&lt;/titles&gt;&lt;periodical&gt;&lt;full-title&gt;The Journal of Finance&lt;/full-title&gt;&lt;/periodical&gt;&lt;pages&gt;1073-1117&lt;/pages&gt;&lt;volume&gt;61&lt;/volume&gt;&lt;number&gt;3&lt;/number&gt;&lt;dates&gt;&lt;year&gt;2006&lt;/year&gt;&lt;/dates&gt;&lt;publisher&gt;Wiley&lt;/publisher&gt;&lt;isbn&gt;00221082, 15406261&lt;/isbn&gt;&lt;urls&gt;&lt;related-urls&gt;&lt;url&gt;http://www.jstor.org/stable/3699318&lt;/url&gt;&lt;/related-urls&gt;&lt;/urls&gt;&lt;custom1&gt;Full publication date: Jun., 2006&lt;/custom1&gt;&lt;remote-database-name&gt;Jstor&lt;/remote-database-name&gt;&lt;access-date&gt;2020/11/01/&lt;/access-date&gt;&lt;/record&gt;&lt;/Cite&gt;&lt;/EndNote&gt;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Hong, Scheinkman, and Xiong (2006)</w:t>
        </w:r>
        <w:r w:rsidR="00A4299A">
          <w:rPr>
            <w:rFonts w:ascii="Times New Roman" w:hAnsi="Times New Roman" w:cs="Times New Roman"/>
            <w:sz w:val="24"/>
            <w:szCs w:val="24"/>
          </w:rPr>
          <w:fldChar w:fldCharType="end"/>
        </w:r>
      </w:hyperlink>
      <w:r w:rsidR="0082448A">
        <w:rPr>
          <w:rFonts w:ascii="Times New Roman" w:hAnsi="Times New Roman" w:cs="Times New Roman"/>
          <w:sz w:val="24"/>
          <w:szCs w:val="24"/>
        </w:rPr>
        <w:t>)</w:t>
      </w:r>
      <w:r w:rsidR="00EC14CC">
        <w:rPr>
          <w:rFonts w:ascii="Times New Roman" w:hAnsi="Times New Roman" w:cs="Times New Roman"/>
          <w:sz w:val="24"/>
          <w:szCs w:val="24"/>
        </w:rPr>
        <w:t>,</w:t>
      </w:r>
      <w:r w:rsidR="0073203F">
        <w:rPr>
          <w:rFonts w:ascii="Times New Roman" w:hAnsi="Times New Roman" w:cs="Times New Roman"/>
          <w:sz w:val="24"/>
          <w:szCs w:val="24"/>
        </w:rPr>
        <w:t xml:space="preserve"> in</w:t>
      </w:r>
      <w:r w:rsidR="00EC14CC">
        <w:rPr>
          <w:rFonts w:ascii="Times New Roman" w:hAnsi="Times New Roman" w:cs="Times New Roman"/>
          <w:sz w:val="24"/>
          <w:szCs w:val="24"/>
        </w:rPr>
        <w:t xml:space="preserve"> </w:t>
      </w:r>
      <w:r w:rsidR="0073203F">
        <w:rPr>
          <w:rFonts w:ascii="Times New Roman" w:hAnsi="Times New Roman" w:cs="Times New Roman"/>
          <w:sz w:val="24"/>
          <w:szCs w:val="24"/>
        </w:rPr>
        <w:t xml:space="preserve">models of Bayesian </w:t>
      </w:r>
      <w:r w:rsidR="00EC14CC">
        <w:rPr>
          <w:rFonts w:ascii="Times New Roman" w:hAnsi="Times New Roman" w:cs="Times New Roman"/>
          <w:sz w:val="24"/>
          <w:szCs w:val="24"/>
        </w:rPr>
        <w:t>learning</w:t>
      </w:r>
      <w:r w:rsidR="00B71643">
        <w:rPr>
          <w:rFonts w:ascii="Times New Roman" w:hAnsi="Times New Roman" w:cs="Times New Roman"/>
          <w:sz w:val="24"/>
          <w:szCs w:val="24"/>
        </w:rPr>
        <w:t xml:space="preserve"> </w:t>
      </w:r>
      <w:r w:rsidR="00244FD9">
        <w:rPr>
          <w:rFonts w:ascii="Times New Roman" w:hAnsi="Times New Roman" w:cs="Times New Roman"/>
          <w:sz w:val="24"/>
          <w:szCs w:val="24"/>
        </w:rPr>
        <w:t>(</w:t>
      </w:r>
      <w:r w:rsidR="00D27C46">
        <w:rPr>
          <w:rFonts w:ascii="Times New Roman" w:hAnsi="Times New Roman" w:cs="Times New Roman"/>
          <w:sz w:val="24"/>
          <w:szCs w:val="24"/>
        </w:rPr>
        <w:t xml:space="preserve">e.g., </w:t>
      </w:r>
      <w:hyperlink w:anchor="_ENREF_53" w:tooltip="Lewellen, 2002 #121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AuthorYear="1"&gt;&lt;Author&gt;Lewellen&lt;/Author&gt;&lt;Year&gt;2002&lt;/Year&gt;&lt;RecNum&gt;1217&lt;/RecNum&gt;&lt;DisplayText&gt;Lewellen and Shanken (2002)&lt;/DisplayText&gt;&lt;record&gt;&lt;rec-number&gt;1217&lt;/rec-number&gt;&lt;foreign-keys&gt;&lt;key app="EN" db-id="a00ppf5vbz2zw4efraqp9recxrvdwwtasszf" timestamp="1636055776"&gt;1217&lt;/key&gt;&lt;/foreign-keys&gt;&lt;ref-type name="Journal Article"&gt;17&lt;/ref-type&gt;&lt;contributors&gt;&lt;authors&gt;&lt;author&gt;Lewellen, Jonathan&lt;/author&gt;&lt;author&gt;Shanken, Jay&lt;/author&gt;&lt;/authors&gt;&lt;/contributors&gt;&lt;titles&gt;&lt;title&gt;Learning, Asset-Pricing Tests, and Market Efficiency&lt;/title&gt;&lt;secondary-title&gt;Journal of Finance&lt;/secondary-title&gt;&lt;/titles&gt;&lt;periodical&gt;&lt;full-title&gt;Journal of FInance&lt;/full-title&gt;&lt;/periodical&gt;&lt;pages&gt;1113-1145&lt;/pages&gt;&lt;volume&gt;57&lt;/volume&gt;&lt;number&gt;3&lt;/number&gt;&lt;keywords&gt;&lt;keyword&gt;ASSETS (Accounting)&lt;/keyword&gt;&lt;keyword&gt;PORTFOLIO management (Investments)&lt;/keyword&gt;&lt;keyword&gt;EFFICIENT market theory&lt;/keyword&gt;&lt;keyword&gt;INVESTMENT analysis&lt;/keyword&gt;&lt;keyword&gt;RATIONAL expectations (Economic theory)&lt;/keyword&gt;&lt;keyword&gt;CAPITAL assets pricing model&lt;/keyword&gt;&lt;keyword&gt;ECONOMETRICS&lt;/keyword&gt;&lt;keyword&gt;FINANCIAL ratios&lt;/keyword&gt;&lt;keyword&gt;PARAMETER estimation&lt;/keyword&gt;&lt;keyword&gt;ECONOMIC forecasting&lt;/keyword&gt;&lt;keyword&gt;EDUCATION&lt;/keyword&gt;&lt;/keywords&gt;&lt;dates&gt;&lt;year&gt;2002&lt;/year&gt;&lt;/dates&gt;&lt;isbn&gt;00221082&lt;/isbn&gt;&lt;accession-num&gt;6778481&lt;/accession-num&gt;&lt;work-type&gt;Article&lt;/work-type&gt;&lt;urls&gt;&lt;related-urls&gt;&lt;url&gt;https://search.ebscohost.com/login.aspx?direct=true&amp;amp;db=buh&amp;amp;AN=6778481&amp;amp;site=ehost-live&lt;/url&gt;&lt;/related-urls&gt;&lt;/urls&gt;&lt;electronic-resource-num&gt;10.1111/1540-6261.00456&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Lewellen and Shanken (2002)</w:t>
        </w:r>
        <w:r w:rsidR="00A4299A">
          <w:rPr>
            <w:rFonts w:ascii="Times New Roman" w:hAnsi="Times New Roman" w:cs="Times New Roman"/>
            <w:sz w:val="24"/>
            <w:szCs w:val="24"/>
          </w:rPr>
          <w:fldChar w:fldCharType="end"/>
        </w:r>
      </w:hyperlink>
      <w:r w:rsidR="00B71643">
        <w:rPr>
          <w:rFonts w:ascii="Times New Roman" w:hAnsi="Times New Roman" w:cs="Times New Roman"/>
          <w:sz w:val="24"/>
          <w:szCs w:val="24"/>
        </w:rPr>
        <w:t>),</w:t>
      </w:r>
      <w:r w:rsidR="0082448A">
        <w:rPr>
          <w:rFonts w:ascii="Times New Roman" w:hAnsi="Times New Roman" w:cs="Times New Roman"/>
          <w:sz w:val="24"/>
          <w:szCs w:val="24"/>
        </w:rPr>
        <w:t xml:space="preserve"> </w:t>
      </w:r>
      <w:r w:rsidR="0073203F">
        <w:rPr>
          <w:rFonts w:ascii="Times New Roman" w:hAnsi="Times New Roman" w:cs="Times New Roman"/>
          <w:sz w:val="24"/>
          <w:szCs w:val="24"/>
        </w:rPr>
        <w:t xml:space="preserve">as well as in </w:t>
      </w:r>
      <w:r w:rsidR="00EC14CC">
        <w:rPr>
          <w:rFonts w:ascii="Times New Roman" w:hAnsi="Times New Roman" w:cs="Times New Roman"/>
          <w:sz w:val="24"/>
          <w:szCs w:val="24"/>
        </w:rPr>
        <w:t xml:space="preserve">models with </w:t>
      </w:r>
      <w:r w:rsidR="0082448A">
        <w:rPr>
          <w:rFonts w:ascii="Times New Roman" w:hAnsi="Times New Roman" w:cs="Times New Roman"/>
          <w:sz w:val="24"/>
          <w:szCs w:val="24"/>
        </w:rPr>
        <w:t xml:space="preserve">biased investor </w:t>
      </w:r>
      <w:r w:rsidR="0062430E">
        <w:rPr>
          <w:rFonts w:ascii="Times New Roman" w:hAnsi="Times New Roman" w:cs="Times New Roman"/>
          <w:sz w:val="24"/>
          <w:szCs w:val="24"/>
        </w:rPr>
        <w:t>beliefs</w:t>
      </w:r>
      <w:r w:rsidR="00244FD9">
        <w:rPr>
          <w:rFonts w:ascii="Times New Roman" w:hAnsi="Times New Roman" w:cs="Times New Roman"/>
          <w:sz w:val="24"/>
          <w:szCs w:val="24"/>
        </w:rPr>
        <w:t xml:space="preserve"> (</w:t>
      </w:r>
      <w:r w:rsidR="00D27C46">
        <w:rPr>
          <w:rFonts w:ascii="Times New Roman" w:hAnsi="Times New Roman" w:cs="Times New Roman"/>
          <w:sz w:val="24"/>
          <w:szCs w:val="24"/>
        </w:rPr>
        <w:t xml:space="preserve">e.g., </w:t>
      </w:r>
      <w:hyperlink w:anchor="_ENREF_26" w:tooltip="Daniel, 1998 #538" w:history="1">
        <w:r w:rsidR="00A4299A">
          <w:rPr>
            <w:rFonts w:ascii="Times New Roman" w:hAnsi="Times New Roman" w:cs="Times New Roman"/>
            <w:noProof/>
            <w:sz w:val="24"/>
            <w:szCs w:val="24"/>
          </w:rPr>
          <w:fldChar w:fldCharType="begin"/>
        </w:r>
        <w:r w:rsidR="00A4299A">
          <w:rPr>
            <w:rFonts w:ascii="Times New Roman" w:hAnsi="Times New Roman" w:cs="Times New Roman"/>
            <w:noProof/>
            <w:sz w:val="24"/>
            <w:szCs w:val="24"/>
          </w:rPr>
          <w:instrText xml:space="preserve"> ADDIN EN.CITE &lt;EndNote&gt;&lt;Cite AuthorYear="1"&gt;&lt;Author&gt;Daniel&lt;/Author&gt;&lt;Year&gt;1998&lt;/Year&gt;&lt;RecNum&gt;538&lt;/RecNum&gt;&lt;DisplayText&gt;Daniel, Hirshleifer, and Subrahmanyam (1998)&lt;/DisplayText&gt;&lt;record&gt;&lt;rec-number&gt;538&lt;/rec-number&gt;&lt;foreign-keys&gt;&lt;key app="EN" db-id="a00ppf5vbz2zw4efraqp9recxrvdwwtasszf" timestamp="1636055770"&gt;538&lt;/key&gt;&lt;/foreign-keys&gt;&lt;ref-type name="Journal Article"&gt;17&lt;/ref-type&gt;&lt;contributors&gt;&lt;authors&gt;&lt;author&gt;Daniel, Kent&lt;/author&gt;&lt;author&gt;Hirshleifer, David&lt;/author&gt;&lt;author&gt;Subrahmanyam, Avanidhar&lt;/author&gt;&lt;/authors&gt;&lt;/contributors&gt;&lt;titles&gt;&lt;title&gt;Investor Psychology and Security Market Under- and Overreactions&lt;/title&gt;&lt;secondary-title&gt;Journal of Finance&lt;/secondary-title&gt;&lt;/titles&gt;&lt;periodical&gt;&lt;full-title&gt;Journal of FInance&lt;/full-title&gt;&lt;/periodical&gt;&lt;pages&gt;1839-1885&lt;/pages&gt;&lt;volume&gt;53&lt;/volume&gt;&lt;number&gt;6&lt;/number&gt;&lt;keywords&gt;&lt;keyword&gt;INDIVIDUAL investors&lt;/keyword&gt;&lt;keyword&gt;CAPITALISTS &amp;amp; financiers&lt;/keyword&gt;&lt;keyword&gt;FINANCIAL market reaction&lt;/keyword&gt;&lt;keyword&gt;SECURITIES markets&lt;/keyword&gt;&lt;keyword&gt;VOLATILITY (Finance)&lt;/keyword&gt;&lt;keyword&gt;SECURITIES trading&lt;/keyword&gt;&lt;keyword&gt;SECURITIES industry&lt;/keyword&gt;&lt;keyword&gt;FINANCIAL disclosure&lt;/keyword&gt;&lt;keyword&gt;STOCK exchanges&lt;/keyword&gt;&lt;keyword&gt;CORRELATION (Statistics)&lt;/keyword&gt;&lt;keyword&gt;PSYCHOLOGY&lt;/keyword&gt;&lt;keyword&gt;CONFIDENCE&lt;/keyword&gt;&lt;/keywords&gt;&lt;dates&gt;&lt;year&gt;1998&lt;/year&gt;&lt;/dates&gt;&lt;publisher&gt;Wiley-Blackwell&lt;/publisher&gt;&lt;isbn&gt;00221082&lt;/isbn&gt;&lt;accession-num&gt;1311800&lt;/accession-num&gt;&lt;work-type&gt;Article&lt;/work-type&gt;&lt;urls&gt;&lt;related-urls&gt;&lt;url&gt;http://search.ebscohost.com/login.aspx?direct=true&amp;amp;AuthType=athens,ip,cookie,url,uid&amp;amp;db=bth&amp;amp;AN=1311800&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noProof/>
            <w:sz w:val="24"/>
            <w:szCs w:val="24"/>
          </w:rPr>
          <w:fldChar w:fldCharType="separate"/>
        </w:r>
        <w:r w:rsidR="00A4299A">
          <w:rPr>
            <w:rFonts w:ascii="Times New Roman" w:hAnsi="Times New Roman" w:cs="Times New Roman"/>
            <w:noProof/>
            <w:sz w:val="24"/>
            <w:szCs w:val="24"/>
          </w:rPr>
          <w:t>Daniel, Hirshleifer, and Subrahmanyam (1998)</w:t>
        </w:r>
        <w:r w:rsidR="00A4299A">
          <w:rPr>
            <w:rFonts w:ascii="Times New Roman" w:hAnsi="Times New Roman" w:cs="Times New Roman"/>
            <w:noProof/>
            <w:sz w:val="24"/>
            <w:szCs w:val="24"/>
          </w:rPr>
          <w:fldChar w:fldCharType="end"/>
        </w:r>
      </w:hyperlink>
      <w:r w:rsidR="00AD4A8F">
        <w:rPr>
          <w:rFonts w:ascii="Times New Roman" w:hAnsi="Times New Roman" w:cs="Times New Roman"/>
          <w:noProof/>
          <w:sz w:val="24"/>
          <w:szCs w:val="24"/>
        </w:rPr>
        <w:t>).</w:t>
      </w:r>
      <w:r w:rsidR="00B71643">
        <w:rPr>
          <w:rStyle w:val="FootnoteReference"/>
          <w:rFonts w:ascii="Times New Roman" w:hAnsi="Times New Roman" w:cs="Times New Roman"/>
          <w:noProof/>
          <w:sz w:val="24"/>
          <w:szCs w:val="24"/>
        </w:rPr>
        <w:footnoteReference w:id="3"/>
      </w:r>
      <w:r w:rsidR="0019162F">
        <w:rPr>
          <w:rFonts w:ascii="Times New Roman" w:hAnsi="Times New Roman" w:cs="Times New Roman"/>
          <w:sz w:val="24"/>
          <w:szCs w:val="24"/>
        </w:rPr>
        <w:t xml:space="preserve"> </w:t>
      </w:r>
      <w:r w:rsidR="000578A3">
        <w:rPr>
          <w:rFonts w:ascii="Times New Roman" w:hAnsi="Times New Roman" w:cs="Times New Roman"/>
          <w:sz w:val="24"/>
          <w:szCs w:val="24"/>
        </w:rPr>
        <w:t xml:space="preserve">We proxy for valuation mistakes (both under- and overvaluation) with deviations of stock prices from </w:t>
      </w:r>
      <w:r w:rsidR="000578A3" w:rsidRPr="00125F8A">
        <w:rPr>
          <w:rFonts w:ascii="Times New Roman" w:hAnsi="Times New Roman" w:cs="Times New Roman"/>
          <w:sz w:val="24"/>
          <w:szCs w:val="24"/>
        </w:rPr>
        <w:t xml:space="preserve">expected </w:t>
      </w:r>
      <w:r w:rsidR="000578A3">
        <w:rPr>
          <w:rFonts w:ascii="Times New Roman" w:hAnsi="Times New Roman" w:cs="Times New Roman"/>
          <w:sz w:val="24"/>
          <w:szCs w:val="24"/>
        </w:rPr>
        <w:t>fundamental values</w:t>
      </w:r>
      <w:r w:rsidR="009D7ECF">
        <w:rPr>
          <w:rFonts w:ascii="Times New Roman" w:hAnsi="Times New Roman" w:cs="Times New Roman"/>
          <w:sz w:val="24"/>
          <w:szCs w:val="24"/>
        </w:rPr>
        <w:t xml:space="preserve"> (i.e. price-to-value</w:t>
      </w:r>
      <w:r w:rsidR="009D5585">
        <w:rPr>
          <w:rFonts w:ascii="Times New Roman" w:hAnsi="Times New Roman" w:cs="Times New Roman"/>
          <w:sz w:val="24"/>
          <w:szCs w:val="24"/>
        </w:rPr>
        <w:t xml:space="preserve"> ratio</w:t>
      </w:r>
      <w:r w:rsidR="009D7ECF">
        <w:rPr>
          <w:rFonts w:ascii="Times New Roman" w:hAnsi="Times New Roman" w:cs="Times New Roman"/>
          <w:sz w:val="24"/>
          <w:szCs w:val="24"/>
        </w:rPr>
        <w:t>)</w:t>
      </w:r>
      <w:r w:rsidR="009E0319">
        <w:rPr>
          <w:rFonts w:ascii="Times New Roman" w:hAnsi="Times New Roman" w:cs="Times New Roman"/>
          <w:sz w:val="24"/>
          <w:szCs w:val="24"/>
        </w:rPr>
        <w:t xml:space="preserve"> </w:t>
      </w:r>
      <w:r w:rsidR="00E611A9">
        <w:rPr>
          <w:rFonts w:ascii="Times New Roman" w:hAnsi="Times New Roman" w:cs="Times New Roman"/>
          <w:sz w:val="24"/>
          <w:szCs w:val="24"/>
        </w:rPr>
        <w:t>given</w:t>
      </w:r>
      <w:r w:rsidR="00187D15">
        <w:rPr>
          <w:rFonts w:ascii="Times New Roman" w:hAnsi="Times New Roman" w:cs="Times New Roman"/>
          <w:sz w:val="24"/>
          <w:szCs w:val="24"/>
        </w:rPr>
        <w:t xml:space="preserve"> </w:t>
      </w:r>
      <w:r w:rsidR="000E3640" w:rsidRPr="003C37EC">
        <w:rPr>
          <w:rFonts w:ascii="Times New Roman" w:hAnsi="Times New Roman" w:cs="Times New Roman"/>
          <w:sz w:val="24"/>
          <w:szCs w:val="24"/>
        </w:rPr>
        <w:t xml:space="preserve">the same empirical valuation model </w:t>
      </w:r>
      <w:r w:rsidR="002E2E27">
        <w:rPr>
          <w:rFonts w:ascii="Times New Roman" w:hAnsi="Times New Roman" w:cs="Times New Roman"/>
          <w:sz w:val="24"/>
          <w:szCs w:val="24"/>
        </w:rPr>
        <w:t>that</w:t>
      </w:r>
      <w:r w:rsidR="000E3640" w:rsidRPr="003C37EC">
        <w:rPr>
          <w:rFonts w:ascii="Times New Roman" w:hAnsi="Times New Roman" w:cs="Times New Roman"/>
          <w:sz w:val="24"/>
          <w:szCs w:val="24"/>
        </w:rPr>
        <w:t xml:space="preserve"> we </w:t>
      </w:r>
      <w:r w:rsidR="00E611A9">
        <w:rPr>
          <w:rFonts w:ascii="Times New Roman" w:hAnsi="Times New Roman" w:cs="Times New Roman"/>
          <w:sz w:val="24"/>
          <w:szCs w:val="24"/>
        </w:rPr>
        <w:t>use</w:t>
      </w:r>
      <w:r w:rsidR="001315A0">
        <w:rPr>
          <w:rFonts w:ascii="Times New Roman" w:hAnsi="Times New Roman" w:cs="Times New Roman"/>
          <w:sz w:val="24"/>
          <w:szCs w:val="24"/>
        </w:rPr>
        <w:t xml:space="preserve"> </w:t>
      </w:r>
      <w:r w:rsidR="000E3640" w:rsidRPr="003C37EC">
        <w:rPr>
          <w:rFonts w:ascii="Times New Roman" w:hAnsi="Times New Roman" w:cs="Times New Roman"/>
          <w:sz w:val="24"/>
          <w:szCs w:val="24"/>
        </w:rPr>
        <w:t>to derive valuation uncertainty</w:t>
      </w:r>
      <w:r w:rsidR="000578A3">
        <w:rPr>
          <w:rFonts w:ascii="Times New Roman" w:hAnsi="Times New Roman" w:cs="Times New Roman"/>
          <w:sz w:val="24"/>
          <w:szCs w:val="24"/>
        </w:rPr>
        <w:t xml:space="preserve">. </w:t>
      </w:r>
      <w:r w:rsidR="00637526">
        <w:rPr>
          <w:rFonts w:ascii="Times New Roman" w:hAnsi="Times New Roman" w:cs="Times New Roman"/>
          <w:sz w:val="24"/>
          <w:szCs w:val="24"/>
        </w:rPr>
        <w:t>We refer to low (high) price-to-value</w:t>
      </w:r>
      <w:r w:rsidR="00A01F3E">
        <w:rPr>
          <w:rFonts w:ascii="Times New Roman" w:hAnsi="Times New Roman" w:cs="Times New Roman"/>
          <w:sz w:val="24"/>
          <w:szCs w:val="24"/>
        </w:rPr>
        <w:t xml:space="preserve"> </w:t>
      </w:r>
      <w:r w:rsidR="00637526">
        <w:rPr>
          <w:rFonts w:ascii="Times New Roman" w:hAnsi="Times New Roman" w:cs="Times New Roman"/>
          <w:sz w:val="24"/>
          <w:szCs w:val="24"/>
        </w:rPr>
        <w:t>stocks as “value” (“growth”).</w:t>
      </w:r>
      <w:r w:rsidR="00A47294">
        <w:rPr>
          <w:rFonts w:ascii="Times New Roman" w:hAnsi="Times New Roman" w:cs="Times New Roman"/>
          <w:sz w:val="24"/>
          <w:szCs w:val="24"/>
        </w:rPr>
        <w:t xml:space="preserve"> </w:t>
      </w:r>
      <w:r w:rsidR="006343C5">
        <w:rPr>
          <w:rFonts w:ascii="Times New Roman" w:hAnsi="Times New Roman" w:cs="Times New Roman"/>
          <w:sz w:val="24"/>
          <w:szCs w:val="24"/>
        </w:rPr>
        <w:t xml:space="preserve">Our analysis here follows </w:t>
      </w:r>
      <w:hyperlink w:anchor="_ENREF_39" w:tooltip="Golubov, 2019 #81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AuthorYear="1"&gt;&lt;Author&gt;Golubov&lt;/Author&gt;&lt;Year&gt;2019&lt;/Year&gt;&lt;RecNum&gt;814&lt;/RecNum&gt;&lt;DisplayText&gt;Golubov and Konstantinidi (2019)&lt;/DisplayText&gt;&lt;record&gt;&lt;rec-number&gt;814&lt;/rec-number&gt;&lt;foreign-keys&gt;&lt;key app="EN" db-id="a00ppf5vbz2zw4efraqp9recxrvdwwtasszf" timestamp="1636055772"&gt;814&lt;/key&gt;&lt;/foreign-keys&gt;&lt;ref-type name="Journal Article"&gt;17&lt;/ref-type&gt;&lt;contributors&gt;&lt;authors&gt;&lt;author&gt;Golubov, Andrey&lt;/author&gt;&lt;author&gt;Konstantinidi, Theodosia&lt;/author&gt;&lt;/authors&gt;&lt;/contributors&gt;&lt;titles&gt;&lt;title&gt;Where Is the Risk in Value? Evidence from a Market-to-Book Decomposition&lt;/title&gt;&lt;secondary-title&gt;The Journal of Finance&lt;/secondary-title&gt;&lt;/titles&gt;&lt;periodical&gt;&lt;full-title&gt;The Journal of Finance&lt;/full-title&gt;&lt;/periodical&gt;&lt;pages&gt;3135-3186&lt;/pages&gt;&lt;volume&gt;74&lt;/volume&gt;&lt;number&gt;6&lt;/number&gt;&lt;dates&gt;&lt;year&gt;2019&lt;/year&gt;&lt;/dates&gt;&lt;isbn&gt;0022-1082&lt;/isbn&gt;&lt;urls&gt;&lt;related-urls&gt;&lt;url&gt;https://onlinelibrary.wiley.com/doi/abs/10.1111/jofi.12836&lt;/url&gt;&lt;/related-urls&gt;&lt;/urls&gt;&lt;electronic-resource-num&gt;10.1111/jofi.12836&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Golubov and Konstantinidi (2019)</w:t>
        </w:r>
        <w:r w:rsidR="00A4299A">
          <w:rPr>
            <w:rFonts w:ascii="Times New Roman" w:hAnsi="Times New Roman" w:cs="Times New Roman"/>
            <w:sz w:val="24"/>
            <w:szCs w:val="24"/>
          </w:rPr>
          <w:fldChar w:fldCharType="end"/>
        </w:r>
      </w:hyperlink>
      <w:r w:rsidR="00D4717F">
        <w:rPr>
          <w:rFonts w:ascii="Times New Roman" w:hAnsi="Times New Roman" w:cs="Times New Roman"/>
          <w:sz w:val="24"/>
          <w:szCs w:val="24"/>
        </w:rPr>
        <w:t xml:space="preserve">, who find that </w:t>
      </w:r>
      <w:r w:rsidR="0062430E">
        <w:rPr>
          <w:rFonts w:ascii="Times New Roman" w:hAnsi="Times New Roman" w:cs="Times New Roman"/>
          <w:sz w:val="24"/>
          <w:szCs w:val="24"/>
        </w:rPr>
        <w:t>price-to-value is</w:t>
      </w:r>
      <w:r w:rsidR="00D4717F">
        <w:rPr>
          <w:rFonts w:ascii="Times New Roman" w:hAnsi="Times New Roman" w:cs="Times New Roman"/>
          <w:sz w:val="24"/>
          <w:szCs w:val="24"/>
        </w:rPr>
        <w:t xml:space="preserve"> responsible for the entire value premium</w:t>
      </w:r>
      <w:r w:rsidR="00467E70">
        <w:rPr>
          <w:rFonts w:ascii="Times New Roman" w:hAnsi="Times New Roman" w:cs="Times New Roman"/>
          <w:sz w:val="24"/>
          <w:szCs w:val="24"/>
        </w:rPr>
        <w:t xml:space="preserve">. We present </w:t>
      </w:r>
      <w:r w:rsidR="0030742B">
        <w:rPr>
          <w:rFonts w:ascii="Times New Roman" w:hAnsi="Times New Roman" w:cs="Times New Roman"/>
          <w:sz w:val="24"/>
          <w:szCs w:val="24"/>
        </w:rPr>
        <w:t xml:space="preserve">two </w:t>
      </w:r>
      <w:r w:rsidR="00467E70">
        <w:rPr>
          <w:rFonts w:ascii="Times New Roman" w:hAnsi="Times New Roman" w:cs="Times New Roman"/>
          <w:sz w:val="24"/>
          <w:szCs w:val="24"/>
        </w:rPr>
        <w:t>novel findings.</w:t>
      </w:r>
    </w:p>
    <w:p w14:paraId="29EA4F82" w14:textId="49B14543" w:rsidR="00E94B07" w:rsidRDefault="0030742B" w:rsidP="00A8276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First</w:t>
      </w:r>
      <w:r w:rsidR="00EF3457">
        <w:rPr>
          <w:rFonts w:ascii="Times New Roman" w:hAnsi="Times New Roman" w:cs="Times New Roman"/>
          <w:sz w:val="24"/>
          <w:szCs w:val="24"/>
        </w:rPr>
        <w:t>,</w:t>
      </w:r>
      <w:r w:rsidR="000F17DF">
        <w:rPr>
          <w:rFonts w:ascii="Times New Roman" w:hAnsi="Times New Roman" w:cs="Times New Roman"/>
          <w:sz w:val="24"/>
          <w:szCs w:val="24"/>
        </w:rPr>
        <w:t xml:space="preserve"> the long-short strategy </w:t>
      </w:r>
      <w:r w:rsidR="00A87A61">
        <w:rPr>
          <w:rFonts w:ascii="Times New Roman" w:hAnsi="Times New Roman" w:cs="Times New Roman"/>
          <w:sz w:val="24"/>
          <w:szCs w:val="24"/>
        </w:rPr>
        <w:t>formed</w:t>
      </w:r>
      <w:r w:rsidR="00125F8A">
        <w:rPr>
          <w:rFonts w:ascii="Times New Roman" w:hAnsi="Times New Roman" w:cs="Times New Roman"/>
          <w:sz w:val="24"/>
          <w:szCs w:val="24"/>
        </w:rPr>
        <w:t xml:space="preserve"> on price-to-value </w:t>
      </w:r>
      <w:r w:rsidR="000F17DF">
        <w:rPr>
          <w:rFonts w:ascii="Times New Roman" w:hAnsi="Times New Roman" w:cs="Times New Roman"/>
          <w:sz w:val="24"/>
          <w:szCs w:val="24"/>
        </w:rPr>
        <w:t xml:space="preserve">generates significantly greater returns </w:t>
      </w:r>
      <w:r w:rsidR="000A0CCE">
        <w:rPr>
          <w:rFonts w:ascii="Times New Roman" w:hAnsi="Times New Roman" w:cs="Times New Roman"/>
          <w:sz w:val="24"/>
          <w:szCs w:val="24"/>
        </w:rPr>
        <w:t>and Sharpe ratios as valuation uncertainty increases</w:t>
      </w:r>
      <w:r w:rsidR="000F17DF">
        <w:rPr>
          <w:rFonts w:ascii="Times New Roman" w:hAnsi="Times New Roman" w:cs="Times New Roman"/>
          <w:sz w:val="24"/>
          <w:szCs w:val="24"/>
        </w:rPr>
        <w:t>.</w:t>
      </w:r>
      <w:r w:rsidR="00A01F3E">
        <w:rPr>
          <w:rFonts w:ascii="Times New Roman" w:hAnsi="Times New Roman" w:cs="Times New Roman"/>
          <w:sz w:val="24"/>
          <w:szCs w:val="24"/>
        </w:rPr>
        <w:t xml:space="preserve"> </w:t>
      </w:r>
      <w:r w:rsidR="00B1335B">
        <w:rPr>
          <w:rFonts w:ascii="Times New Roman" w:hAnsi="Times New Roman" w:cs="Times New Roman"/>
          <w:sz w:val="24"/>
          <w:szCs w:val="24"/>
        </w:rPr>
        <w:t>T</w:t>
      </w:r>
      <w:r w:rsidR="000F17DF">
        <w:rPr>
          <w:rFonts w:ascii="Times New Roman" w:hAnsi="Times New Roman" w:cs="Times New Roman"/>
          <w:sz w:val="24"/>
          <w:szCs w:val="24"/>
        </w:rPr>
        <w:t xml:space="preserve">he </w:t>
      </w:r>
      <w:r w:rsidR="0062430E">
        <w:rPr>
          <w:rFonts w:ascii="Times New Roman" w:hAnsi="Times New Roman" w:cs="Times New Roman"/>
          <w:sz w:val="24"/>
          <w:szCs w:val="24"/>
        </w:rPr>
        <w:t xml:space="preserve">average </w:t>
      </w:r>
      <w:r w:rsidR="000F17DF">
        <w:rPr>
          <w:rFonts w:ascii="Times New Roman" w:hAnsi="Times New Roman" w:cs="Times New Roman"/>
          <w:sz w:val="24"/>
          <w:szCs w:val="24"/>
        </w:rPr>
        <w:t xml:space="preserve">returns </w:t>
      </w:r>
      <w:r w:rsidR="009C3015">
        <w:rPr>
          <w:rFonts w:ascii="Times New Roman" w:hAnsi="Times New Roman" w:cs="Times New Roman"/>
          <w:sz w:val="24"/>
          <w:szCs w:val="24"/>
        </w:rPr>
        <w:t>of</w:t>
      </w:r>
      <w:r w:rsidR="000F17DF">
        <w:rPr>
          <w:rFonts w:ascii="Times New Roman" w:hAnsi="Times New Roman" w:cs="Times New Roman"/>
          <w:sz w:val="24"/>
          <w:szCs w:val="24"/>
        </w:rPr>
        <w:t xml:space="preserve"> the high valuation uncertainty </w:t>
      </w:r>
      <w:r w:rsidR="00B1335B">
        <w:rPr>
          <w:rFonts w:ascii="Times New Roman" w:hAnsi="Times New Roman" w:cs="Times New Roman"/>
          <w:sz w:val="24"/>
          <w:szCs w:val="24"/>
        </w:rPr>
        <w:t>“</w:t>
      </w:r>
      <w:r w:rsidR="000F17DF">
        <w:rPr>
          <w:rFonts w:ascii="Times New Roman" w:hAnsi="Times New Roman" w:cs="Times New Roman"/>
          <w:sz w:val="24"/>
          <w:szCs w:val="24"/>
        </w:rPr>
        <w:t>growth</w:t>
      </w:r>
      <w:r w:rsidR="00B1335B">
        <w:rPr>
          <w:rFonts w:ascii="Times New Roman" w:hAnsi="Times New Roman" w:cs="Times New Roman"/>
          <w:sz w:val="24"/>
          <w:szCs w:val="24"/>
        </w:rPr>
        <w:t>”</w:t>
      </w:r>
      <w:r w:rsidR="000F17DF">
        <w:rPr>
          <w:rFonts w:ascii="Times New Roman" w:hAnsi="Times New Roman" w:cs="Times New Roman"/>
          <w:sz w:val="24"/>
          <w:szCs w:val="24"/>
        </w:rPr>
        <w:t xml:space="preserve"> stocks are parti</w:t>
      </w:r>
      <w:r w:rsidR="000A0CCE">
        <w:rPr>
          <w:rFonts w:ascii="Times New Roman" w:hAnsi="Times New Roman" w:cs="Times New Roman"/>
          <w:sz w:val="24"/>
          <w:szCs w:val="24"/>
        </w:rPr>
        <w:t xml:space="preserve">cularly low – as low as </w:t>
      </w:r>
      <w:r w:rsidR="000F17DF">
        <w:rPr>
          <w:rFonts w:ascii="Times New Roman" w:hAnsi="Times New Roman" w:cs="Times New Roman"/>
          <w:sz w:val="24"/>
          <w:szCs w:val="24"/>
        </w:rPr>
        <w:t>the</w:t>
      </w:r>
      <w:r w:rsidR="00314A59">
        <w:rPr>
          <w:rFonts w:ascii="Times New Roman" w:hAnsi="Times New Roman" w:cs="Times New Roman"/>
          <w:sz w:val="24"/>
          <w:szCs w:val="24"/>
        </w:rPr>
        <w:t xml:space="preserve"> </w:t>
      </w:r>
      <w:r w:rsidR="000F17DF">
        <w:rPr>
          <w:rFonts w:ascii="Times New Roman" w:hAnsi="Times New Roman" w:cs="Times New Roman"/>
          <w:sz w:val="24"/>
          <w:szCs w:val="24"/>
        </w:rPr>
        <w:t xml:space="preserve">risk-free rate. </w:t>
      </w:r>
      <w:r w:rsidR="00DD5F6A">
        <w:rPr>
          <w:rFonts w:ascii="Times New Roman" w:hAnsi="Times New Roman" w:cs="Times New Roman"/>
          <w:sz w:val="24"/>
          <w:szCs w:val="24"/>
        </w:rPr>
        <w:t xml:space="preserve">Second, valuation uncertainty shapes the sensitivity of “value” and “growth” stocks to investor sentiment. Among low valuation uncertainty stocks, </w:t>
      </w:r>
      <w:r w:rsidR="004F1E79">
        <w:rPr>
          <w:rFonts w:ascii="Times New Roman" w:hAnsi="Times New Roman" w:cs="Times New Roman"/>
          <w:sz w:val="24"/>
          <w:szCs w:val="24"/>
        </w:rPr>
        <w:t>low investor sentiment do</w:t>
      </w:r>
      <w:r w:rsidR="00BA644D">
        <w:rPr>
          <w:rFonts w:ascii="Times New Roman" w:hAnsi="Times New Roman" w:cs="Times New Roman"/>
          <w:sz w:val="24"/>
          <w:szCs w:val="24"/>
        </w:rPr>
        <w:t>es</w:t>
      </w:r>
      <w:r w:rsidR="004F1E79">
        <w:rPr>
          <w:rFonts w:ascii="Times New Roman" w:hAnsi="Times New Roman" w:cs="Times New Roman"/>
          <w:sz w:val="24"/>
          <w:szCs w:val="24"/>
        </w:rPr>
        <w:t xml:space="preserve"> not raise the returns of “value” firms, and high investor sentiment does not lower the returns of “growth” firms. In contrast, for high valuation uncertainty stocks, sentiment matters: </w:t>
      </w:r>
      <w:r w:rsidR="00BA644D">
        <w:rPr>
          <w:rFonts w:ascii="Times New Roman" w:hAnsi="Times New Roman" w:cs="Times New Roman"/>
          <w:sz w:val="24"/>
          <w:szCs w:val="24"/>
        </w:rPr>
        <w:t xml:space="preserve">buying </w:t>
      </w:r>
      <w:r w:rsidR="004F1E79">
        <w:rPr>
          <w:rFonts w:ascii="Times New Roman" w:hAnsi="Times New Roman" w:cs="Times New Roman"/>
          <w:sz w:val="24"/>
          <w:szCs w:val="24"/>
        </w:rPr>
        <w:t>“value” stocks is especially profitable following episodes of low sentiment, whereas shorting “growth” stocks is particularly profitable following high sentiment periods</w:t>
      </w:r>
      <w:r w:rsidR="00BA644D">
        <w:rPr>
          <w:rFonts w:ascii="Times New Roman" w:hAnsi="Times New Roman" w:cs="Times New Roman"/>
          <w:sz w:val="24"/>
          <w:szCs w:val="24"/>
        </w:rPr>
        <w:t xml:space="preserve"> (when </w:t>
      </w:r>
      <w:r w:rsidR="00D349E9">
        <w:rPr>
          <w:rFonts w:ascii="Times New Roman" w:hAnsi="Times New Roman" w:cs="Times New Roman"/>
          <w:sz w:val="24"/>
          <w:szCs w:val="24"/>
        </w:rPr>
        <w:t xml:space="preserve">these </w:t>
      </w:r>
      <w:r w:rsidR="00BA644D">
        <w:rPr>
          <w:rFonts w:ascii="Times New Roman" w:hAnsi="Times New Roman" w:cs="Times New Roman"/>
          <w:sz w:val="24"/>
          <w:szCs w:val="24"/>
        </w:rPr>
        <w:t xml:space="preserve">stocks </w:t>
      </w:r>
      <w:r w:rsidR="00F43528">
        <w:rPr>
          <w:rFonts w:ascii="Times New Roman" w:hAnsi="Times New Roman" w:cs="Times New Roman"/>
          <w:sz w:val="24"/>
          <w:szCs w:val="24"/>
        </w:rPr>
        <w:t xml:space="preserve">actually </w:t>
      </w:r>
      <w:r w:rsidR="00BA644D">
        <w:rPr>
          <w:rFonts w:ascii="Times New Roman" w:hAnsi="Times New Roman" w:cs="Times New Roman"/>
          <w:sz w:val="24"/>
          <w:szCs w:val="24"/>
        </w:rPr>
        <w:t xml:space="preserve">exhibit </w:t>
      </w:r>
      <w:r w:rsidR="00BA644D" w:rsidRPr="00951457">
        <w:rPr>
          <w:rFonts w:ascii="Times New Roman" w:hAnsi="Times New Roman" w:cs="Times New Roman"/>
          <w:i/>
          <w:iCs/>
          <w:sz w:val="24"/>
          <w:szCs w:val="24"/>
        </w:rPr>
        <w:t>negative</w:t>
      </w:r>
      <w:r w:rsidR="00BA644D">
        <w:rPr>
          <w:rFonts w:ascii="Times New Roman" w:hAnsi="Times New Roman" w:cs="Times New Roman"/>
          <w:sz w:val="24"/>
          <w:szCs w:val="24"/>
        </w:rPr>
        <w:t xml:space="preserve"> average returns)</w:t>
      </w:r>
      <w:r w:rsidR="004F1E79">
        <w:rPr>
          <w:rFonts w:ascii="Times New Roman" w:hAnsi="Times New Roman" w:cs="Times New Roman"/>
          <w:sz w:val="24"/>
          <w:szCs w:val="24"/>
        </w:rPr>
        <w:t>.</w:t>
      </w:r>
    </w:p>
    <w:p w14:paraId="35B21A38" w14:textId="6959948B" w:rsidR="00595D10" w:rsidRDefault="004F652C" w:rsidP="00E94B0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Overall, </w:t>
      </w:r>
      <w:r w:rsidR="00595D10">
        <w:rPr>
          <w:rFonts w:ascii="Times New Roman" w:hAnsi="Times New Roman" w:cs="Times New Roman"/>
          <w:sz w:val="24"/>
          <w:szCs w:val="24"/>
        </w:rPr>
        <w:t xml:space="preserve">these </w:t>
      </w:r>
      <w:r w:rsidR="0082448A">
        <w:rPr>
          <w:rFonts w:ascii="Times New Roman" w:hAnsi="Times New Roman" w:cs="Times New Roman"/>
          <w:sz w:val="24"/>
          <w:szCs w:val="24"/>
        </w:rPr>
        <w:t>findings are consistent with the</w:t>
      </w:r>
      <w:r>
        <w:rPr>
          <w:rFonts w:ascii="Times New Roman" w:hAnsi="Times New Roman" w:cs="Times New Roman"/>
          <w:sz w:val="24"/>
          <w:szCs w:val="24"/>
        </w:rPr>
        <w:t xml:space="preserve"> hypothesis that valuation uncertainty promotes valuation mistakes</w:t>
      </w:r>
      <w:r w:rsidR="00994C3A">
        <w:rPr>
          <w:rFonts w:ascii="Times New Roman" w:hAnsi="Times New Roman" w:cs="Times New Roman"/>
          <w:sz w:val="24"/>
          <w:szCs w:val="24"/>
        </w:rPr>
        <w:t xml:space="preserve"> and provide some further indirect validation of our measure</w:t>
      </w:r>
      <w:r>
        <w:rPr>
          <w:rFonts w:ascii="Times New Roman" w:hAnsi="Times New Roman" w:cs="Times New Roman"/>
          <w:sz w:val="24"/>
          <w:szCs w:val="24"/>
        </w:rPr>
        <w:t>.</w:t>
      </w:r>
      <w:r w:rsidR="00A82768">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r w:rsidR="00595D10">
        <w:rPr>
          <w:rFonts w:ascii="Times New Roman" w:hAnsi="Times New Roman" w:cs="Times New Roman"/>
          <w:sz w:val="24"/>
          <w:szCs w:val="24"/>
        </w:rPr>
        <w:t>As a</w:t>
      </w:r>
      <w:r w:rsidR="00C80826">
        <w:rPr>
          <w:rFonts w:ascii="Times New Roman" w:hAnsi="Times New Roman" w:cs="Times New Roman"/>
          <w:sz w:val="24"/>
          <w:szCs w:val="24"/>
        </w:rPr>
        <w:t>n interesting</w:t>
      </w:r>
      <w:r w:rsidR="00595D10">
        <w:rPr>
          <w:rFonts w:ascii="Times New Roman" w:hAnsi="Times New Roman" w:cs="Times New Roman"/>
          <w:sz w:val="24"/>
          <w:szCs w:val="24"/>
        </w:rPr>
        <w:t xml:space="preserve"> by-product</w:t>
      </w:r>
      <w:r w:rsidR="00C80826">
        <w:rPr>
          <w:rFonts w:ascii="Times New Roman" w:hAnsi="Times New Roman" w:cs="Times New Roman"/>
          <w:sz w:val="24"/>
          <w:szCs w:val="24"/>
        </w:rPr>
        <w:t>,</w:t>
      </w:r>
      <w:r w:rsidR="00595D10">
        <w:rPr>
          <w:rFonts w:ascii="Times New Roman" w:hAnsi="Times New Roman" w:cs="Times New Roman"/>
          <w:sz w:val="24"/>
          <w:szCs w:val="24"/>
        </w:rPr>
        <w:t xml:space="preserve"> </w:t>
      </w:r>
      <w:r w:rsidR="00E94B07">
        <w:rPr>
          <w:rFonts w:ascii="Times New Roman" w:hAnsi="Times New Roman" w:cs="Times New Roman"/>
          <w:sz w:val="24"/>
          <w:szCs w:val="24"/>
        </w:rPr>
        <w:t>this analysis</w:t>
      </w:r>
      <w:r w:rsidR="00595D10">
        <w:rPr>
          <w:rFonts w:ascii="Times New Roman" w:hAnsi="Times New Roman" w:cs="Times New Roman"/>
          <w:sz w:val="24"/>
          <w:szCs w:val="24"/>
        </w:rPr>
        <w:t xml:space="preserve"> </w:t>
      </w:r>
      <w:r w:rsidR="00C80826">
        <w:rPr>
          <w:rFonts w:ascii="Times New Roman" w:hAnsi="Times New Roman" w:cs="Times New Roman"/>
          <w:sz w:val="24"/>
          <w:szCs w:val="24"/>
        </w:rPr>
        <w:t xml:space="preserve">also </w:t>
      </w:r>
      <w:r w:rsidR="00E94B07">
        <w:rPr>
          <w:rFonts w:ascii="Times New Roman" w:hAnsi="Times New Roman" w:cs="Times New Roman"/>
          <w:sz w:val="24"/>
          <w:szCs w:val="24"/>
        </w:rPr>
        <w:t>provides</w:t>
      </w:r>
      <w:r w:rsidR="00595D10">
        <w:rPr>
          <w:rFonts w:ascii="Times New Roman" w:hAnsi="Times New Roman" w:cs="Times New Roman"/>
          <w:sz w:val="24"/>
          <w:szCs w:val="24"/>
        </w:rPr>
        <w:t xml:space="preserve"> some suggestive evidence on the potential reasons behind the</w:t>
      </w:r>
      <w:r w:rsidR="00020CE8">
        <w:rPr>
          <w:rFonts w:ascii="Times New Roman" w:hAnsi="Times New Roman" w:cs="Times New Roman"/>
          <w:sz w:val="24"/>
          <w:szCs w:val="24"/>
        </w:rPr>
        <w:t xml:space="preserve"> recent</w:t>
      </w:r>
      <w:r w:rsidR="003C40A2">
        <w:rPr>
          <w:rFonts w:ascii="Times New Roman" w:hAnsi="Times New Roman" w:cs="Times New Roman"/>
          <w:sz w:val="24"/>
          <w:szCs w:val="24"/>
        </w:rPr>
        <w:t xml:space="preserve"> “disappearance” of the value premium</w:t>
      </w:r>
      <w:r w:rsidR="00595D10">
        <w:rPr>
          <w:rFonts w:ascii="Times New Roman" w:hAnsi="Times New Roman" w:cs="Times New Roman"/>
          <w:sz w:val="24"/>
          <w:szCs w:val="24"/>
        </w:rPr>
        <w:t>.</w:t>
      </w:r>
      <w:r w:rsidR="00C80826">
        <w:rPr>
          <w:rFonts w:ascii="Times New Roman" w:hAnsi="Times New Roman" w:cs="Times New Roman"/>
          <w:sz w:val="24"/>
          <w:szCs w:val="24"/>
        </w:rPr>
        <w:t xml:space="preserve"> First,</w:t>
      </w:r>
      <w:r w:rsidR="002D77C3">
        <w:rPr>
          <w:rFonts w:ascii="Times New Roman" w:hAnsi="Times New Roman" w:cs="Times New Roman"/>
          <w:sz w:val="24"/>
          <w:szCs w:val="24"/>
        </w:rPr>
        <w:t xml:space="preserve"> we show that the profitability of our </w:t>
      </w:r>
      <w:r w:rsidR="008B3F72">
        <w:rPr>
          <w:rFonts w:ascii="Times New Roman" w:hAnsi="Times New Roman" w:cs="Times New Roman"/>
          <w:sz w:val="24"/>
          <w:szCs w:val="24"/>
        </w:rPr>
        <w:t>price-to-value strategy</w:t>
      </w:r>
      <w:r w:rsidR="002D77C3">
        <w:rPr>
          <w:rFonts w:ascii="Times New Roman" w:hAnsi="Times New Roman" w:cs="Times New Roman"/>
          <w:sz w:val="24"/>
          <w:szCs w:val="24"/>
        </w:rPr>
        <w:t xml:space="preserve"> is concentrated in periods of extreme sentiment</w:t>
      </w:r>
      <w:r w:rsidR="003C40A2">
        <w:rPr>
          <w:rFonts w:ascii="Times New Roman" w:hAnsi="Times New Roman" w:cs="Times New Roman"/>
          <w:sz w:val="24"/>
          <w:szCs w:val="24"/>
        </w:rPr>
        <w:t>.</w:t>
      </w:r>
      <w:r w:rsidR="002D77C3">
        <w:rPr>
          <w:rFonts w:ascii="Times New Roman" w:hAnsi="Times New Roman" w:cs="Times New Roman"/>
          <w:sz w:val="24"/>
          <w:szCs w:val="24"/>
        </w:rPr>
        <w:t xml:space="preserve"> Moderate sentiment is not conducive to the build-up of mispricing. Incidentally, sentiment</w:t>
      </w:r>
      <w:r w:rsidR="00020CE8">
        <w:rPr>
          <w:rFonts w:ascii="Times New Roman" w:hAnsi="Times New Roman" w:cs="Times New Roman"/>
          <w:sz w:val="24"/>
          <w:szCs w:val="24"/>
        </w:rPr>
        <w:t xml:space="preserve"> in the recent period was moderate</w:t>
      </w:r>
      <w:r w:rsidR="002D77C3">
        <w:rPr>
          <w:rFonts w:ascii="Times New Roman" w:hAnsi="Times New Roman" w:cs="Times New Roman"/>
          <w:sz w:val="24"/>
          <w:szCs w:val="24"/>
        </w:rPr>
        <w:t>. Second, we show that much of the</w:t>
      </w:r>
      <w:r w:rsidR="003C40A2">
        <w:rPr>
          <w:rFonts w:ascii="Times New Roman" w:hAnsi="Times New Roman" w:cs="Times New Roman"/>
          <w:sz w:val="24"/>
          <w:szCs w:val="24"/>
        </w:rPr>
        <w:t xml:space="preserve"> recent</w:t>
      </w:r>
      <w:r w:rsidR="002D77C3">
        <w:rPr>
          <w:rFonts w:ascii="Times New Roman" w:hAnsi="Times New Roman" w:cs="Times New Roman"/>
          <w:sz w:val="24"/>
          <w:szCs w:val="24"/>
        </w:rPr>
        <w:t xml:space="preserve"> </w:t>
      </w:r>
      <w:r w:rsidR="003C40A2">
        <w:rPr>
          <w:rFonts w:ascii="Times New Roman" w:hAnsi="Times New Roman" w:cs="Times New Roman"/>
          <w:sz w:val="24"/>
          <w:szCs w:val="24"/>
        </w:rPr>
        <w:t xml:space="preserve">losses produced by the </w:t>
      </w:r>
      <w:r w:rsidR="003C40A2" w:rsidRPr="008B3F72">
        <w:rPr>
          <w:rFonts w:ascii="Times New Roman" w:hAnsi="Times New Roman" w:cs="Times New Roman"/>
          <w:i/>
          <w:iCs/>
          <w:sz w:val="24"/>
          <w:szCs w:val="24"/>
        </w:rPr>
        <w:t>conventional</w:t>
      </w:r>
      <w:r w:rsidR="003C40A2">
        <w:rPr>
          <w:rFonts w:ascii="Times New Roman" w:hAnsi="Times New Roman" w:cs="Times New Roman"/>
          <w:sz w:val="24"/>
          <w:szCs w:val="24"/>
        </w:rPr>
        <w:t xml:space="preserve"> value strategy</w:t>
      </w:r>
      <w:r w:rsidR="002D77C3">
        <w:rPr>
          <w:rFonts w:ascii="Times New Roman" w:hAnsi="Times New Roman" w:cs="Times New Roman"/>
          <w:sz w:val="24"/>
          <w:szCs w:val="24"/>
        </w:rPr>
        <w:t xml:space="preserve"> is due to</w:t>
      </w:r>
      <w:r w:rsidR="003C40A2">
        <w:rPr>
          <w:rFonts w:ascii="Times New Roman" w:hAnsi="Times New Roman" w:cs="Times New Roman"/>
          <w:sz w:val="24"/>
          <w:szCs w:val="24"/>
        </w:rPr>
        <w:t xml:space="preserve"> implicit</w:t>
      </w:r>
      <w:r w:rsidR="002D77C3">
        <w:rPr>
          <w:rFonts w:ascii="Times New Roman" w:hAnsi="Times New Roman" w:cs="Times New Roman"/>
          <w:sz w:val="24"/>
          <w:szCs w:val="24"/>
        </w:rPr>
        <w:t xml:space="preserve"> sorting on the ratio of</w:t>
      </w:r>
      <w:r w:rsidR="008B3F72">
        <w:rPr>
          <w:rFonts w:ascii="Times New Roman" w:hAnsi="Times New Roman" w:cs="Times New Roman"/>
          <w:sz w:val="24"/>
          <w:szCs w:val="24"/>
        </w:rPr>
        <w:t xml:space="preserve"> estimated</w:t>
      </w:r>
      <w:r w:rsidR="002D77C3">
        <w:rPr>
          <w:rFonts w:ascii="Times New Roman" w:hAnsi="Times New Roman" w:cs="Times New Roman"/>
          <w:sz w:val="24"/>
          <w:szCs w:val="24"/>
        </w:rPr>
        <w:t xml:space="preserve"> fundamental value to book</w:t>
      </w:r>
      <w:r w:rsidR="008B3F72">
        <w:rPr>
          <w:rFonts w:ascii="Times New Roman" w:hAnsi="Times New Roman" w:cs="Times New Roman"/>
          <w:sz w:val="24"/>
          <w:szCs w:val="24"/>
        </w:rPr>
        <w:t xml:space="preserve"> value</w:t>
      </w:r>
      <w:r w:rsidR="002D77C3">
        <w:rPr>
          <w:rFonts w:ascii="Times New Roman" w:hAnsi="Times New Roman" w:cs="Times New Roman"/>
          <w:sz w:val="24"/>
          <w:szCs w:val="24"/>
        </w:rPr>
        <w:t xml:space="preserve">, </w:t>
      </w:r>
      <w:r w:rsidR="00A230DD">
        <w:rPr>
          <w:rFonts w:ascii="Times New Roman" w:hAnsi="Times New Roman" w:cs="Times New Roman"/>
          <w:sz w:val="24"/>
          <w:szCs w:val="24"/>
        </w:rPr>
        <w:t xml:space="preserve">and </w:t>
      </w:r>
      <w:r w:rsidR="002D77C3">
        <w:rPr>
          <w:rFonts w:ascii="Times New Roman" w:hAnsi="Times New Roman" w:cs="Times New Roman"/>
          <w:sz w:val="24"/>
          <w:szCs w:val="24"/>
        </w:rPr>
        <w:t xml:space="preserve">especially </w:t>
      </w:r>
      <w:r w:rsidR="003C40A2">
        <w:rPr>
          <w:rFonts w:ascii="Times New Roman" w:hAnsi="Times New Roman" w:cs="Times New Roman"/>
          <w:sz w:val="24"/>
          <w:szCs w:val="24"/>
        </w:rPr>
        <w:t>among high valuation uncertainty</w:t>
      </w:r>
      <w:r w:rsidR="002D77C3">
        <w:rPr>
          <w:rFonts w:ascii="Times New Roman" w:hAnsi="Times New Roman" w:cs="Times New Roman"/>
          <w:sz w:val="24"/>
          <w:szCs w:val="24"/>
        </w:rPr>
        <w:t xml:space="preserve"> stocks</w:t>
      </w:r>
      <w:r w:rsidR="003C40A2">
        <w:rPr>
          <w:rFonts w:ascii="Times New Roman" w:hAnsi="Times New Roman" w:cs="Times New Roman"/>
          <w:sz w:val="24"/>
          <w:szCs w:val="24"/>
        </w:rPr>
        <w:t>.</w:t>
      </w:r>
      <w:r w:rsidR="00A230DD">
        <w:rPr>
          <w:rFonts w:ascii="Times New Roman" w:hAnsi="Times New Roman" w:cs="Times New Roman"/>
          <w:sz w:val="24"/>
          <w:szCs w:val="24"/>
        </w:rPr>
        <w:t xml:space="preserve"> </w:t>
      </w:r>
      <w:r w:rsidR="00922E0C">
        <w:rPr>
          <w:rFonts w:ascii="Times New Roman" w:hAnsi="Times New Roman" w:cs="Times New Roman"/>
          <w:sz w:val="24"/>
          <w:szCs w:val="24"/>
        </w:rPr>
        <w:t>We document some preliminary evidence that this may be linked to a duration effect, given the</w:t>
      </w:r>
      <w:r w:rsidR="00653B24">
        <w:rPr>
          <w:rFonts w:ascii="Times New Roman" w:hAnsi="Times New Roman" w:cs="Times New Roman"/>
          <w:sz w:val="24"/>
          <w:szCs w:val="24"/>
        </w:rPr>
        <w:t xml:space="preserve"> </w:t>
      </w:r>
      <w:r w:rsidR="00922E0C">
        <w:rPr>
          <w:rFonts w:ascii="Times New Roman" w:hAnsi="Times New Roman" w:cs="Times New Roman"/>
          <w:sz w:val="24"/>
          <w:szCs w:val="24"/>
        </w:rPr>
        <w:t>low-interest rate</w:t>
      </w:r>
      <w:r w:rsidR="00D87148">
        <w:rPr>
          <w:rFonts w:ascii="Times New Roman" w:hAnsi="Times New Roman" w:cs="Times New Roman"/>
          <w:sz w:val="24"/>
          <w:szCs w:val="24"/>
        </w:rPr>
        <w:t xml:space="preserve"> environment</w:t>
      </w:r>
      <w:r w:rsidR="00DF07F9">
        <w:rPr>
          <w:rFonts w:ascii="Times New Roman" w:hAnsi="Times New Roman" w:cs="Times New Roman"/>
          <w:sz w:val="24"/>
          <w:szCs w:val="24"/>
        </w:rPr>
        <w:t xml:space="preserve"> </w:t>
      </w:r>
      <w:r w:rsidR="00922E0C">
        <w:rPr>
          <w:rFonts w:ascii="Times New Roman" w:hAnsi="Times New Roman" w:cs="Times New Roman"/>
          <w:sz w:val="24"/>
          <w:szCs w:val="24"/>
        </w:rPr>
        <w:t xml:space="preserve">of </w:t>
      </w:r>
      <w:r w:rsidR="00D87148">
        <w:rPr>
          <w:rFonts w:ascii="Times New Roman" w:hAnsi="Times New Roman" w:cs="Times New Roman"/>
          <w:sz w:val="24"/>
          <w:szCs w:val="24"/>
        </w:rPr>
        <w:t xml:space="preserve">the recent </w:t>
      </w:r>
      <w:r w:rsidR="00020CE8">
        <w:rPr>
          <w:rFonts w:ascii="Times New Roman" w:hAnsi="Times New Roman" w:cs="Times New Roman"/>
          <w:sz w:val="24"/>
          <w:szCs w:val="24"/>
        </w:rPr>
        <w:t>years</w:t>
      </w:r>
      <w:r w:rsidR="00D87148">
        <w:rPr>
          <w:rFonts w:ascii="Times New Roman" w:hAnsi="Times New Roman" w:cs="Times New Roman"/>
          <w:sz w:val="24"/>
          <w:szCs w:val="24"/>
        </w:rPr>
        <w:t>.</w:t>
      </w:r>
    </w:p>
    <w:p w14:paraId="56A66F07" w14:textId="54E902F3" w:rsidR="00724197" w:rsidRDefault="000E3CE6"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Our paper makes two distinct contributions. First, </w:t>
      </w:r>
      <w:r w:rsidR="00E057FB">
        <w:rPr>
          <w:rFonts w:ascii="Times New Roman" w:hAnsi="Times New Roman" w:cs="Times New Roman"/>
          <w:sz w:val="24"/>
          <w:szCs w:val="24"/>
        </w:rPr>
        <w:t>it introduces and validates</w:t>
      </w:r>
      <w:r w:rsidR="00697B5D">
        <w:rPr>
          <w:rFonts w:ascii="Times New Roman" w:hAnsi="Times New Roman" w:cs="Times New Roman"/>
          <w:sz w:val="24"/>
          <w:szCs w:val="24"/>
        </w:rPr>
        <w:t xml:space="preserve"> a novel measure of </w:t>
      </w:r>
      <w:r w:rsidR="00BB7F72">
        <w:rPr>
          <w:rFonts w:ascii="Times New Roman" w:hAnsi="Times New Roman" w:cs="Times New Roman"/>
          <w:sz w:val="24"/>
          <w:szCs w:val="24"/>
        </w:rPr>
        <w:t xml:space="preserve">equity </w:t>
      </w:r>
      <w:r w:rsidR="005B62A6">
        <w:rPr>
          <w:rFonts w:ascii="Times New Roman" w:hAnsi="Times New Roman" w:cs="Times New Roman"/>
          <w:sz w:val="24"/>
          <w:szCs w:val="24"/>
        </w:rPr>
        <w:t>valuation uncertainty</w:t>
      </w:r>
      <w:r w:rsidR="00702E40">
        <w:rPr>
          <w:rFonts w:ascii="Times New Roman" w:hAnsi="Times New Roman" w:cs="Times New Roman"/>
          <w:sz w:val="24"/>
          <w:szCs w:val="24"/>
        </w:rPr>
        <w:t xml:space="preserve"> that relies on </w:t>
      </w:r>
      <w:r w:rsidR="00B94B0E">
        <w:rPr>
          <w:rFonts w:ascii="Times New Roman" w:hAnsi="Times New Roman" w:cs="Times New Roman"/>
          <w:sz w:val="24"/>
          <w:szCs w:val="24"/>
        </w:rPr>
        <w:t xml:space="preserve">accounting </w:t>
      </w:r>
      <w:r w:rsidR="00702E40">
        <w:rPr>
          <w:rFonts w:ascii="Times New Roman" w:hAnsi="Times New Roman" w:cs="Times New Roman"/>
          <w:sz w:val="24"/>
          <w:szCs w:val="24"/>
        </w:rPr>
        <w:t>numbers</w:t>
      </w:r>
      <w:r w:rsidR="00614996">
        <w:rPr>
          <w:rFonts w:ascii="Times New Roman" w:hAnsi="Times New Roman" w:cs="Times New Roman"/>
          <w:sz w:val="24"/>
          <w:szCs w:val="24"/>
        </w:rPr>
        <w:t>.</w:t>
      </w:r>
      <w:r w:rsidR="008E715F">
        <w:rPr>
          <w:rFonts w:ascii="Times New Roman" w:hAnsi="Times New Roman" w:cs="Times New Roman"/>
          <w:sz w:val="24"/>
          <w:szCs w:val="24"/>
        </w:rPr>
        <w:t xml:space="preserve"> Unlike existing proxies, t</w:t>
      </w:r>
      <w:r w:rsidR="00614996">
        <w:rPr>
          <w:rFonts w:ascii="Times New Roman" w:hAnsi="Times New Roman" w:cs="Times New Roman"/>
          <w:sz w:val="24"/>
          <w:szCs w:val="24"/>
        </w:rPr>
        <w:t xml:space="preserve">he unique </w:t>
      </w:r>
      <w:r w:rsidR="003A5013">
        <w:rPr>
          <w:rFonts w:ascii="Times New Roman" w:hAnsi="Times New Roman" w:cs="Times New Roman"/>
          <w:sz w:val="24"/>
          <w:szCs w:val="24"/>
        </w:rPr>
        <w:t>advantage</w:t>
      </w:r>
      <w:r w:rsidR="00614996">
        <w:rPr>
          <w:rFonts w:ascii="Times New Roman" w:hAnsi="Times New Roman" w:cs="Times New Roman"/>
          <w:sz w:val="24"/>
          <w:szCs w:val="24"/>
        </w:rPr>
        <w:t xml:space="preserve"> of our</w:t>
      </w:r>
      <w:r w:rsidR="008E715F">
        <w:rPr>
          <w:rFonts w:ascii="Times New Roman" w:hAnsi="Times New Roman" w:cs="Times New Roman"/>
          <w:sz w:val="24"/>
          <w:szCs w:val="24"/>
        </w:rPr>
        <w:t xml:space="preserve"> </w:t>
      </w:r>
      <w:r w:rsidR="00614996">
        <w:rPr>
          <w:rFonts w:ascii="Times New Roman" w:hAnsi="Times New Roman" w:cs="Times New Roman"/>
          <w:sz w:val="24"/>
          <w:szCs w:val="24"/>
        </w:rPr>
        <w:t xml:space="preserve">measure is </w:t>
      </w:r>
      <w:r w:rsidR="003A5013">
        <w:rPr>
          <w:rFonts w:ascii="Times New Roman" w:hAnsi="Times New Roman" w:cs="Times New Roman"/>
          <w:sz w:val="24"/>
          <w:szCs w:val="24"/>
        </w:rPr>
        <w:t>its</w:t>
      </w:r>
      <w:r w:rsidR="008E715F">
        <w:rPr>
          <w:rFonts w:ascii="Times New Roman" w:hAnsi="Times New Roman" w:cs="Times New Roman"/>
          <w:sz w:val="24"/>
          <w:szCs w:val="24"/>
        </w:rPr>
        <w:t xml:space="preserve"> </w:t>
      </w:r>
      <w:r w:rsidR="00F12566">
        <w:rPr>
          <w:rFonts w:ascii="Times New Roman" w:hAnsi="Times New Roman" w:cs="Times New Roman"/>
          <w:sz w:val="24"/>
          <w:szCs w:val="24"/>
        </w:rPr>
        <w:t xml:space="preserve">direct </w:t>
      </w:r>
      <w:r w:rsidR="008E715F">
        <w:rPr>
          <w:rFonts w:ascii="Times New Roman" w:hAnsi="Times New Roman" w:cs="Times New Roman"/>
          <w:sz w:val="24"/>
          <w:szCs w:val="24"/>
        </w:rPr>
        <w:t xml:space="preserve">link to </w:t>
      </w:r>
      <w:r w:rsidR="003A5013">
        <w:rPr>
          <w:rFonts w:ascii="Times New Roman" w:hAnsi="Times New Roman" w:cs="Times New Roman"/>
          <w:sz w:val="24"/>
          <w:szCs w:val="24"/>
        </w:rPr>
        <w:t>the corresponding</w:t>
      </w:r>
      <w:r w:rsidR="008E715F">
        <w:rPr>
          <w:rFonts w:ascii="Times New Roman" w:hAnsi="Times New Roman" w:cs="Times New Roman"/>
          <w:sz w:val="24"/>
          <w:szCs w:val="24"/>
        </w:rPr>
        <w:t xml:space="preserve"> theoretical co</w:t>
      </w:r>
      <w:r w:rsidR="003A5013">
        <w:rPr>
          <w:rFonts w:ascii="Times New Roman" w:hAnsi="Times New Roman" w:cs="Times New Roman"/>
          <w:sz w:val="24"/>
          <w:szCs w:val="24"/>
        </w:rPr>
        <w:t>nstruct</w:t>
      </w:r>
      <w:r w:rsidR="00154F84">
        <w:rPr>
          <w:rFonts w:ascii="Times New Roman" w:hAnsi="Times New Roman" w:cs="Times New Roman"/>
          <w:sz w:val="24"/>
          <w:szCs w:val="24"/>
        </w:rPr>
        <w:t xml:space="preserve"> and its</w:t>
      </w:r>
      <w:r w:rsidR="00697B5D">
        <w:rPr>
          <w:rFonts w:ascii="Times New Roman" w:hAnsi="Times New Roman" w:cs="Times New Roman"/>
          <w:sz w:val="24"/>
          <w:szCs w:val="24"/>
        </w:rPr>
        <w:t xml:space="preserve"> availab</w:t>
      </w:r>
      <w:r w:rsidR="00154F84">
        <w:rPr>
          <w:rFonts w:ascii="Times New Roman" w:hAnsi="Times New Roman" w:cs="Times New Roman"/>
          <w:sz w:val="24"/>
          <w:szCs w:val="24"/>
        </w:rPr>
        <w:t>ility</w:t>
      </w:r>
      <w:r w:rsidR="00697B5D">
        <w:rPr>
          <w:rFonts w:ascii="Times New Roman" w:hAnsi="Times New Roman" w:cs="Times New Roman"/>
          <w:sz w:val="24"/>
          <w:szCs w:val="24"/>
        </w:rPr>
        <w:t xml:space="preserve"> for </w:t>
      </w:r>
      <w:r w:rsidR="00510403">
        <w:rPr>
          <w:rFonts w:ascii="Times New Roman" w:hAnsi="Times New Roman" w:cs="Times New Roman"/>
          <w:sz w:val="24"/>
          <w:szCs w:val="24"/>
        </w:rPr>
        <w:t xml:space="preserve">a large cross-section of firms – </w:t>
      </w:r>
      <w:r w:rsidR="00697B5D">
        <w:rPr>
          <w:rFonts w:ascii="Times New Roman" w:hAnsi="Times New Roman" w:cs="Times New Roman"/>
          <w:sz w:val="24"/>
          <w:szCs w:val="24"/>
        </w:rPr>
        <w:t>i</w:t>
      </w:r>
      <w:r w:rsidR="009A1AB0">
        <w:rPr>
          <w:rFonts w:ascii="Times New Roman" w:hAnsi="Times New Roman" w:cs="Times New Roman"/>
          <w:sz w:val="24"/>
          <w:szCs w:val="24"/>
        </w:rPr>
        <w:t>ncluding</w:t>
      </w:r>
      <w:r w:rsidR="00C43B4F">
        <w:rPr>
          <w:rFonts w:ascii="Times New Roman" w:hAnsi="Times New Roman" w:cs="Times New Roman"/>
          <w:sz w:val="24"/>
          <w:szCs w:val="24"/>
        </w:rPr>
        <w:t xml:space="preserve"> </w:t>
      </w:r>
      <w:r w:rsidR="009A1AB0">
        <w:rPr>
          <w:rFonts w:ascii="Times New Roman" w:hAnsi="Times New Roman" w:cs="Times New Roman"/>
          <w:sz w:val="24"/>
          <w:szCs w:val="24"/>
        </w:rPr>
        <w:t>private companies</w:t>
      </w:r>
      <w:r w:rsidR="00697B5D">
        <w:rPr>
          <w:rFonts w:ascii="Times New Roman" w:hAnsi="Times New Roman" w:cs="Times New Roman"/>
          <w:sz w:val="24"/>
          <w:szCs w:val="24"/>
        </w:rPr>
        <w:t>.</w:t>
      </w:r>
      <w:r w:rsidR="009A1AB0">
        <w:rPr>
          <w:rFonts w:ascii="Times New Roman" w:hAnsi="Times New Roman" w:cs="Times New Roman"/>
          <w:sz w:val="24"/>
          <w:szCs w:val="24"/>
        </w:rPr>
        <w:t xml:space="preserve"> </w:t>
      </w:r>
      <w:r w:rsidR="008E715F">
        <w:rPr>
          <w:rFonts w:ascii="Times New Roman" w:hAnsi="Times New Roman" w:cs="Times New Roman"/>
          <w:sz w:val="24"/>
          <w:szCs w:val="24"/>
        </w:rPr>
        <w:t>This part of o</w:t>
      </w:r>
      <w:r w:rsidR="009A1AB0">
        <w:rPr>
          <w:rFonts w:ascii="Times New Roman" w:hAnsi="Times New Roman" w:cs="Times New Roman"/>
          <w:sz w:val="24"/>
          <w:szCs w:val="24"/>
        </w:rPr>
        <w:t>ur wor</w:t>
      </w:r>
      <w:r w:rsidR="001E5864">
        <w:rPr>
          <w:rFonts w:ascii="Times New Roman" w:hAnsi="Times New Roman" w:cs="Times New Roman"/>
          <w:sz w:val="24"/>
          <w:szCs w:val="24"/>
        </w:rPr>
        <w:t xml:space="preserve">k is related to </w:t>
      </w:r>
      <w:hyperlink w:anchor="_ENREF_47" w:tooltip="Joos, 2016 #1061"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AuthorYear="1"&gt;&lt;Author&gt;Joos&lt;/Author&gt;&lt;Year&gt;2016&lt;/Year&gt;&lt;RecNum&gt;1061&lt;/RecNum&gt;&lt;DisplayText&gt;Joos, Piotroski, and Srinivasan (2016)&lt;/DisplayText&gt;&lt;record&gt;&lt;rec-number&gt;1061&lt;/rec-number&gt;&lt;foreign-keys&gt;&lt;key app="EN" db-id="a00ppf5vbz2zw4efraqp9recxrvdwwtasszf" timestamp="1636055775"&gt;1061&lt;/key&gt;&lt;/foreign-keys&gt;&lt;ref-type name="Journal Article"&gt;17&lt;/ref-type&gt;&lt;contributors&gt;&lt;authors&gt;&lt;author&gt;Joos, Peter&lt;/author&gt;&lt;author&gt;Piotroski, Joseph D.&lt;/author&gt;&lt;author&gt;Srinivasan, Suraj&lt;/author&gt;&lt;/authors&gt;&lt;/contributors&gt;&lt;titles&gt;&lt;title&gt;Can analysts assess fundamental risk and valuation uncertainty? An empirical analysis of scenario-based value estimates&lt;/title&gt;&lt;secondary-title&gt;Journal of Financial Economics&lt;/secondary-title&gt;&lt;/titles&gt;&lt;periodical&gt;&lt;full-title&gt;Journal of Financial Economics&lt;/full-title&gt;&lt;/periodical&gt;&lt;pages&gt;645-663&lt;/pages&gt;&lt;volume&gt;121&lt;/volume&gt;&lt;number&gt;3&lt;/number&gt;&lt;keywords&gt;&lt;keyword&gt;Analysts&lt;/keyword&gt;&lt;keyword&gt;Fundamental risk assessment&lt;/keyword&gt;&lt;keyword&gt;Scenario-based valuations&lt;/keyword&gt;&lt;keyword&gt;Target prices&lt;/keyword&gt;&lt;/keywords&gt;&lt;dates&gt;&lt;year&gt;2016&lt;/year&gt;&lt;pub-dates&gt;&lt;date&gt;2016/09/01/&lt;/date&gt;&lt;/pub-dates&gt;&lt;/dates&gt;&lt;isbn&gt;0304-405X&lt;/isbn&gt;&lt;urls&gt;&lt;related-urls&gt;&lt;url&gt;http://www.sciencedirect.com/science/article/pii/S0304405X16300836&lt;/url&gt;&lt;/related-urls&gt;&lt;/urls&gt;&lt;electronic-resource-num&gt;https://doi.org/10.1016/j.jfineco.2016.05.003&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Joos, Piotroski, and Srinivasan (2016)</w:t>
        </w:r>
        <w:r w:rsidR="00A4299A">
          <w:rPr>
            <w:rFonts w:ascii="Times New Roman" w:hAnsi="Times New Roman" w:cs="Times New Roman"/>
            <w:sz w:val="24"/>
            <w:szCs w:val="24"/>
          </w:rPr>
          <w:fldChar w:fldCharType="end"/>
        </w:r>
      </w:hyperlink>
      <w:r w:rsidR="00951160">
        <w:rPr>
          <w:rFonts w:ascii="Times New Roman" w:hAnsi="Times New Roman" w:cs="Times New Roman"/>
          <w:sz w:val="24"/>
          <w:szCs w:val="24"/>
        </w:rPr>
        <w:t xml:space="preserve">, </w:t>
      </w:r>
      <w:hyperlink w:anchor="_ENREF_46" w:tooltip="Joos, 2017 #1806"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AuthorYear="1"&gt;&lt;Author&gt;Joos&lt;/Author&gt;&lt;Year&gt;2017&lt;/Year&gt;&lt;RecNum&gt;1806&lt;/RecNum&gt;&lt;DisplayText&gt;Joos and Piotroski (2017)&lt;/DisplayText&gt;&lt;record&gt;&lt;rec-number&gt;1806&lt;/rec-number&gt;&lt;foreign-keys&gt;&lt;key app="EN" db-id="a00ppf5vbz2zw4efraqp9recxrvdwwtasszf" timestamp="1687529904"&gt;1806&lt;/key&gt;&lt;/foreign-keys&gt;&lt;ref-type name="Journal Article"&gt;17&lt;/ref-type&gt;&lt;contributors&gt;&lt;authors&gt;&lt;author&gt;Joos, Peter&lt;/author&gt;&lt;author&gt;Piotroski, Joseph&lt;/author&gt;&lt;/authors&gt;&lt;/contributors&gt;&lt;titles&gt;&lt;title&gt;The best of all possible worlds: unraveling target price optimism using analysts&amp;apos; scenario-based valuations&lt;/title&gt;&lt;secondary-title&gt;Review of Accounting Studies&lt;/secondary-title&gt;&lt;/titles&gt;&lt;pages&gt;1492-1540&lt;/pages&gt;&lt;volume&gt;22&lt;/volume&gt;&lt;number&gt;4&lt;/number&gt;&lt;keywords&gt;&lt;keyword&gt;PRICING&lt;/keyword&gt;&lt;keyword&gt;CORPORATE profits&lt;/keyword&gt;&lt;keyword&gt;INVESTORS&lt;/keyword&gt;&lt;keyword&gt;VALUATION&lt;/keyword&gt;&lt;keyword&gt;RISK management in business&lt;/keyword&gt;&lt;keyword&gt;Bias&lt;/keyword&gt;&lt;keyword&gt;Financial analysts&lt;/keyword&gt;&lt;keyword&gt;G02&lt;/keyword&gt;&lt;keyword&gt;G11&lt;/keyword&gt;&lt;keyword&gt;G24&lt;/keyword&gt;&lt;keyword&gt;Optimism&lt;/keyword&gt;&lt;keyword&gt;Scenario-based valuations&lt;/keyword&gt;&lt;keyword&gt;Target prices&lt;/keyword&gt;&lt;/keywords&gt;&lt;dates&gt;&lt;year&gt;2017&lt;/year&gt;&lt;/dates&gt;&lt;isbn&gt;13806653&lt;/isbn&gt;&lt;accession-num&gt;126403928&lt;/accession-num&gt;&lt;work-type&gt;Article&lt;/work-type&gt;&lt;urls&gt;&lt;related-urls&gt;&lt;url&gt;https://search.ebscohost.com/login.aspx?direct=true&amp;amp;db=buh&amp;amp;AN=126403928&amp;amp;site=ehost-live&lt;/url&gt;&lt;/related-urls&gt;&lt;/urls&gt;&lt;electronic-resource-num&gt;10.1007/s11142-017-9413-3&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Joos and Piotroski (2017)</w:t>
        </w:r>
        <w:r w:rsidR="00A4299A">
          <w:rPr>
            <w:rFonts w:ascii="Times New Roman" w:hAnsi="Times New Roman" w:cs="Times New Roman"/>
            <w:sz w:val="24"/>
            <w:szCs w:val="24"/>
          </w:rPr>
          <w:fldChar w:fldCharType="end"/>
        </w:r>
      </w:hyperlink>
      <w:r w:rsidR="00951160">
        <w:rPr>
          <w:rFonts w:ascii="Times New Roman" w:hAnsi="Times New Roman" w:cs="Times New Roman"/>
          <w:sz w:val="24"/>
          <w:szCs w:val="24"/>
        </w:rPr>
        <w:t xml:space="preserve">, and </w:t>
      </w:r>
      <w:hyperlink w:anchor="_ENREF_17" w:tooltip="Bochkay, 2021 #1805"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AuthorYear="1"&gt;&lt;Author&gt;Bochkay&lt;/Author&gt;&lt;Year&gt;2021&lt;/Year&gt;&lt;RecNum&gt;1805&lt;/RecNum&gt;&lt;DisplayText&gt;Bochkay and Joos (2021)&lt;/DisplayText&gt;&lt;record&gt;&lt;rec-number&gt;1805&lt;/rec-number&gt;&lt;foreign-keys&gt;&lt;key app="EN" db-id="a00ppf5vbz2zw4efraqp9recxrvdwwtasszf" timestamp="1687529904"&gt;1805&lt;/key&gt;&lt;/foreign-keys&gt;&lt;ref-type name="Journal Article"&gt;17&lt;/ref-type&gt;&lt;contributors&gt;&lt;authors&gt;&lt;author&gt;Bochkay, Khrystyna&lt;/author&gt;&lt;author&gt;Joos, Peter R.&lt;/author&gt;&lt;/authors&gt;&lt;/contributors&gt;&lt;titles&gt;&lt;title&gt;Macroeconomic Uncertainty and Quantitative versus Qualitative Inputs to Analyst Risk Forecasts&lt;/title&gt;&lt;secondary-title&gt;The Accounting Review&lt;/secondary-title&gt;&lt;/titles&gt;&lt;periodical&gt;&lt;full-title&gt;The Accounting Review&lt;/full-title&gt;&lt;/periodical&gt;&lt;pages&gt;59-90&lt;/pages&gt;&lt;volume&gt;96&lt;/volume&gt;&lt;number&gt;3&lt;/number&gt;&lt;keywords&gt;&lt;keyword&gt;MACROECONOMICS&lt;/keyword&gt;&lt;keyword&gt;FINANCIAL analysts&lt;/keyword&gt;&lt;keyword&gt;INVESTMENT risk&lt;/keyword&gt;&lt;keyword&gt;ECONOMIC forecasting&lt;/keyword&gt;&lt;keyword&gt;QUANTITATIVE research&lt;/keyword&gt;&lt;keyword&gt;QUALITATIVE research&lt;/keyword&gt;&lt;keyword&gt;DECISION making in investments&lt;/keyword&gt;&lt;keyword&gt;UNCERTAINTY&lt;/keyword&gt;&lt;keyword&gt;analysts&amp;apos; risk forecasts&lt;/keyword&gt;&lt;keyword&gt;macroeconomic uncertainty&lt;/keyword&gt;&lt;keyword&gt;quantitative and qualitative information&lt;/keyword&gt;&lt;/keywords&gt;&lt;dates&gt;&lt;year&gt;2021&lt;/year&gt;&lt;/dates&gt;&lt;publisher&gt;American Accounting Association&lt;/publisher&gt;&lt;isbn&gt;00014826&lt;/isbn&gt;&lt;accession-num&gt;150610394&lt;/accession-num&gt;&lt;work-type&gt;Article&lt;/work-type&gt;&lt;urls&gt;&lt;related-urls&gt;&lt;url&gt;https://search.ebscohost.com/login.aspx?direct=true&amp;amp;db=buh&amp;amp;AN=150610394&amp;amp;site=ehost-live&lt;/url&gt;&lt;/related-urls&gt;&lt;/urls&gt;&lt;electronic-resource-num&gt;10.2308/TAR-2017-0490&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Bochkay and Joos (2021)</w:t>
        </w:r>
        <w:r w:rsidR="00A4299A">
          <w:rPr>
            <w:rFonts w:ascii="Times New Roman" w:hAnsi="Times New Roman" w:cs="Times New Roman"/>
            <w:sz w:val="24"/>
            <w:szCs w:val="24"/>
          </w:rPr>
          <w:fldChar w:fldCharType="end"/>
        </w:r>
      </w:hyperlink>
      <w:r w:rsidR="008E715F">
        <w:rPr>
          <w:rFonts w:ascii="Times New Roman" w:hAnsi="Times New Roman" w:cs="Times New Roman"/>
          <w:sz w:val="24"/>
          <w:szCs w:val="24"/>
        </w:rPr>
        <w:t>,</w:t>
      </w:r>
      <w:r w:rsidR="009A1AB0">
        <w:rPr>
          <w:rFonts w:ascii="Times New Roman" w:hAnsi="Times New Roman" w:cs="Times New Roman"/>
          <w:sz w:val="24"/>
          <w:szCs w:val="24"/>
        </w:rPr>
        <w:t xml:space="preserve"> </w:t>
      </w:r>
      <w:r w:rsidR="00D24163">
        <w:rPr>
          <w:rFonts w:ascii="Times New Roman" w:hAnsi="Times New Roman" w:cs="Times New Roman"/>
          <w:sz w:val="24"/>
          <w:szCs w:val="24"/>
        </w:rPr>
        <w:t xml:space="preserve">who </w:t>
      </w:r>
      <w:r w:rsidR="007E2A59">
        <w:rPr>
          <w:rFonts w:ascii="Times New Roman" w:hAnsi="Times New Roman" w:cs="Times New Roman"/>
          <w:sz w:val="24"/>
          <w:szCs w:val="24"/>
        </w:rPr>
        <w:t xml:space="preserve">use </w:t>
      </w:r>
      <w:r w:rsidR="00D24163">
        <w:rPr>
          <w:rFonts w:ascii="Times New Roman" w:hAnsi="Times New Roman" w:cs="Times New Roman"/>
          <w:sz w:val="24"/>
          <w:szCs w:val="24"/>
        </w:rPr>
        <w:t>the spread of scenario-based analysts’ valuations as a measure of valuation uncertainty</w:t>
      </w:r>
      <w:r w:rsidR="0007005B">
        <w:rPr>
          <w:rFonts w:ascii="Times New Roman" w:hAnsi="Times New Roman" w:cs="Times New Roman"/>
          <w:sz w:val="24"/>
          <w:szCs w:val="24"/>
        </w:rPr>
        <w:t xml:space="preserve">, as well as to </w:t>
      </w:r>
      <w:hyperlink w:anchor="_ENREF_1" w:tooltip="Aleczczyk, 2023 #1863"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AuthorYear="1"&gt;&lt;Author&gt;Aleczczyk&lt;/Author&gt;&lt;Year&gt;2023&lt;/Year&gt;&lt;RecNum&gt;1863&lt;/RecNum&gt;&lt;DisplayText&gt;Aleczczyk, Vasvari, and Vyas (2023)&lt;/DisplayText&gt;&lt;record&gt;&lt;rec-number&gt;1863&lt;/rec-number&gt;&lt;foreign-keys&gt;&lt;key app="EN" db-id="a00ppf5vbz2zw4efraqp9recxrvdwwtasszf" timestamp="1720794208"&gt;1863&lt;/key&gt;&lt;/foreign-keys&gt;&lt;ref-type name="Unpublished Work"&gt;34&lt;/ref-type&gt;&lt;contributors&gt;&lt;authors&gt;&lt;author&gt;Aleczczyk, Aleksandr A.&lt;/author&gt;&lt;author&gt;Vasvari, Florin P.&lt;/author&gt;&lt;author&gt;Vyas, Dushyantkumar&lt;/author&gt;&lt;/authors&gt;&lt;/contributors&gt;&lt;titles&gt;&lt;title&gt;The Debt Market Role of Asset Valuation Uncertainty&lt;/title&gt;&lt;secondary-title&gt;Working paper&lt;/secondary-title&gt;&lt;/titles&gt;&lt;dates&gt;&lt;year&gt;2023&lt;/year&gt;&lt;/dates&gt;&lt;publisher&gt;New York University, London Business School, and University of Toronto&lt;/publisher&gt;&lt;urls&gt;&lt;/urls&gt;&lt;/record&gt;&lt;/Cite&gt;&lt;/EndNote&gt;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Aleczczyk, Vasvari, and Vyas (202</w:t>
        </w:r>
        <w:r w:rsidR="005F2C79">
          <w:rPr>
            <w:rFonts w:ascii="Times New Roman" w:hAnsi="Times New Roman" w:cs="Times New Roman"/>
            <w:noProof/>
            <w:sz w:val="24"/>
            <w:szCs w:val="24"/>
          </w:rPr>
          <w:t>3</w:t>
        </w:r>
        <w:r w:rsidR="00A4299A">
          <w:rPr>
            <w:rFonts w:ascii="Times New Roman" w:hAnsi="Times New Roman" w:cs="Times New Roman"/>
            <w:noProof/>
            <w:sz w:val="24"/>
            <w:szCs w:val="24"/>
          </w:rPr>
          <w:t>)</w:t>
        </w:r>
        <w:r w:rsidR="00A4299A">
          <w:rPr>
            <w:rFonts w:ascii="Times New Roman" w:hAnsi="Times New Roman" w:cs="Times New Roman"/>
            <w:sz w:val="24"/>
            <w:szCs w:val="24"/>
          </w:rPr>
          <w:fldChar w:fldCharType="end"/>
        </w:r>
      </w:hyperlink>
      <w:r w:rsidR="0007005B">
        <w:rPr>
          <w:rFonts w:ascii="Times New Roman" w:hAnsi="Times New Roman" w:cs="Times New Roman"/>
          <w:sz w:val="24"/>
          <w:szCs w:val="24"/>
        </w:rPr>
        <w:t xml:space="preserve">, who use ranges of asset liquidation values </w:t>
      </w:r>
      <w:r w:rsidR="00A22018">
        <w:rPr>
          <w:rFonts w:ascii="Times New Roman" w:hAnsi="Times New Roman" w:cs="Times New Roman"/>
          <w:sz w:val="24"/>
          <w:szCs w:val="24"/>
        </w:rPr>
        <w:t>from</w:t>
      </w:r>
      <w:r w:rsidR="002816C7">
        <w:rPr>
          <w:rFonts w:ascii="Times New Roman" w:hAnsi="Times New Roman" w:cs="Times New Roman"/>
          <w:sz w:val="24"/>
          <w:szCs w:val="24"/>
        </w:rPr>
        <w:t xml:space="preserve"> bankruptcy</w:t>
      </w:r>
      <w:r w:rsidR="00A22018">
        <w:rPr>
          <w:rFonts w:ascii="Times New Roman" w:hAnsi="Times New Roman" w:cs="Times New Roman"/>
          <w:sz w:val="24"/>
          <w:szCs w:val="24"/>
        </w:rPr>
        <w:t xml:space="preserve"> filings</w:t>
      </w:r>
      <w:r w:rsidR="0007005B">
        <w:rPr>
          <w:rFonts w:ascii="Times New Roman" w:hAnsi="Times New Roman" w:cs="Times New Roman"/>
          <w:sz w:val="24"/>
          <w:szCs w:val="24"/>
        </w:rPr>
        <w:t xml:space="preserve"> as a proxy for uncertainty about asset recovery values</w:t>
      </w:r>
      <w:r w:rsidR="009A1AB0">
        <w:rPr>
          <w:rFonts w:ascii="Times New Roman" w:hAnsi="Times New Roman" w:cs="Times New Roman"/>
          <w:sz w:val="24"/>
          <w:szCs w:val="24"/>
        </w:rPr>
        <w:t>.</w:t>
      </w:r>
      <w:r w:rsidR="00A056E4">
        <w:rPr>
          <w:rFonts w:ascii="Times New Roman" w:hAnsi="Times New Roman" w:cs="Times New Roman"/>
          <w:sz w:val="24"/>
          <w:szCs w:val="24"/>
        </w:rPr>
        <w:t xml:space="preserve"> More broadly, the methodological part of our paper contributes to the literature on the </w:t>
      </w:r>
      <w:r w:rsidR="00F4568A">
        <w:rPr>
          <w:rFonts w:ascii="Times New Roman" w:hAnsi="Times New Roman" w:cs="Times New Roman"/>
          <w:sz w:val="24"/>
          <w:szCs w:val="24"/>
        </w:rPr>
        <w:t>“</w:t>
      </w:r>
      <w:r w:rsidR="004D395D">
        <w:rPr>
          <w:rFonts w:ascii="Times New Roman" w:hAnsi="Times New Roman" w:cs="Times New Roman"/>
          <w:sz w:val="24"/>
          <w:szCs w:val="24"/>
        </w:rPr>
        <w:t>risk</w:t>
      </w:r>
      <w:r w:rsidR="00A46C4D">
        <w:rPr>
          <w:rFonts w:ascii="Times New Roman" w:hAnsi="Times New Roman" w:cs="Times New Roman"/>
          <w:sz w:val="24"/>
          <w:szCs w:val="24"/>
        </w:rPr>
        <w:t>-</w:t>
      </w:r>
      <w:r w:rsidR="00A056E4">
        <w:rPr>
          <w:rFonts w:ascii="Times New Roman" w:hAnsi="Times New Roman" w:cs="Times New Roman"/>
          <w:sz w:val="24"/>
          <w:szCs w:val="24"/>
        </w:rPr>
        <w:t>relevance</w:t>
      </w:r>
      <w:r w:rsidR="00F4568A">
        <w:rPr>
          <w:rFonts w:ascii="Times New Roman" w:hAnsi="Times New Roman" w:cs="Times New Roman"/>
          <w:sz w:val="24"/>
          <w:szCs w:val="24"/>
        </w:rPr>
        <w:t>”</w:t>
      </w:r>
      <w:r w:rsidR="00A056E4">
        <w:rPr>
          <w:rFonts w:ascii="Times New Roman" w:hAnsi="Times New Roman" w:cs="Times New Roman"/>
          <w:sz w:val="24"/>
          <w:szCs w:val="24"/>
        </w:rPr>
        <w:t xml:space="preserve"> of accounting information (e.g., </w:t>
      </w:r>
      <w:hyperlink w:anchor="_ENREF_13" w:tooltip="Beaver, 1970 #1812"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AuthorYear="1"&gt;&lt;Author&gt;Beaver&lt;/Author&gt;&lt;Year&gt;1970&lt;/Year&gt;&lt;RecNum&gt;1812&lt;/RecNum&gt;&lt;DisplayText&gt;Beaver, Kettler, and Scholes (1970)&lt;/DisplayText&gt;&lt;record&gt;&lt;rec-number&gt;1812&lt;/rec-number&gt;&lt;foreign-keys&gt;&lt;key app="EN" db-id="a00ppf5vbz2zw4efraqp9recxrvdwwtasszf" timestamp="1688128320"&gt;1812&lt;/key&gt;&lt;/foreign-keys&gt;&lt;ref-type name="Journal Article"&gt;17&lt;/ref-type&gt;&lt;contributors&gt;&lt;authors&gt;&lt;author&gt;Beaver, William&lt;/author&gt;&lt;author&gt;Kettler, Paul&lt;/author&gt;&lt;author&gt;Scholes, Myron&lt;/author&gt;&lt;/authors&gt;&lt;/contributors&gt;&lt;titles&gt;&lt;title&gt;The Association between Market Determined and Accounting Determined Risk Measures&lt;/title&gt;&lt;secondary-title&gt;The Accounting Review&lt;/secondary-title&gt;&lt;/titles&gt;&lt;periodical&gt;&lt;full-title&gt;The Accounting Review&lt;/full-title&gt;&lt;/periodical&gt;&lt;pages&gt;654-682&lt;/pages&gt;&lt;volume&gt;45&lt;/volume&gt;&lt;number&gt;4&lt;/number&gt;&lt;dates&gt;&lt;year&gt;1970&lt;/year&gt;&lt;/dates&gt;&lt;publisher&gt;American Accounting Association&lt;/publisher&gt;&lt;isbn&gt;00014826&lt;/isbn&gt;&lt;urls&gt;&lt;related-urls&gt;&lt;url&gt;http://www.jstor.org/stable/244204&lt;/url&gt;&lt;/related-urls&gt;&lt;/urls&gt;&lt;custom1&gt;Full publication date: Oct., 1970&lt;/custom1&gt;&lt;remote-database-name&gt;JSTOR&lt;/remote-database-name&gt;&lt;access-date&gt;2023/06/30/&lt;/access-date&gt;&lt;/record&gt;&lt;/Cite&gt;&lt;/EndNote&gt;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Beaver, Kettler, and Scholes (1970)</w:t>
        </w:r>
        <w:r w:rsidR="00A4299A">
          <w:rPr>
            <w:rFonts w:ascii="Times New Roman" w:hAnsi="Times New Roman" w:cs="Times New Roman"/>
            <w:sz w:val="24"/>
            <w:szCs w:val="24"/>
          </w:rPr>
          <w:fldChar w:fldCharType="end"/>
        </w:r>
      </w:hyperlink>
      <w:r w:rsidR="00A056E4">
        <w:rPr>
          <w:rFonts w:ascii="Times New Roman" w:hAnsi="Times New Roman" w:cs="Times New Roman"/>
          <w:sz w:val="24"/>
          <w:szCs w:val="24"/>
        </w:rPr>
        <w:t xml:space="preserve">, </w:t>
      </w:r>
      <w:hyperlink w:anchor="_ENREF_6" w:tooltip="Baginski, 2003 #132"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AuthorYear="1"&gt;&lt;Author&gt;Baginski&lt;/Author&gt;&lt;Year&gt;2003&lt;/Year&gt;&lt;RecNum&gt;132&lt;/RecNum&gt;&lt;DisplayText&gt;Baginski and Wahlen (2003)&lt;/DisplayText&gt;&lt;record&gt;&lt;rec-number&gt;132&lt;/rec-number&gt;&lt;foreign-keys&gt;&lt;key app="EN" db-id="a00ppf5vbz2zw4efraqp9recxrvdwwtasszf" timestamp="1636055766"&gt;132&lt;/key&gt;&lt;/foreign-keys&gt;&lt;ref-type name="Journal Article"&gt;17&lt;/ref-type&gt;&lt;contributors&gt;&lt;authors&gt;&lt;author&gt;Stephen P. Baginski&lt;/author&gt;&lt;author&gt;James M. Wahlen&lt;/author&gt;&lt;/authors&gt;&lt;/contributors&gt;&lt;titles&gt;&lt;title&gt;Residual Income Risk, Intrinsic Values, and Share Prices&lt;/title&gt;&lt;secondary-title&gt;The Accounting Review&lt;/secondary-title&gt;&lt;/titles&gt;&lt;periodical&gt;&lt;full-title&gt;The Accounting Review&lt;/full-title&gt;&lt;/periodical&gt;&lt;pages&gt;327-351&lt;/pages&gt;&lt;volume&gt;78&lt;/volume&gt;&lt;number&gt;1&lt;/number&gt;&lt;dates&gt;&lt;year&gt;2003&lt;/year&gt;&lt;/dates&gt;&lt;urls&gt;&lt;related-urls&gt;&lt;url&gt;http://aaapubs.org/doi/abs/10.2308/accr.2003.78.1.327&lt;/url&gt;&lt;/related-urls&gt;&lt;/urls&gt;&lt;electronic-resource-num&gt;doi:10.2308/accr.2003.78.1.327&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Baginski and Wahlen (2003)</w:t>
        </w:r>
        <w:r w:rsidR="00A4299A">
          <w:rPr>
            <w:rFonts w:ascii="Times New Roman" w:hAnsi="Times New Roman" w:cs="Times New Roman"/>
            <w:sz w:val="24"/>
            <w:szCs w:val="24"/>
          </w:rPr>
          <w:fldChar w:fldCharType="end"/>
        </w:r>
      </w:hyperlink>
      <w:r w:rsidR="00A056E4">
        <w:rPr>
          <w:rFonts w:ascii="Times New Roman" w:hAnsi="Times New Roman" w:cs="Times New Roman"/>
          <w:sz w:val="24"/>
          <w:szCs w:val="24"/>
        </w:rPr>
        <w:t xml:space="preserve">, </w:t>
      </w:r>
      <w:hyperlink w:anchor="_ENREF_57" w:tooltip="Nekrasov, 2009 #181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AuthorYear="1"&gt;&lt;Author&gt;Nekrasov&lt;/Author&gt;&lt;Year&gt;2009&lt;/Year&gt;&lt;RecNum&gt;1814&lt;/RecNum&gt;&lt;DisplayText&gt;Nekrasov and Shroff (2009)&lt;/DisplayText&gt;&lt;record&gt;&lt;rec-number&gt;1814&lt;/rec-number&gt;&lt;foreign-keys&gt;&lt;key app="EN" db-id="a00ppf5vbz2zw4efraqp9recxrvdwwtasszf" timestamp="1688128822"&gt;1814&lt;/key&gt;&lt;/foreign-keys&gt;&lt;ref-type name="Journal Article"&gt;17&lt;/ref-type&gt;&lt;contributors&gt;&lt;authors&gt;&lt;author&gt;Nekrasov, Alexander&lt;/author&gt;&lt;author&gt;Shroff, Pervin K.&lt;/author&gt;&lt;/authors&gt;&lt;/contributors&gt;&lt;titles&gt;&lt;title&gt;Fundamentals‐Based Risk Measurement in Valuation&lt;/title&gt;&lt;secondary-title&gt;The Accounting Review&lt;/secondary-title&gt;&lt;/titles&gt;&lt;periodical&gt;&lt;full-title&gt;The Accounting Review&lt;/full-title&gt;&lt;/periodical&gt;&lt;pages&gt;1983-2011&lt;/pages&gt;&lt;volume&gt;84&lt;/volume&gt;&lt;number&gt;6&lt;/number&gt;&lt;dates&gt;&lt;year&gt;2009&lt;/year&gt;&lt;/dates&gt;&lt;isbn&gt;0001-4826&lt;/isbn&gt;&lt;urls&gt;&lt;related-urls&gt;&lt;url&gt;https://doi.org/10.2308/accr.2009.84.6.1983&lt;/url&gt;&lt;/related-urls&gt;&lt;/urls&gt;&lt;electronic-resource-num&gt;10.2308/accr.2009.84.6.1983&lt;/electronic-resource-num&gt;&lt;access-date&gt;6/30/2023&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Nekrasov and Shroff (2009)</w:t>
        </w:r>
        <w:r w:rsidR="00A4299A">
          <w:rPr>
            <w:rFonts w:ascii="Times New Roman" w:hAnsi="Times New Roman" w:cs="Times New Roman"/>
            <w:sz w:val="24"/>
            <w:szCs w:val="24"/>
          </w:rPr>
          <w:fldChar w:fldCharType="end"/>
        </w:r>
      </w:hyperlink>
      <w:r w:rsidR="00A056E4">
        <w:rPr>
          <w:rFonts w:ascii="Times New Roman" w:hAnsi="Times New Roman" w:cs="Times New Roman"/>
          <w:sz w:val="24"/>
          <w:szCs w:val="24"/>
        </w:rPr>
        <w:t>,</w:t>
      </w:r>
      <w:r w:rsidR="00C93914">
        <w:rPr>
          <w:rFonts w:ascii="Times New Roman" w:hAnsi="Times New Roman" w:cs="Times New Roman"/>
          <w:sz w:val="24"/>
          <w:szCs w:val="24"/>
        </w:rPr>
        <w:t xml:space="preserve"> </w:t>
      </w:r>
      <w:hyperlink w:anchor="_ENREF_63" w:tooltip="Sridharan, 2015 #1816"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AuthorYear="1"&gt;&lt;Author&gt;Sridharan&lt;/Author&gt;&lt;Year&gt;2015&lt;/Year&gt;&lt;RecNum&gt;1816&lt;/RecNum&gt;&lt;DisplayText&gt;Sridharan (2015)&lt;/DisplayText&gt;&lt;record&gt;&lt;rec-number&gt;1816&lt;/rec-number&gt;&lt;foreign-keys&gt;&lt;key app="EN" db-id="a00ppf5vbz2zw4efraqp9recxrvdwwtasszf" timestamp="1688130746"&gt;1816&lt;/key&gt;&lt;/foreign-keys&gt;&lt;ref-type name="Journal Article"&gt;17&lt;/ref-type&gt;&lt;contributors&gt;&lt;authors&gt;&lt;author&gt;Sridharan, Suhas A.&lt;/author&gt;&lt;/authors&gt;&lt;/contributors&gt;&lt;titles&gt;&lt;title&gt;Volatility Forecasting Using Financial Statement Information&lt;/title&gt;&lt;secondary-title&gt;The Accounting Review&lt;/secondary-title&gt;&lt;/titles&gt;&lt;periodical&gt;&lt;full-title&gt;The Accounting Review&lt;/full-title&gt;&lt;/periodical&gt;&lt;pages&gt;2079-2106&lt;/pages&gt;&lt;volume&gt;90&lt;/volume&gt;&lt;number&gt;5&lt;/number&gt;&lt;dates&gt;&lt;year&gt;2015&lt;/year&gt;&lt;/dates&gt;&lt;publisher&gt;American Accounting Association&lt;/publisher&gt;&lt;isbn&gt;00014826, 15587967&lt;/isbn&gt;&lt;urls&gt;&lt;related-urls&gt;&lt;url&gt;https://www.jstor.org/stable/26550603&lt;/url&gt;&lt;/related-urls&gt;&lt;/urls&gt;&lt;custom1&gt;Full publication date: SEPTEMBER 2015&lt;/custom1&gt;&lt;remote-database-name&gt;JSTOR&lt;/remote-database-name&gt;&lt;access-date&gt;2023/06/30/&lt;/access-date&gt;&lt;/record&gt;&lt;/Cite&gt;&lt;/EndNote&gt;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Sridharan (2015)</w:t>
        </w:r>
        <w:r w:rsidR="00A4299A">
          <w:rPr>
            <w:rFonts w:ascii="Times New Roman" w:hAnsi="Times New Roman" w:cs="Times New Roman"/>
            <w:sz w:val="24"/>
            <w:szCs w:val="24"/>
          </w:rPr>
          <w:fldChar w:fldCharType="end"/>
        </w:r>
      </w:hyperlink>
      <w:r w:rsidR="00C93914">
        <w:rPr>
          <w:rFonts w:ascii="Times New Roman" w:hAnsi="Times New Roman" w:cs="Times New Roman"/>
          <w:sz w:val="24"/>
          <w:szCs w:val="24"/>
        </w:rPr>
        <w:t>,</w:t>
      </w:r>
      <w:r w:rsidR="00A056E4">
        <w:rPr>
          <w:rFonts w:ascii="Times New Roman" w:hAnsi="Times New Roman" w:cs="Times New Roman"/>
          <w:sz w:val="24"/>
          <w:szCs w:val="24"/>
        </w:rPr>
        <w:t xml:space="preserve"> </w:t>
      </w:r>
      <w:hyperlink w:anchor="_ENREF_42" w:tooltip="Heflin, 2022 #1815"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AuthorYear="1"&gt;&lt;Author&gt;Heflin&lt;/Author&gt;&lt;Year&gt;2022&lt;/Year&gt;&lt;RecNum&gt;1815&lt;/RecNum&gt;&lt;DisplayText&gt;Heflin et al. (2022)&lt;/DisplayText&gt;&lt;record&gt;&lt;rec-number&gt;1815&lt;/rec-number&gt;&lt;foreign-keys&gt;&lt;key app="EN" db-id="a00ppf5vbz2zw4efraqp9recxrvdwwtasszf" timestamp="1688128908"&gt;1815&lt;/key&gt;&lt;/foreign-keys&gt;&lt;ref-type name="Journal Article"&gt;17&lt;/ref-type&gt;&lt;contributors&gt;&lt;authors&gt;&lt;author&gt;Heflin, Frank&lt;/author&gt;&lt;author&gt;Kolev, Kalin S.&lt;/author&gt;&lt;author&gt;Whipple, Benjamin&lt;/author&gt;&lt;/authors&gt;&lt;/contributors&gt;&lt;titles&gt;&lt;title&gt;The risk-relevance of non-GAAP earnings&lt;/title&gt;&lt;secondary-title&gt;Review of Accounting Studies&lt;/secondary-title&gt;&lt;/titles&gt;&lt;volume&gt;forthcoming&lt;/volume&gt;&lt;dates&gt;&lt;year&gt;2022&lt;/year&gt;&lt;pub-dates&gt;&lt;date&gt;2022/11/09&lt;/date&gt;&lt;/pub-dates&gt;&lt;/dates&gt;&lt;isbn&gt;1573-7136&lt;/isbn&gt;&lt;urls&gt;&lt;related-urls&gt;&lt;url&gt;https://doi.org/10.1007/s11142-022-09725-w&lt;/url&gt;&lt;/related-urls&gt;&lt;/urls&gt;&lt;electronic-resource-num&gt;10.1007/s11142-022-09725-w&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Heflin et al. (2022)</w:t>
        </w:r>
        <w:r w:rsidR="00A4299A">
          <w:rPr>
            <w:rFonts w:ascii="Times New Roman" w:hAnsi="Times New Roman" w:cs="Times New Roman"/>
            <w:sz w:val="24"/>
            <w:szCs w:val="24"/>
          </w:rPr>
          <w:fldChar w:fldCharType="end"/>
        </w:r>
      </w:hyperlink>
      <w:r w:rsidR="00A056E4">
        <w:rPr>
          <w:rFonts w:ascii="Times New Roman" w:hAnsi="Times New Roman" w:cs="Times New Roman"/>
          <w:sz w:val="24"/>
          <w:szCs w:val="24"/>
        </w:rPr>
        <w:t>).</w:t>
      </w:r>
      <w:r w:rsidR="009A1AB0">
        <w:rPr>
          <w:rFonts w:ascii="Times New Roman" w:hAnsi="Times New Roman" w:cs="Times New Roman"/>
          <w:sz w:val="24"/>
          <w:szCs w:val="24"/>
        </w:rPr>
        <w:t xml:space="preserve"> Second, our appli</w:t>
      </w:r>
      <w:r w:rsidR="00EC59F1">
        <w:rPr>
          <w:rFonts w:ascii="Times New Roman" w:hAnsi="Times New Roman" w:cs="Times New Roman"/>
          <w:sz w:val="24"/>
          <w:szCs w:val="24"/>
        </w:rPr>
        <w:t>cation of the measure yields novel</w:t>
      </w:r>
      <w:r w:rsidR="009A1AB0">
        <w:rPr>
          <w:rFonts w:ascii="Times New Roman" w:hAnsi="Times New Roman" w:cs="Times New Roman"/>
          <w:sz w:val="24"/>
          <w:szCs w:val="24"/>
        </w:rPr>
        <w:t xml:space="preserve"> insights </w:t>
      </w:r>
      <w:r w:rsidR="002132D3">
        <w:rPr>
          <w:rFonts w:ascii="Times New Roman" w:hAnsi="Times New Roman" w:cs="Times New Roman"/>
          <w:sz w:val="24"/>
          <w:szCs w:val="24"/>
        </w:rPr>
        <w:t xml:space="preserve">into </w:t>
      </w:r>
      <w:r w:rsidR="009A1AB0">
        <w:rPr>
          <w:rFonts w:ascii="Times New Roman" w:hAnsi="Times New Roman" w:cs="Times New Roman"/>
          <w:sz w:val="24"/>
          <w:szCs w:val="24"/>
        </w:rPr>
        <w:t>the</w:t>
      </w:r>
      <w:r w:rsidR="00DD1C88">
        <w:rPr>
          <w:rFonts w:ascii="Times New Roman" w:hAnsi="Times New Roman" w:cs="Times New Roman"/>
          <w:sz w:val="24"/>
          <w:szCs w:val="24"/>
        </w:rPr>
        <w:t xml:space="preserve"> cross-sectional and time-series</w:t>
      </w:r>
      <w:r w:rsidR="009A1AB0">
        <w:rPr>
          <w:rFonts w:ascii="Times New Roman" w:hAnsi="Times New Roman" w:cs="Times New Roman"/>
          <w:sz w:val="24"/>
          <w:szCs w:val="24"/>
        </w:rPr>
        <w:t xml:space="preserve"> properties of the value premium</w:t>
      </w:r>
      <w:r w:rsidR="00C57327">
        <w:rPr>
          <w:rFonts w:ascii="Times New Roman" w:hAnsi="Times New Roman" w:cs="Times New Roman"/>
          <w:sz w:val="24"/>
          <w:szCs w:val="24"/>
        </w:rPr>
        <w:t xml:space="preserve"> and related</w:t>
      </w:r>
      <w:r w:rsidR="00F45D8D">
        <w:rPr>
          <w:rFonts w:ascii="Times New Roman" w:hAnsi="Times New Roman" w:cs="Times New Roman"/>
          <w:sz w:val="24"/>
          <w:szCs w:val="24"/>
        </w:rPr>
        <w:t xml:space="preserve"> anomalies</w:t>
      </w:r>
      <w:r w:rsidR="009A1AB0">
        <w:rPr>
          <w:rFonts w:ascii="Times New Roman" w:hAnsi="Times New Roman" w:cs="Times New Roman"/>
          <w:sz w:val="24"/>
          <w:szCs w:val="24"/>
        </w:rPr>
        <w:t xml:space="preserve">. </w:t>
      </w:r>
      <w:r w:rsidR="00130FF4">
        <w:rPr>
          <w:rFonts w:ascii="Times New Roman" w:hAnsi="Times New Roman" w:cs="Times New Roman"/>
          <w:sz w:val="24"/>
          <w:szCs w:val="24"/>
        </w:rPr>
        <w:t>Hence, o</w:t>
      </w:r>
      <w:r w:rsidR="008B13BF">
        <w:rPr>
          <w:rFonts w:ascii="Times New Roman" w:hAnsi="Times New Roman" w:cs="Times New Roman"/>
          <w:sz w:val="24"/>
          <w:szCs w:val="24"/>
        </w:rPr>
        <w:t>ur findings add to the literature on the economic origins of the book-to-market effect in stock returns.</w:t>
      </w:r>
      <w:r w:rsidR="005F4035">
        <w:rPr>
          <w:rFonts w:ascii="Times New Roman" w:hAnsi="Times New Roman" w:cs="Times New Roman"/>
          <w:sz w:val="24"/>
          <w:szCs w:val="24"/>
        </w:rPr>
        <w:t xml:space="preserve"> </w:t>
      </w:r>
      <w:r w:rsidR="008B13BF">
        <w:rPr>
          <w:rFonts w:ascii="Times New Roman" w:hAnsi="Times New Roman" w:cs="Times New Roman"/>
          <w:sz w:val="24"/>
          <w:szCs w:val="24"/>
        </w:rPr>
        <w:t>This part of our pap</w:t>
      </w:r>
      <w:r w:rsidR="001E5864">
        <w:rPr>
          <w:rFonts w:ascii="Times New Roman" w:hAnsi="Times New Roman" w:cs="Times New Roman"/>
          <w:sz w:val="24"/>
          <w:szCs w:val="24"/>
        </w:rPr>
        <w:t>er is related to the work of</w:t>
      </w:r>
      <w:r w:rsidR="00311263">
        <w:rPr>
          <w:rFonts w:ascii="Times New Roman" w:hAnsi="Times New Roman" w:cs="Times New Roman"/>
          <w:sz w:val="24"/>
          <w:szCs w:val="24"/>
        </w:rPr>
        <w:t xml:space="preserve"> </w:t>
      </w:r>
      <w:hyperlink w:anchor="_ENREF_41" w:tooltip="Gonçalves, 2023 #187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AuthorYear="1"&gt;&lt;Author&gt;Gonçalves&lt;/Author&gt;&lt;Year&gt;2023&lt;/Year&gt;&lt;RecNum&gt;1877&lt;/RecNum&gt;&lt;DisplayText&gt;Gonçalves and Leonard (2023)&lt;/DisplayText&gt;&lt;record&gt;&lt;rec-number&gt;1877&lt;/rec-number&gt;&lt;foreign-keys&gt;&lt;key app="EN" db-id="a00ppf5vbz2zw4efraqp9recxrvdwwtasszf" timestamp="1728415607"&gt;1877&lt;/key&gt;&lt;/foreign-keys&gt;&lt;ref-type name="Journal Article"&gt;17&lt;/ref-type&gt;&lt;contributors&gt;&lt;authors&gt;&lt;author&gt;Gonçalves, Andrei S.&lt;/author&gt;&lt;author&gt;Leonard, Gregory&lt;/author&gt;&lt;/authors&gt;&lt;/contributors&gt;&lt;titles&gt;&lt;title&gt;The fundamental-to-market ratio and the value premium decline&lt;/title&gt;&lt;secondary-title&gt;Journal of Financial Economics&lt;/secondary-title&gt;&lt;/titles&gt;&lt;periodical&gt;&lt;full-title&gt;Journal of Financial Economics&lt;/full-title&gt;&lt;/periodical&gt;&lt;pages&gt;382-405&lt;/pages&gt;&lt;volume&gt;147&lt;/volume&gt;&lt;number&gt;2&lt;/number&gt;&lt;keywords&gt;&lt;keyword&gt;Value premium&lt;/keyword&gt;&lt;keyword&gt;Book-to-market&lt;/keyword&gt;&lt;keyword&gt;Value signals&lt;/keyword&gt;&lt;keyword&gt;The cross-section of expected returns&lt;/keyword&gt;&lt;/keywords&gt;&lt;dates&gt;&lt;year&gt;2023&lt;/year&gt;&lt;pub-dates&gt;&lt;date&gt;2023/02/01/&lt;/date&gt;&lt;/pub-dates&gt;&lt;/dates&gt;&lt;isbn&gt;0304-405X&lt;/isbn&gt;&lt;urls&gt;&lt;related-urls&gt;&lt;url&gt;https://www.sciencedirect.com/science/article/pii/S0304405X22002276&lt;/url&gt;&lt;/related-urls&gt;&lt;/urls&gt;&lt;electronic-resource-num&gt;https://doi.org/10.1016/j.jfineco.2022.11.001&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Gonçalves and Leonard (2023)</w:t>
        </w:r>
        <w:r w:rsidR="00A4299A">
          <w:rPr>
            <w:rFonts w:ascii="Times New Roman" w:hAnsi="Times New Roman" w:cs="Times New Roman"/>
            <w:sz w:val="24"/>
            <w:szCs w:val="24"/>
          </w:rPr>
          <w:fldChar w:fldCharType="end"/>
        </w:r>
      </w:hyperlink>
      <w:r w:rsidR="00311263">
        <w:rPr>
          <w:rFonts w:ascii="Times New Roman" w:hAnsi="Times New Roman" w:cs="Times New Roman"/>
          <w:sz w:val="24"/>
          <w:szCs w:val="24"/>
        </w:rPr>
        <w:t>,</w:t>
      </w:r>
      <w:r w:rsidR="001E5864">
        <w:rPr>
          <w:rFonts w:ascii="Times New Roman" w:hAnsi="Times New Roman" w:cs="Times New Roman"/>
          <w:sz w:val="24"/>
          <w:szCs w:val="24"/>
        </w:rPr>
        <w:t xml:space="preserve"> </w:t>
      </w:r>
      <w:hyperlink w:anchor="_ENREF_39" w:tooltip="Golubov, 2019 #81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AuthorYear="1"&gt;&lt;Author&gt;Golubov&lt;/Author&gt;&lt;Year&gt;2019&lt;/Year&gt;&lt;RecNum&gt;814&lt;/RecNum&gt;&lt;DisplayText&gt;Golubov and Konstantinidi (2019)&lt;/DisplayText&gt;&lt;record&gt;&lt;rec-number&gt;814&lt;/rec-number&gt;&lt;foreign-keys&gt;&lt;key app="EN" db-id="a00ppf5vbz2zw4efraqp9recxrvdwwtasszf" timestamp="1636055772"&gt;814&lt;/key&gt;&lt;/foreign-keys&gt;&lt;ref-type name="Journal Article"&gt;17&lt;/ref-type&gt;&lt;contributors&gt;&lt;authors&gt;&lt;author&gt;Golubov, Andrey&lt;/author&gt;&lt;author&gt;Konstantinidi, Theodosia&lt;/author&gt;&lt;/authors&gt;&lt;/contributors&gt;&lt;titles&gt;&lt;title&gt;Where Is the Risk in Value? Evidence from a Market-to-Book Decomposition&lt;/title&gt;&lt;secondary-title&gt;The Journal of Finance&lt;/secondary-title&gt;&lt;/titles&gt;&lt;periodical&gt;&lt;full-title&gt;The Journal of Finance&lt;/full-title&gt;&lt;/periodical&gt;&lt;pages&gt;3135-3186&lt;/pages&gt;&lt;volume&gt;74&lt;/volume&gt;&lt;number&gt;6&lt;/number&gt;&lt;dates&gt;&lt;year&gt;2019&lt;/year&gt;&lt;/dates&gt;&lt;isbn&gt;0022-1082&lt;/isbn&gt;&lt;urls&gt;&lt;related-urls&gt;&lt;url&gt;https://onlinelibrary.wiley.com/doi/abs/10.1111/jofi.12836&lt;/url&gt;&lt;/related-urls&gt;&lt;/urls&gt;&lt;electronic-resource-num&gt;10.1111/jofi.12836&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Golubov and Konstantinidi (2019)</w:t>
        </w:r>
        <w:r w:rsidR="00A4299A">
          <w:rPr>
            <w:rFonts w:ascii="Times New Roman" w:hAnsi="Times New Roman" w:cs="Times New Roman"/>
            <w:sz w:val="24"/>
            <w:szCs w:val="24"/>
          </w:rPr>
          <w:fldChar w:fldCharType="end"/>
        </w:r>
      </w:hyperlink>
      <w:r w:rsidR="008B13BF">
        <w:rPr>
          <w:rFonts w:ascii="Times New Roman" w:hAnsi="Times New Roman" w:cs="Times New Roman"/>
          <w:sz w:val="24"/>
          <w:szCs w:val="24"/>
        </w:rPr>
        <w:t>,</w:t>
      </w:r>
      <w:r w:rsidR="001E5864">
        <w:rPr>
          <w:rFonts w:ascii="Times New Roman" w:hAnsi="Times New Roman" w:cs="Times New Roman"/>
          <w:sz w:val="24"/>
          <w:szCs w:val="24"/>
        </w:rPr>
        <w:t xml:space="preserve"> </w:t>
      </w:r>
      <w:hyperlink w:anchor="_ENREF_60" w:tooltip="Piotroski, 2012 #1493"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AuthorYear="1"&gt;&lt;Author&gt;Piotroski&lt;/Author&gt;&lt;Year&gt;2012&lt;/Year&gt;&lt;RecNum&gt;1493&lt;/RecNum&gt;&lt;DisplayText&gt;Piotroski and So (2012)&lt;/DisplayText&gt;&lt;record&gt;&lt;rec-number&gt;1493&lt;/rec-number&gt;&lt;foreign-keys&gt;&lt;key app="EN" db-id="a00ppf5vbz2zw4efraqp9recxrvdwwtasszf" timestamp="1636055779"&gt;1493&lt;/key&gt;&lt;/foreign-keys&gt;&lt;ref-type name="Journal Article"&gt;17&lt;/ref-type&gt;&lt;contributors&gt;&lt;authors&gt;&lt;author&gt;Piotroski, Joseph D.&lt;/author&gt;&lt;author&gt;So, Eric C.&lt;/author&gt;&lt;/authors&gt;&lt;/contributors&gt;&lt;titles&gt;&lt;title&gt;Identifying Expectation Errors in Value/Glamour Strategies: A Fundamental Analysis Approach&lt;/title&gt;&lt;secondary-title&gt;Review of Financial Studies&lt;/secondary-title&gt;&lt;/titles&gt;&lt;periodical&gt;&lt;full-title&gt;Review of Financial Studies&lt;/full-title&gt;&lt;/periodical&gt;&lt;pages&gt;2841-2875&lt;/pages&gt;&lt;volume&gt;25&lt;/volume&gt;&lt;number&gt;9&lt;/number&gt;&lt;keywords&gt;&lt;keyword&gt;INVESTMENT analysis&lt;/keyword&gt;&lt;keyword&gt;EXPECTATION (Economics)&lt;/keyword&gt;&lt;keyword&gt;STOCKS (Finance) -- Rate of return&lt;/keyword&gt;&lt;keyword&gt;STOCKS (Finance) -- Prices&lt;/keyword&gt;&lt;keyword&gt;FINANCIAL risk&lt;/keyword&gt;&lt;keyword&gt;INVESTMENT policy&lt;/keyword&gt;&lt;/keywords&gt;&lt;dates&gt;&lt;year&gt;2012&lt;/year&gt;&lt;/dates&gt;&lt;publisher&gt;Oxford University Press / USA&lt;/publisher&gt;&lt;isbn&gt;08939454&lt;/isbn&gt;&lt;accession-num&gt;79306488&lt;/accession-num&gt;&lt;work-type&gt;Article&lt;/work-type&gt;&lt;urls&gt;&lt;related-urls&gt;&lt;url&gt;http://search.ebscohost.com/login.aspx?direct=true&amp;amp;db=bth&amp;amp;AN=79306488&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Piotroski and So (2012)</w:t>
        </w:r>
        <w:r w:rsidR="00A4299A">
          <w:rPr>
            <w:rFonts w:ascii="Times New Roman" w:hAnsi="Times New Roman" w:cs="Times New Roman"/>
            <w:sz w:val="24"/>
            <w:szCs w:val="24"/>
          </w:rPr>
          <w:fldChar w:fldCharType="end"/>
        </w:r>
      </w:hyperlink>
      <w:r w:rsidR="001E5864">
        <w:rPr>
          <w:rFonts w:ascii="Times New Roman" w:hAnsi="Times New Roman" w:cs="Times New Roman"/>
          <w:sz w:val="24"/>
          <w:szCs w:val="24"/>
        </w:rPr>
        <w:t>,</w:t>
      </w:r>
      <w:r w:rsidR="00C57327">
        <w:rPr>
          <w:rFonts w:ascii="Times New Roman" w:hAnsi="Times New Roman" w:cs="Times New Roman"/>
          <w:sz w:val="24"/>
          <w:szCs w:val="24"/>
        </w:rPr>
        <w:t xml:space="preserve"> </w:t>
      </w:r>
      <w:hyperlink w:anchor="_ENREF_37" w:tooltip="Frankel, 1998 #769"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AuthorYear="1"&gt;&lt;Author&gt;Frankel&lt;/Author&gt;&lt;Year&gt;1998&lt;/Year&gt;&lt;RecNum&gt;769&lt;/RecNum&gt;&lt;DisplayText&gt;Frankel and Lee (1998)&lt;/DisplayText&gt;&lt;record&gt;&lt;rec-number&gt;769&lt;/rec-number&gt;&lt;foreign-keys&gt;&lt;key app="EN" db-id="a00ppf5vbz2zw4efraqp9recxrvdwwtasszf" timestamp="1636055772"&gt;769&lt;/key&gt;&lt;/foreign-keys&gt;&lt;ref-type name="Journal Article"&gt;17&lt;/ref-type&gt;&lt;contributors&gt;&lt;authors&gt;&lt;author&gt;Frankel, Richard&lt;/author&gt;&lt;author&gt;Lee, Charles M. C.&lt;/author&gt;&lt;/authors&gt;&lt;/contributors&gt;&lt;titles&gt;&lt;title&gt;Accounting valuation, market expectation, and cross-sectional stock returns&lt;/title&gt;&lt;secondary-title&gt;Journal of Accounting &amp;amp; Economics&lt;/secondary-title&gt;&lt;/titles&gt;&lt;periodical&gt;&lt;full-title&gt;Journal of Accounting &amp;amp; Economics&lt;/full-title&gt;&lt;/periodical&gt;&lt;pages&gt;283-319&lt;/pages&gt;&lt;volume&gt;25&lt;/volume&gt;&lt;number&gt;3&lt;/number&gt;&lt;keywords&gt;&lt;keyword&gt;VALUATION&lt;/keyword&gt;&lt;keyword&gt;STOCKS (Finance)&lt;/keyword&gt;&lt;keyword&gt;RATE of return&lt;/keyword&gt;&lt;keyword&gt;CAPITAL market&lt;/keyword&gt;&lt;keyword&gt;FORECASTING&lt;/keyword&gt;&lt;keyword&gt;INCOME&lt;/keyword&gt;&lt;/keywords&gt;&lt;dates&gt;&lt;year&gt;1998&lt;/year&gt;&lt;/dates&gt;&lt;isbn&gt;01654101&lt;/isbn&gt;&lt;accession-num&gt;12132798&lt;/accession-num&gt;&lt;work-type&gt;Article&lt;/work-type&gt;&lt;urls&gt;&lt;related-urls&gt;&lt;url&gt;http://search.ebscohost.com/login.aspx?direct=true&amp;amp;db=bth&amp;amp;AN=12132798&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Frankel and Lee (1998)</w:t>
        </w:r>
        <w:r w:rsidR="00A4299A">
          <w:rPr>
            <w:rFonts w:ascii="Times New Roman" w:hAnsi="Times New Roman" w:cs="Times New Roman"/>
            <w:sz w:val="24"/>
            <w:szCs w:val="24"/>
          </w:rPr>
          <w:fldChar w:fldCharType="end"/>
        </w:r>
      </w:hyperlink>
      <w:r w:rsidR="00C57327">
        <w:rPr>
          <w:rFonts w:ascii="Times New Roman" w:hAnsi="Times New Roman" w:cs="Times New Roman"/>
          <w:sz w:val="24"/>
          <w:szCs w:val="24"/>
        </w:rPr>
        <w:t>,</w:t>
      </w:r>
      <w:r w:rsidR="008B13BF">
        <w:rPr>
          <w:rFonts w:ascii="Times New Roman" w:hAnsi="Times New Roman" w:cs="Times New Roman"/>
          <w:sz w:val="24"/>
          <w:szCs w:val="24"/>
        </w:rPr>
        <w:t xml:space="preserve"> </w:t>
      </w:r>
      <w:hyperlink w:anchor="_ENREF_51" w:tooltip="La Porta, 1997 #115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AuthorYear="1"&gt;&lt;Author&gt;La Porta&lt;/Author&gt;&lt;Year&gt;1997&lt;/Year&gt;&lt;RecNum&gt;1154&lt;/RecNum&gt;&lt;DisplayText&gt;La Porta, Lakonishok, Shleifer, and Vishny (1997)&lt;/DisplayText&gt;&lt;record&gt;&lt;rec-number&gt;1154&lt;/rec-number&gt;&lt;foreign-keys&gt;&lt;key app="EN" db-id="a00ppf5vbz2zw4efraqp9recxrvdwwtasszf" timestamp="1636055775"&gt;1154&lt;/key&gt;&lt;/foreign-keys&gt;&lt;ref-type name="Journal Article"&gt;17&lt;/ref-type&gt;&lt;contributors&gt;&lt;authors&gt;&lt;author&gt;La Porta, Rafael&lt;/author&gt;&lt;author&gt;Lakonishok, Josef&lt;/author&gt;&lt;author&gt;Shleifer, Andrei&lt;/author&gt;&lt;author&gt;Vishny, Robert&lt;/author&gt;&lt;/authors&gt;&lt;/contributors&gt;&lt;titles&gt;&lt;title&gt;Good News for Value Stocks: Further Evidence on Market Efficiency&lt;/title&gt;&lt;secondary-title&gt;Journal of Finance&lt;/secondary-title&gt;&lt;/titles&gt;&lt;periodical&gt;&lt;full-title&gt;Journal of FInance&lt;/full-title&gt;&lt;/periodical&gt;&lt;pages&gt;859-874&lt;/pages&gt;&lt;volume&gt;52&lt;/volume&gt;&lt;number&gt;2&lt;/number&gt;&lt;keywords&gt;&lt;keyword&gt;STOCKS (Finance) -- Rate of return&lt;/keyword&gt;&lt;keyword&gt;STOCKS (Finance) -- Prices&lt;/keyword&gt;&lt;keyword&gt;FINANCIAL market reaction&lt;/keyword&gt;&lt;keyword&gt;EXPECTED returns&lt;/keyword&gt;&lt;keyword&gt;EFFICIENT market theory&lt;/keyword&gt;&lt;keyword&gt;INVESTMENT analysis&lt;/keyword&gt;&lt;keyword&gt;STOCKS (Finance)&lt;/keyword&gt;&lt;keyword&gt;RATE of return&lt;/keyword&gt;&lt;keyword&gt;STOCK exchanges&lt;/keyword&gt;&lt;keyword&gt;INVESTMENTS&lt;/keyword&gt;&lt;keyword&gt;SECURITIES&lt;/keyword&gt;&lt;keyword&gt;SECURITIES -- Prices&lt;/keyword&gt;&lt;/keywords&gt;&lt;dates&gt;&lt;year&gt;1997&lt;/year&gt;&lt;/dates&gt;&lt;publisher&gt;Wiley-Blackwell&lt;/publisher&gt;&lt;isbn&gt;00221082&lt;/isbn&gt;&lt;accession-num&gt;9708245107&lt;/accession-num&gt;&lt;work-type&gt;Article&lt;/work-type&gt;&lt;urls&gt;&lt;related-urls&gt;&lt;url&gt;http://search.ebscohost.com/login.aspx?direct=true&amp;amp;db=buh&amp;amp;AN=9708245107&amp;amp;site=ehost-live&lt;/url&gt;&lt;/related-urls&gt;&lt;/urls&gt;&lt;remote-database-name&gt;bu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La Porta, Lakonishok, Shleifer, and Vishny (1997)</w:t>
        </w:r>
        <w:r w:rsidR="00A4299A">
          <w:rPr>
            <w:rFonts w:ascii="Times New Roman" w:hAnsi="Times New Roman" w:cs="Times New Roman"/>
            <w:sz w:val="24"/>
            <w:szCs w:val="24"/>
          </w:rPr>
          <w:fldChar w:fldCharType="end"/>
        </w:r>
      </w:hyperlink>
      <w:r w:rsidR="008B13BF">
        <w:rPr>
          <w:rFonts w:ascii="Times New Roman" w:hAnsi="Times New Roman" w:cs="Times New Roman"/>
          <w:sz w:val="24"/>
          <w:szCs w:val="24"/>
        </w:rPr>
        <w:t>.</w:t>
      </w:r>
    </w:p>
    <w:p w14:paraId="49FE30B1" w14:textId="58F6A978" w:rsidR="00446E15" w:rsidRDefault="00446E15" w:rsidP="00C1210B">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paper proceeds as follows. We discuss our measurement framework in Section </w:t>
      </w:r>
      <w:r w:rsidR="00DB6F3E">
        <w:rPr>
          <w:rFonts w:ascii="Times New Roman" w:hAnsi="Times New Roman" w:cs="Times New Roman"/>
          <w:sz w:val="24"/>
          <w:szCs w:val="24"/>
        </w:rPr>
        <w:t>II</w:t>
      </w:r>
      <w:r>
        <w:rPr>
          <w:rFonts w:ascii="Times New Roman" w:hAnsi="Times New Roman" w:cs="Times New Roman"/>
          <w:sz w:val="24"/>
          <w:szCs w:val="24"/>
        </w:rPr>
        <w:t>. We describe data processing</w:t>
      </w:r>
      <w:r w:rsidR="00130FF4">
        <w:rPr>
          <w:rFonts w:ascii="Times New Roman" w:hAnsi="Times New Roman" w:cs="Times New Roman"/>
          <w:sz w:val="24"/>
          <w:szCs w:val="24"/>
        </w:rPr>
        <w:t>, estimation, and the properties of our new measure</w:t>
      </w:r>
      <w:r w:rsidR="00510403">
        <w:rPr>
          <w:rFonts w:ascii="Times New Roman" w:hAnsi="Times New Roman" w:cs="Times New Roman"/>
          <w:sz w:val="24"/>
          <w:szCs w:val="24"/>
        </w:rPr>
        <w:t xml:space="preserve"> </w:t>
      </w:r>
      <w:r>
        <w:rPr>
          <w:rFonts w:ascii="Times New Roman" w:hAnsi="Times New Roman" w:cs="Times New Roman"/>
          <w:sz w:val="24"/>
          <w:szCs w:val="24"/>
        </w:rPr>
        <w:t xml:space="preserve">in Section </w:t>
      </w:r>
      <w:r w:rsidR="00DB6F3E">
        <w:rPr>
          <w:rFonts w:ascii="Times New Roman" w:hAnsi="Times New Roman" w:cs="Times New Roman"/>
          <w:sz w:val="24"/>
          <w:szCs w:val="24"/>
        </w:rPr>
        <w:t>III</w:t>
      </w:r>
      <w:r>
        <w:rPr>
          <w:rFonts w:ascii="Times New Roman" w:hAnsi="Times New Roman" w:cs="Times New Roman"/>
          <w:sz w:val="24"/>
          <w:szCs w:val="24"/>
        </w:rPr>
        <w:t xml:space="preserve">. </w:t>
      </w:r>
      <w:r w:rsidR="00E310CA">
        <w:rPr>
          <w:rFonts w:ascii="Times New Roman" w:hAnsi="Times New Roman" w:cs="Times New Roman"/>
          <w:sz w:val="24"/>
          <w:szCs w:val="24"/>
        </w:rPr>
        <w:t>V</w:t>
      </w:r>
      <w:r w:rsidR="00334FF0">
        <w:rPr>
          <w:rFonts w:ascii="Times New Roman" w:hAnsi="Times New Roman" w:cs="Times New Roman"/>
          <w:sz w:val="24"/>
          <w:szCs w:val="24"/>
        </w:rPr>
        <w:t xml:space="preserve">alidation tests are presented in </w:t>
      </w:r>
      <w:r w:rsidR="00653B24">
        <w:rPr>
          <w:rFonts w:ascii="Times New Roman" w:hAnsi="Times New Roman" w:cs="Times New Roman"/>
          <w:sz w:val="24"/>
          <w:szCs w:val="24"/>
        </w:rPr>
        <w:t xml:space="preserve">Section </w:t>
      </w:r>
      <w:r w:rsidR="00DB6F3E">
        <w:rPr>
          <w:rFonts w:ascii="Times New Roman" w:hAnsi="Times New Roman" w:cs="Times New Roman"/>
          <w:sz w:val="24"/>
          <w:szCs w:val="24"/>
        </w:rPr>
        <w:t>IV</w:t>
      </w:r>
      <w:r w:rsidR="00334FF0">
        <w:rPr>
          <w:rFonts w:ascii="Times New Roman" w:hAnsi="Times New Roman" w:cs="Times New Roman"/>
          <w:sz w:val="24"/>
          <w:szCs w:val="24"/>
        </w:rPr>
        <w:t>.</w:t>
      </w:r>
      <w:r w:rsidR="00653B24">
        <w:rPr>
          <w:rFonts w:ascii="Times New Roman" w:hAnsi="Times New Roman" w:cs="Times New Roman"/>
          <w:sz w:val="24"/>
          <w:szCs w:val="24"/>
        </w:rPr>
        <w:t xml:space="preserve"> </w:t>
      </w:r>
      <w:r w:rsidR="00425539">
        <w:rPr>
          <w:rFonts w:ascii="Times New Roman" w:hAnsi="Times New Roman" w:cs="Times New Roman"/>
          <w:sz w:val="24"/>
          <w:szCs w:val="24"/>
        </w:rPr>
        <w:t xml:space="preserve">In Section </w:t>
      </w:r>
      <w:r w:rsidR="00DB6F3E">
        <w:rPr>
          <w:rFonts w:ascii="Times New Roman" w:hAnsi="Times New Roman" w:cs="Times New Roman"/>
          <w:sz w:val="24"/>
          <w:szCs w:val="24"/>
        </w:rPr>
        <w:t>V</w:t>
      </w:r>
      <w:r w:rsidR="00EC59F1">
        <w:rPr>
          <w:rFonts w:ascii="Times New Roman" w:hAnsi="Times New Roman" w:cs="Times New Roman"/>
          <w:sz w:val="24"/>
          <w:szCs w:val="24"/>
        </w:rPr>
        <w:t>,</w:t>
      </w:r>
      <w:r w:rsidR="00425539">
        <w:rPr>
          <w:rFonts w:ascii="Times New Roman" w:hAnsi="Times New Roman" w:cs="Times New Roman"/>
          <w:sz w:val="24"/>
          <w:szCs w:val="24"/>
        </w:rPr>
        <w:t xml:space="preserve"> we use our measure to test the hypothesis that valuation </w:t>
      </w:r>
      <w:r w:rsidR="00BD2C0C">
        <w:rPr>
          <w:rFonts w:ascii="Times New Roman" w:hAnsi="Times New Roman" w:cs="Times New Roman"/>
          <w:sz w:val="24"/>
          <w:szCs w:val="24"/>
        </w:rPr>
        <w:t xml:space="preserve">uncertainty </w:t>
      </w:r>
      <w:r w:rsidR="00E310CA">
        <w:rPr>
          <w:rFonts w:ascii="Times New Roman" w:hAnsi="Times New Roman" w:cs="Times New Roman"/>
          <w:sz w:val="24"/>
          <w:szCs w:val="24"/>
        </w:rPr>
        <w:t>promotes</w:t>
      </w:r>
      <w:r w:rsidR="00BD2C0C">
        <w:rPr>
          <w:rFonts w:ascii="Times New Roman" w:hAnsi="Times New Roman" w:cs="Times New Roman"/>
          <w:sz w:val="24"/>
          <w:szCs w:val="24"/>
        </w:rPr>
        <w:t xml:space="preserve"> valuation mistakes</w:t>
      </w:r>
      <w:r w:rsidR="00425539">
        <w:rPr>
          <w:rFonts w:ascii="Times New Roman" w:hAnsi="Times New Roman" w:cs="Times New Roman"/>
          <w:sz w:val="24"/>
          <w:szCs w:val="24"/>
        </w:rPr>
        <w:t xml:space="preserve">. Section </w:t>
      </w:r>
      <w:r w:rsidR="00DB6F3E">
        <w:rPr>
          <w:rFonts w:ascii="Times New Roman" w:hAnsi="Times New Roman" w:cs="Times New Roman"/>
          <w:sz w:val="24"/>
          <w:szCs w:val="24"/>
        </w:rPr>
        <w:t>VI</w:t>
      </w:r>
      <w:r w:rsidR="00653B24">
        <w:rPr>
          <w:rFonts w:ascii="Times New Roman" w:hAnsi="Times New Roman" w:cs="Times New Roman"/>
          <w:sz w:val="24"/>
          <w:szCs w:val="24"/>
        </w:rPr>
        <w:t xml:space="preserve"> </w:t>
      </w:r>
      <w:r w:rsidR="00425539">
        <w:rPr>
          <w:rFonts w:ascii="Times New Roman" w:hAnsi="Times New Roman" w:cs="Times New Roman"/>
          <w:sz w:val="24"/>
          <w:szCs w:val="24"/>
        </w:rPr>
        <w:t xml:space="preserve">concludes </w:t>
      </w:r>
      <w:r w:rsidR="00E310CA">
        <w:rPr>
          <w:rFonts w:ascii="Times New Roman" w:hAnsi="Times New Roman" w:cs="Times New Roman"/>
          <w:sz w:val="24"/>
          <w:szCs w:val="24"/>
        </w:rPr>
        <w:t>with a discussion of potential applications and extensions</w:t>
      </w:r>
      <w:r w:rsidR="005E1066">
        <w:rPr>
          <w:rFonts w:ascii="Times New Roman" w:hAnsi="Times New Roman" w:cs="Times New Roman"/>
          <w:sz w:val="24"/>
          <w:szCs w:val="24"/>
        </w:rPr>
        <w:t>.</w:t>
      </w:r>
      <w:r w:rsidR="000D7601">
        <w:rPr>
          <w:rFonts w:ascii="Times New Roman" w:hAnsi="Times New Roman" w:cs="Times New Roman"/>
          <w:sz w:val="24"/>
          <w:szCs w:val="24"/>
        </w:rPr>
        <w:t xml:space="preserve"> The Online Appendix contains supplementary material.</w:t>
      </w:r>
    </w:p>
    <w:p w14:paraId="4F7C7312" w14:textId="77777777" w:rsidR="00FA6E5D" w:rsidRDefault="00FA6E5D" w:rsidP="00BB09AC">
      <w:pPr>
        <w:spacing w:before="120" w:after="0" w:line="480" w:lineRule="auto"/>
        <w:jc w:val="center"/>
        <w:rPr>
          <w:rFonts w:ascii="Times New Roman" w:hAnsi="Times New Roman" w:cs="Times New Roman"/>
          <w:b/>
          <w:sz w:val="24"/>
          <w:szCs w:val="24"/>
        </w:rPr>
      </w:pPr>
    </w:p>
    <w:p w14:paraId="58C6F823" w14:textId="77777777" w:rsidR="00FA6E5D" w:rsidRDefault="00FA6E5D" w:rsidP="00BB09AC">
      <w:pPr>
        <w:spacing w:before="120" w:after="0" w:line="480" w:lineRule="auto"/>
        <w:jc w:val="center"/>
        <w:rPr>
          <w:rFonts w:ascii="Times New Roman" w:hAnsi="Times New Roman" w:cs="Times New Roman"/>
          <w:b/>
          <w:sz w:val="24"/>
          <w:szCs w:val="24"/>
        </w:rPr>
      </w:pPr>
    </w:p>
    <w:p w14:paraId="6102F980" w14:textId="74576B94" w:rsidR="008642E4" w:rsidRDefault="00BB09AC" w:rsidP="00BB09AC">
      <w:pPr>
        <w:spacing w:before="120"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II</w:t>
      </w:r>
      <w:r w:rsidR="008642E4">
        <w:rPr>
          <w:rFonts w:ascii="Times New Roman" w:hAnsi="Times New Roman" w:cs="Times New Roman"/>
          <w:b/>
          <w:sz w:val="24"/>
          <w:szCs w:val="24"/>
        </w:rPr>
        <w:t xml:space="preserve">. </w:t>
      </w:r>
      <w:r>
        <w:rPr>
          <w:rFonts w:ascii="Times New Roman" w:hAnsi="Times New Roman" w:cs="Times New Roman"/>
          <w:b/>
          <w:sz w:val="24"/>
          <w:szCs w:val="24"/>
        </w:rPr>
        <w:t>FRAMEWORK AND METHODOLOGY</w:t>
      </w:r>
    </w:p>
    <w:p w14:paraId="4A2A92FE" w14:textId="47884C86" w:rsidR="00501867" w:rsidRPr="00BB09AC" w:rsidRDefault="00501867" w:rsidP="00C1210B">
      <w:pPr>
        <w:spacing w:after="0" w:line="480" w:lineRule="auto"/>
        <w:jc w:val="both"/>
        <w:rPr>
          <w:rFonts w:ascii="Times New Roman" w:hAnsi="Times New Roman" w:cs="Times New Roman"/>
          <w:b/>
          <w:bCs/>
          <w:iCs/>
          <w:sz w:val="24"/>
          <w:szCs w:val="24"/>
        </w:rPr>
      </w:pPr>
      <w:r w:rsidRPr="00BB09AC">
        <w:rPr>
          <w:rFonts w:ascii="Times New Roman" w:hAnsi="Times New Roman" w:cs="Times New Roman"/>
          <w:b/>
          <w:bCs/>
          <w:iCs/>
          <w:sz w:val="24"/>
          <w:szCs w:val="24"/>
        </w:rPr>
        <w:t xml:space="preserve">Valuation </w:t>
      </w:r>
      <w:r w:rsidR="00AD0653">
        <w:rPr>
          <w:rFonts w:ascii="Times New Roman" w:hAnsi="Times New Roman" w:cs="Times New Roman"/>
          <w:b/>
          <w:bCs/>
          <w:iCs/>
          <w:sz w:val="24"/>
          <w:szCs w:val="24"/>
        </w:rPr>
        <w:t>U</w:t>
      </w:r>
      <w:r w:rsidRPr="00BB09AC">
        <w:rPr>
          <w:rFonts w:ascii="Times New Roman" w:hAnsi="Times New Roman" w:cs="Times New Roman"/>
          <w:b/>
          <w:bCs/>
          <w:iCs/>
          <w:sz w:val="24"/>
          <w:szCs w:val="24"/>
        </w:rPr>
        <w:t>ncertainty</w:t>
      </w:r>
    </w:p>
    <w:p w14:paraId="6C502C03" w14:textId="2CF67EA7" w:rsidR="00A23643" w:rsidRDefault="009358BD" w:rsidP="003D376A">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 xml:space="preserve">We </w:t>
      </w:r>
      <w:r>
        <w:rPr>
          <w:rFonts w:ascii="Times New Roman" w:hAnsi="Times New Roman" w:cs="Times New Roman"/>
          <w:sz w:val="24"/>
          <w:szCs w:val="24"/>
          <w:lang w:val="en-US"/>
        </w:rPr>
        <w:t>s</w:t>
      </w:r>
      <w:r w:rsidR="00DF7889">
        <w:rPr>
          <w:rFonts w:ascii="Times New Roman" w:hAnsi="Times New Roman" w:cs="Times New Roman"/>
          <w:sz w:val="24"/>
          <w:szCs w:val="24"/>
          <w:lang w:val="en-US"/>
        </w:rPr>
        <w:t>tart from</w:t>
      </w:r>
      <w:r w:rsidR="00A23643" w:rsidRPr="005D5171">
        <w:rPr>
          <w:rFonts w:ascii="Times New Roman" w:hAnsi="Times New Roman" w:cs="Times New Roman"/>
          <w:sz w:val="24"/>
          <w:szCs w:val="24"/>
          <w:lang w:val="en-US"/>
        </w:rPr>
        <w:t xml:space="preserve"> the classic asse</w:t>
      </w:r>
      <w:r w:rsidR="00A23643">
        <w:rPr>
          <w:rFonts w:ascii="Times New Roman" w:hAnsi="Times New Roman" w:cs="Times New Roman"/>
          <w:sz w:val="24"/>
          <w:szCs w:val="24"/>
          <w:lang w:val="en-US"/>
        </w:rPr>
        <w:t>t pricing equation P = E(x)/R</w:t>
      </w:r>
      <w:r w:rsidR="00A23643" w:rsidRPr="005D5171">
        <w:rPr>
          <w:rFonts w:ascii="Times New Roman" w:hAnsi="Times New Roman" w:cs="Times New Roman"/>
          <w:sz w:val="24"/>
          <w:szCs w:val="24"/>
          <w:vertAlign w:val="subscript"/>
          <w:lang w:val="en-US"/>
        </w:rPr>
        <w:t>f</w:t>
      </w:r>
      <w:r w:rsidR="00A23643">
        <w:rPr>
          <w:rFonts w:ascii="Times New Roman" w:hAnsi="Times New Roman" w:cs="Times New Roman"/>
          <w:sz w:val="24"/>
          <w:szCs w:val="24"/>
          <w:lang w:val="en-US"/>
        </w:rPr>
        <w:t xml:space="preserve"> + </w:t>
      </w:r>
      <w:proofErr w:type="spellStart"/>
      <w:r w:rsidR="00A23643">
        <w:rPr>
          <w:rFonts w:ascii="Times New Roman" w:hAnsi="Times New Roman" w:cs="Times New Roman"/>
          <w:sz w:val="24"/>
          <w:szCs w:val="24"/>
          <w:lang w:val="en-US"/>
        </w:rPr>
        <w:t>cov</w:t>
      </w:r>
      <w:proofErr w:type="spellEnd"/>
      <w:r w:rsidR="00A23643">
        <w:rPr>
          <w:rFonts w:ascii="Times New Roman" w:hAnsi="Times New Roman" w:cs="Times New Roman"/>
          <w:sz w:val="24"/>
          <w:szCs w:val="24"/>
          <w:lang w:val="en-US"/>
        </w:rPr>
        <w:t>(m, x), where</w:t>
      </w:r>
      <w:r w:rsidR="00DF7889">
        <w:rPr>
          <w:rFonts w:ascii="Times New Roman" w:hAnsi="Times New Roman" w:cs="Times New Roman"/>
          <w:sz w:val="24"/>
          <w:szCs w:val="24"/>
          <w:lang w:val="en-US"/>
        </w:rPr>
        <w:t xml:space="preserve"> P</w:t>
      </w:r>
      <w:r w:rsidR="007F5793">
        <w:rPr>
          <w:rFonts w:ascii="Times New Roman" w:hAnsi="Times New Roman" w:cs="Times New Roman"/>
          <w:sz w:val="24"/>
          <w:szCs w:val="24"/>
          <w:lang w:val="en-US"/>
        </w:rPr>
        <w:t xml:space="preserve"> is today’s (t=0) price, x </w:t>
      </w:r>
      <w:r w:rsidR="00503D49">
        <w:rPr>
          <w:rFonts w:ascii="Times New Roman" w:hAnsi="Times New Roman" w:cs="Times New Roman"/>
          <w:sz w:val="24"/>
          <w:szCs w:val="24"/>
          <w:lang w:val="en-US"/>
        </w:rPr>
        <w:t>is the</w:t>
      </w:r>
      <w:r w:rsidR="007F5793">
        <w:rPr>
          <w:rFonts w:ascii="Times New Roman" w:hAnsi="Times New Roman" w:cs="Times New Roman"/>
          <w:sz w:val="24"/>
          <w:szCs w:val="24"/>
          <w:lang w:val="en-US"/>
        </w:rPr>
        <w:t xml:space="preserve"> future payoff, R</w:t>
      </w:r>
      <w:r w:rsidR="007F5793" w:rsidRPr="00132B01">
        <w:rPr>
          <w:rFonts w:ascii="Times New Roman" w:hAnsi="Times New Roman" w:cs="Times New Roman"/>
          <w:sz w:val="24"/>
          <w:szCs w:val="24"/>
          <w:vertAlign w:val="subscript"/>
          <w:lang w:val="en-US"/>
        </w:rPr>
        <w:t>f</w:t>
      </w:r>
      <w:r w:rsidR="007F5793">
        <w:rPr>
          <w:rFonts w:ascii="Times New Roman" w:hAnsi="Times New Roman" w:cs="Times New Roman"/>
          <w:sz w:val="24"/>
          <w:szCs w:val="24"/>
          <w:lang w:val="en-US"/>
        </w:rPr>
        <w:t xml:space="preserve"> is the gross risk-free rate, and m is the stochastic discount factor (SDF)</w:t>
      </w:r>
      <w:r w:rsidR="00A23643" w:rsidRPr="001E3189">
        <w:rPr>
          <w:rFonts w:ascii="Times New Roman" w:hAnsi="Times New Roman" w:cs="Times New Roman"/>
          <w:sz w:val="24"/>
          <w:szCs w:val="24"/>
          <w:lang w:val="en-US"/>
        </w:rPr>
        <w:t>.</w:t>
      </w:r>
      <w:r w:rsidR="00A23643">
        <w:rPr>
          <w:rStyle w:val="FootnoteReference"/>
          <w:rFonts w:ascii="Times New Roman" w:hAnsi="Times New Roman" w:cs="Times New Roman"/>
          <w:sz w:val="24"/>
          <w:szCs w:val="24"/>
          <w:lang w:val="en-US"/>
        </w:rPr>
        <w:footnoteReference w:id="5"/>
      </w:r>
      <w:r w:rsidR="00A23643">
        <w:rPr>
          <w:rFonts w:ascii="Times New Roman" w:hAnsi="Times New Roman" w:cs="Times New Roman"/>
          <w:sz w:val="24"/>
          <w:szCs w:val="24"/>
          <w:lang w:val="en-US"/>
        </w:rPr>
        <w:t xml:space="preserve"> </w:t>
      </w:r>
      <w:r w:rsidR="00DF6ABD">
        <w:rPr>
          <w:rFonts w:ascii="Times New Roman" w:hAnsi="Times New Roman" w:cs="Times New Roman"/>
          <w:sz w:val="24"/>
          <w:szCs w:val="24"/>
          <w:lang w:val="en-US"/>
        </w:rPr>
        <w:t>I</w:t>
      </w:r>
      <w:r>
        <w:rPr>
          <w:rFonts w:ascii="Times New Roman" w:hAnsi="Times New Roman" w:cs="Times New Roman"/>
          <w:sz w:val="24"/>
          <w:szCs w:val="24"/>
          <w:lang w:val="en-US"/>
        </w:rPr>
        <w:t>mplicit</w:t>
      </w:r>
      <w:r w:rsidR="00DF6ABD">
        <w:rPr>
          <w:rFonts w:ascii="Times New Roman" w:hAnsi="Times New Roman" w:cs="Times New Roman"/>
          <w:sz w:val="24"/>
          <w:szCs w:val="24"/>
          <w:lang w:val="en-US"/>
        </w:rPr>
        <w:t xml:space="preserve"> here is an</w:t>
      </w:r>
      <w:r>
        <w:rPr>
          <w:rFonts w:ascii="Times New Roman" w:hAnsi="Times New Roman" w:cs="Times New Roman"/>
          <w:sz w:val="24"/>
          <w:szCs w:val="24"/>
          <w:lang w:val="en-US"/>
        </w:rPr>
        <w:t xml:space="preserve"> assumption</w:t>
      </w:r>
      <w:r w:rsidR="005B472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w:t>
      </w:r>
      <w:r w:rsidR="00A23643">
        <w:rPr>
          <w:rFonts w:ascii="Times New Roman" w:hAnsi="Times New Roman" w:cs="Times New Roman"/>
          <w:sz w:val="24"/>
          <w:szCs w:val="24"/>
          <w:lang w:val="en-US"/>
        </w:rPr>
        <w:t xml:space="preserve">E(x) and </w:t>
      </w:r>
      <w:proofErr w:type="spellStart"/>
      <w:r w:rsidR="00A23643">
        <w:rPr>
          <w:rFonts w:ascii="Times New Roman" w:hAnsi="Times New Roman" w:cs="Times New Roman"/>
          <w:sz w:val="24"/>
          <w:szCs w:val="24"/>
          <w:lang w:val="en-US"/>
        </w:rPr>
        <w:t>cov</w:t>
      </w:r>
      <w:proofErr w:type="spellEnd"/>
      <w:r w:rsidR="00A23643">
        <w:rPr>
          <w:rFonts w:ascii="Times New Roman" w:hAnsi="Times New Roman" w:cs="Times New Roman"/>
          <w:sz w:val="24"/>
          <w:szCs w:val="24"/>
          <w:lang w:val="en-US"/>
        </w:rPr>
        <w:t>(m,</w:t>
      </w:r>
      <w:r w:rsidR="007F5793">
        <w:rPr>
          <w:rFonts w:ascii="Times New Roman" w:hAnsi="Times New Roman" w:cs="Times New Roman"/>
          <w:sz w:val="24"/>
          <w:szCs w:val="24"/>
          <w:lang w:val="en-US"/>
        </w:rPr>
        <w:t xml:space="preserve"> </w:t>
      </w:r>
      <w:r w:rsidR="00A23643">
        <w:rPr>
          <w:rFonts w:ascii="Times New Roman" w:hAnsi="Times New Roman" w:cs="Times New Roman"/>
          <w:sz w:val="24"/>
          <w:szCs w:val="24"/>
          <w:lang w:val="en-US"/>
        </w:rPr>
        <w:t xml:space="preserve">x) </w:t>
      </w:r>
      <w:r>
        <w:rPr>
          <w:rFonts w:ascii="Times New Roman" w:hAnsi="Times New Roman" w:cs="Times New Roman"/>
          <w:sz w:val="24"/>
          <w:szCs w:val="24"/>
          <w:lang w:val="en-US"/>
        </w:rPr>
        <w:t>are</w:t>
      </w:r>
      <w:r w:rsidR="00A23643">
        <w:rPr>
          <w:rFonts w:ascii="Times New Roman" w:hAnsi="Times New Roman" w:cs="Times New Roman"/>
          <w:sz w:val="24"/>
          <w:szCs w:val="24"/>
          <w:lang w:val="en-US"/>
        </w:rPr>
        <w:t xml:space="preserve"> known at t=0</w:t>
      </w:r>
      <w:r>
        <w:rPr>
          <w:rFonts w:ascii="Times New Roman" w:hAnsi="Times New Roman" w:cs="Times New Roman"/>
          <w:sz w:val="24"/>
          <w:szCs w:val="24"/>
          <w:lang w:val="en-US"/>
        </w:rPr>
        <w:t>.</w:t>
      </w:r>
      <w:r w:rsidR="005B4726">
        <w:rPr>
          <w:rFonts w:ascii="Times New Roman" w:hAnsi="Times New Roman" w:cs="Times New Roman"/>
          <w:sz w:val="24"/>
          <w:szCs w:val="24"/>
          <w:lang w:val="en-US"/>
        </w:rPr>
        <w:t xml:space="preserve"> </w:t>
      </w:r>
      <w:r w:rsidR="00EA50C9">
        <w:rPr>
          <w:rFonts w:ascii="Times New Roman" w:hAnsi="Times New Roman" w:cs="Times New Roman"/>
          <w:sz w:val="24"/>
          <w:szCs w:val="24"/>
        </w:rPr>
        <w:t>However</w:t>
      </w:r>
      <w:r w:rsidR="005B4726">
        <w:rPr>
          <w:rFonts w:ascii="Times New Roman" w:hAnsi="Times New Roman" w:cs="Times New Roman"/>
          <w:sz w:val="24"/>
          <w:szCs w:val="24"/>
        </w:rPr>
        <w:t>,</w:t>
      </w:r>
      <w:r>
        <w:rPr>
          <w:rFonts w:ascii="Times New Roman" w:hAnsi="Times New Roman" w:cs="Times New Roman"/>
          <w:sz w:val="24"/>
          <w:szCs w:val="24"/>
        </w:rPr>
        <w:t xml:space="preserve"> </w:t>
      </w:r>
      <w:r w:rsidR="00A23643">
        <w:rPr>
          <w:rFonts w:ascii="Times New Roman" w:hAnsi="Times New Roman" w:cs="Times New Roman"/>
          <w:sz w:val="24"/>
          <w:szCs w:val="24"/>
        </w:rPr>
        <w:t xml:space="preserve">E(x) and </w:t>
      </w:r>
      <w:proofErr w:type="spellStart"/>
      <w:r w:rsidR="00A23643">
        <w:rPr>
          <w:rFonts w:ascii="Times New Roman" w:hAnsi="Times New Roman" w:cs="Times New Roman"/>
          <w:sz w:val="24"/>
          <w:szCs w:val="24"/>
        </w:rPr>
        <w:t>cov</w:t>
      </w:r>
      <w:proofErr w:type="spellEnd"/>
      <w:r w:rsidR="00A23643">
        <w:rPr>
          <w:rFonts w:ascii="Times New Roman" w:hAnsi="Times New Roman" w:cs="Times New Roman"/>
          <w:sz w:val="24"/>
          <w:szCs w:val="24"/>
        </w:rPr>
        <w:t>(</w:t>
      </w:r>
      <w:proofErr w:type="spellStart"/>
      <w:r w:rsidR="00A23643">
        <w:rPr>
          <w:rFonts w:ascii="Times New Roman" w:hAnsi="Times New Roman" w:cs="Times New Roman"/>
          <w:sz w:val="24"/>
          <w:szCs w:val="24"/>
        </w:rPr>
        <w:t>m,x</w:t>
      </w:r>
      <w:proofErr w:type="spellEnd"/>
      <w:r w:rsidR="00A23643">
        <w:rPr>
          <w:rFonts w:ascii="Times New Roman" w:hAnsi="Times New Roman" w:cs="Times New Roman"/>
          <w:sz w:val="24"/>
          <w:szCs w:val="24"/>
        </w:rPr>
        <w:t>)</w:t>
      </w:r>
      <w:r w:rsidR="00DF7889">
        <w:rPr>
          <w:rFonts w:ascii="Times New Roman" w:hAnsi="Times New Roman" w:cs="Times New Roman"/>
          <w:sz w:val="24"/>
          <w:szCs w:val="24"/>
        </w:rPr>
        <w:t xml:space="preserve"> are </w:t>
      </w:r>
      <w:r w:rsidR="005B4726">
        <w:rPr>
          <w:rFonts w:ascii="Times New Roman" w:hAnsi="Times New Roman" w:cs="Times New Roman"/>
          <w:sz w:val="24"/>
          <w:szCs w:val="24"/>
        </w:rPr>
        <w:t>rarely</w:t>
      </w:r>
      <w:r>
        <w:rPr>
          <w:rFonts w:ascii="Times New Roman" w:hAnsi="Times New Roman" w:cs="Times New Roman"/>
          <w:sz w:val="24"/>
          <w:szCs w:val="24"/>
        </w:rPr>
        <w:t xml:space="preserve"> known with certainty, giving rise to what we call valuation uncertainty.</w:t>
      </w:r>
      <w:r w:rsidR="00A23643">
        <w:rPr>
          <w:rFonts w:ascii="Times New Roman" w:hAnsi="Times New Roman" w:cs="Times New Roman"/>
          <w:sz w:val="24"/>
          <w:szCs w:val="24"/>
        </w:rPr>
        <w:t xml:space="preserve"> Consider the following setup.</w:t>
      </w:r>
      <w:r w:rsidR="00503D49">
        <w:rPr>
          <w:rFonts w:ascii="Times New Roman" w:hAnsi="Times New Roman" w:cs="Times New Roman"/>
          <w:sz w:val="24"/>
          <w:szCs w:val="24"/>
        </w:rPr>
        <w:t xml:space="preserve"> </w:t>
      </w:r>
      <w:r w:rsidR="00A23643">
        <w:rPr>
          <w:rFonts w:ascii="Times New Roman" w:hAnsi="Times New Roman" w:cs="Times New Roman"/>
          <w:sz w:val="24"/>
          <w:szCs w:val="24"/>
          <w:lang w:val="en-US"/>
        </w:rPr>
        <w:t xml:space="preserve">A firm is developing a project that will generate some </w:t>
      </w:r>
      <w:r w:rsidR="00A23643" w:rsidRPr="001E1D1C">
        <w:rPr>
          <w:rFonts w:ascii="Times New Roman" w:hAnsi="Times New Roman" w:cs="Times New Roman"/>
          <w:sz w:val="24"/>
          <w:szCs w:val="24"/>
          <w:lang w:val="en-US"/>
        </w:rPr>
        <w:t>risky</w:t>
      </w:r>
      <w:r w:rsidR="00A23643">
        <w:rPr>
          <w:rFonts w:ascii="Times New Roman" w:hAnsi="Times New Roman" w:cs="Times New Roman"/>
          <w:sz w:val="24"/>
          <w:szCs w:val="24"/>
          <w:lang w:val="en-US"/>
        </w:rPr>
        <w:t xml:space="preserve"> future cash flow. The distribution </w:t>
      </w:r>
      <w:r w:rsidR="004444F5">
        <w:rPr>
          <w:rFonts w:ascii="Times New Roman" w:hAnsi="Times New Roman" w:cs="Times New Roman"/>
          <w:sz w:val="24"/>
          <w:szCs w:val="24"/>
          <w:lang w:val="en-US"/>
        </w:rPr>
        <w:t>governing</w:t>
      </w:r>
      <w:r w:rsidR="00A23643">
        <w:rPr>
          <w:rFonts w:ascii="Times New Roman" w:hAnsi="Times New Roman" w:cs="Times New Roman"/>
          <w:sz w:val="24"/>
          <w:szCs w:val="24"/>
          <w:lang w:val="en-US"/>
        </w:rPr>
        <w:t xml:space="preserve"> this cash flow depends on the outcome of an intermediate stage, revealed at </w:t>
      </w:r>
      <w:proofErr w:type="spellStart"/>
      <w:r w:rsidR="00A23643">
        <w:rPr>
          <w:rFonts w:ascii="Times New Roman" w:hAnsi="Times New Roman" w:cs="Times New Roman"/>
          <w:sz w:val="24"/>
          <w:szCs w:val="24"/>
          <w:lang w:val="en-US"/>
        </w:rPr>
        <w:t>t+</w:t>
      </w:r>
      <w:r w:rsidR="00AC4E34" w:rsidRPr="00AC4E34">
        <w:rPr>
          <w:rFonts w:ascii="Times New Roman" w:hAnsi="Times New Roman" w:cs="Times New Roman"/>
          <w:sz w:val="24"/>
          <w:szCs w:val="24"/>
          <w:lang w:val="en-US"/>
        </w:rPr>
        <w:t>i</w:t>
      </w:r>
      <w:proofErr w:type="spellEnd"/>
      <w:r w:rsidR="004444F5">
        <w:rPr>
          <w:rFonts w:ascii="Times New Roman" w:hAnsi="Times New Roman" w:cs="Times New Roman"/>
          <w:sz w:val="24"/>
          <w:szCs w:val="24"/>
          <w:lang w:val="en-US"/>
        </w:rPr>
        <w:t xml:space="preserve">: </w:t>
      </w:r>
      <w:r w:rsidR="00A23643">
        <w:rPr>
          <w:rFonts w:ascii="Times New Roman" w:hAnsi="Times New Roman" w:cs="Times New Roman"/>
          <w:sz w:val="24"/>
          <w:szCs w:val="24"/>
          <w:lang w:val="en-US"/>
        </w:rPr>
        <w:t xml:space="preserve">the project </w:t>
      </w:r>
      <w:r w:rsidR="0017373E">
        <w:rPr>
          <w:rFonts w:ascii="Times New Roman" w:hAnsi="Times New Roman" w:cs="Times New Roman"/>
          <w:sz w:val="24"/>
          <w:szCs w:val="24"/>
          <w:lang w:val="en-US"/>
        </w:rPr>
        <w:t xml:space="preserve">either </w:t>
      </w:r>
      <w:r w:rsidR="00A23643">
        <w:rPr>
          <w:rFonts w:ascii="Times New Roman" w:hAnsi="Times New Roman" w:cs="Times New Roman"/>
          <w:sz w:val="24"/>
          <w:szCs w:val="24"/>
          <w:lang w:val="en-US"/>
        </w:rPr>
        <w:t>yields a “success” (state H) or a “disappointment” (state L). In the event of success</w:t>
      </w:r>
      <w:r w:rsidR="00503D49">
        <w:rPr>
          <w:rFonts w:ascii="Times New Roman" w:hAnsi="Times New Roman" w:cs="Times New Roman"/>
          <w:sz w:val="24"/>
          <w:szCs w:val="24"/>
          <w:lang w:val="en-US"/>
        </w:rPr>
        <w:t xml:space="preserve"> (e.g.,</w:t>
      </w:r>
      <w:r w:rsidR="00A23643">
        <w:rPr>
          <w:rFonts w:ascii="Times New Roman" w:hAnsi="Times New Roman" w:cs="Times New Roman"/>
          <w:sz w:val="24"/>
          <w:szCs w:val="24"/>
          <w:lang w:val="en-US"/>
        </w:rPr>
        <w:t xml:space="preserve"> </w:t>
      </w:r>
      <w:r w:rsidR="00503D49">
        <w:rPr>
          <w:rFonts w:ascii="Times New Roman" w:hAnsi="Times New Roman" w:cs="Times New Roman"/>
          <w:sz w:val="24"/>
          <w:szCs w:val="24"/>
          <w:lang w:val="en-US"/>
        </w:rPr>
        <w:t xml:space="preserve">product </w:t>
      </w:r>
      <w:r w:rsidR="00545D54">
        <w:rPr>
          <w:rFonts w:ascii="Times New Roman" w:hAnsi="Times New Roman" w:cs="Times New Roman"/>
          <w:sz w:val="24"/>
          <w:szCs w:val="24"/>
          <w:lang w:val="en-US"/>
        </w:rPr>
        <w:t>takes off</w:t>
      </w:r>
      <w:r w:rsidR="00503D49">
        <w:rPr>
          <w:rFonts w:ascii="Times New Roman" w:hAnsi="Times New Roman" w:cs="Times New Roman"/>
          <w:sz w:val="24"/>
          <w:szCs w:val="24"/>
          <w:lang w:val="en-US"/>
        </w:rPr>
        <w:t xml:space="preserve">) </w:t>
      </w:r>
      <w:r w:rsidR="00A23643">
        <w:rPr>
          <w:rFonts w:ascii="Times New Roman" w:hAnsi="Times New Roman" w:cs="Times New Roman"/>
          <w:sz w:val="24"/>
          <w:szCs w:val="24"/>
          <w:lang w:val="en-US"/>
        </w:rPr>
        <w:t>future cash flows come from a distribution with a high expected value</w:t>
      </w:r>
      <w:r w:rsidR="004444F5">
        <w:rPr>
          <w:rFonts w:ascii="Times New Roman" w:hAnsi="Times New Roman" w:cs="Times New Roman"/>
          <w:sz w:val="24"/>
          <w:szCs w:val="24"/>
          <w:lang w:val="en-US"/>
        </w:rPr>
        <w:t xml:space="preserve"> </w:t>
      </w:r>
      <w:r w:rsidR="00A23643">
        <w:rPr>
          <w:rFonts w:ascii="Times New Roman" w:hAnsi="Times New Roman" w:cs="Times New Roman"/>
          <w:sz w:val="24"/>
          <w:szCs w:val="24"/>
          <w:lang w:val="en-US"/>
        </w:rPr>
        <w:t>E(</w:t>
      </w:r>
      <w:proofErr w:type="spellStart"/>
      <w:r w:rsidR="00A23643">
        <w:rPr>
          <w:rFonts w:ascii="Times New Roman" w:hAnsi="Times New Roman" w:cs="Times New Roman"/>
          <w:sz w:val="24"/>
          <w:szCs w:val="24"/>
          <w:lang w:val="en-US"/>
        </w:rPr>
        <w:t>x</w:t>
      </w:r>
      <w:r w:rsidR="00A23643" w:rsidRPr="009E219E">
        <w:rPr>
          <w:rFonts w:ascii="Times New Roman" w:hAnsi="Times New Roman" w:cs="Times New Roman"/>
          <w:sz w:val="24"/>
          <w:szCs w:val="24"/>
          <w:vertAlign w:val="superscript"/>
          <w:lang w:val="en-US"/>
        </w:rPr>
        <w:t>H</w:t>
      </w:r>
      <w:proofErr w:type="spellEnd"/>
      <w:r w:rsidR="00A23643">
        <w:rPr>
          <w:rFonts w:ascii="Times New Roman" w:hAnsi="Times New Roman" w:cs="Times New Roman"/>
          <w:sz w:val="24"/>
          <w:szCs w:val="24"/>
          <w:lang w:val="en-US"/>
        </w:rPr>
        <w:t>). In the case of disappointment, future cash flows are expected to be modest, coming from a distribution with a lower expected value E(</w:t>
      </w:r>
      <w:proofErr w:type="spellStart"/>
      <w:r w:rsidR="00A23643">
        <w:rPr>
          <w:rFonts w:ascii="Times New Roman" w:hAnsi="Times New Roman" w:cs="Times New Roman"/>
          <w:sz w:val="24"/>
          <w:szCs w:val="24"/>
          <w:lang w:val="en-US"/>
        </w:rPr>
        <w:t>x</w:t>
      </w:r>
      <w:r w:rsidR="00A23643" w:rsidRPr="009E219E">
        <w:rPr>
          <w:rFonts w:ascii="Times New Roman" w:hAnsi="Times New Roman" w:cs="Times New Roman"/>
          <w:sz w:val="24"/>
          <w:szCs w:val="24"/>
          <w:vertAlign w:val="superscript"/>
          <w:lang w:val="en-US"/>
        </w:rPr>
        <w:t>L</w:t>
      </w:r>
      <w:proofErr w:type="spellEnd"/>
      <w:r w:rsidR="00A23643">
        <w:rPr>
          <w:rFonts w:ascii="Times New Roman" w:hAnsi="Times New Roman" w:cs="Times New Roman"/>
          <w:sz w:val="24"/>
          <w:szCs w:val="24"/>
          <w:lang w:val="en-US"/>
        </w:rPr>
        <w:t xml:space="preserve">). </w:t>
      </w:r>
    </w:p>
    <w:p w14:paraId="124D262A" w14:textId="020E493B" w:rsidR="00C2185D" w:rsidRDefault="00A23643" w:rsidP="003D376A">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Cash flows in both states are uncertain</w:t>
      </w:r>
      <w:r w:rsidR="0040781C">
        <w:rPr>
          <w:rFonts w:ascii="Times New Roman" w:hAnsi="Times New Roman" w:cs="Times New Roman"/>
          <w:sz w:val="24"/>
          <w:szCs w:val="24"/>
          <w:lang w:val="en-US"/>
        </w:rPr>
        <w:t xml:space="preserve"> and have their own covariances with </w:t>
      </w:r>
      <w:r>
        <w:rPr>
          <w:rFonts w:ascii="Times New Roman" w:hAnsi="Times New Roman" w:cs="Times New Roman"/>
          <w:sz w:val="24"/>
          <w:szCs w:val="24"/>
          <w:lang w:val="en-US"/>
        </w:rPr>
        <w:t xml:space="preserve">the </w:t>
      </w:r>
      <w:r w:rsidR="002D52A2">
        <w:rPr>
          <w:rFonts w:ascii="Times New Roman" w:hAnsi="Times New Roman" w:cs="Times New Roman"/>
          <w:sz w:val="24"/>
          <w:szCs w:val="24"/>
          <w:lang w:val="en-US"/>
        </w:rPr>
        <w:t>SDF</w:t>
      </w:r>
      <w:r w:rsidR="0040781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cov</w:t>
      </w:r>
      <w:proofErr w:type="spellEnd"/>
      <w:r>
        <w:rPr>
          <w:rFonts w:ascii="Times New Roman" w:hAnsi="Times New Roman" w:cs="Times New Roman"/>
          <w:sz w:val="24"/>
          <w:szCs w:val="24"/>
          <w:lang w:val="en-US"/>
        </w:rPr>
        <w:t xml:space="preserve">(m, </w:t>
      </w:r>
      <w:proofErr w:type="spellStart"/>
      <w:r>
        <w:rPr>
          <w:rFonts w:ascii="Times New Roman" w:hAnsi="Times New Roman" w:cs="Times New Roman"/>
          <w:sz w:val="24"/>
          <w:szCs w:val="24"/>
          <w:lang w:val="en-US"/>
        </w:rPr>
        <w:t>x</w:t>
      </w:r>
      <w:r w:rsidRPr="009E219E">
        <w:rPr>
          <w:rFonts w:ascii="Times New Roman" w:hAnsi="Times New Roman" w:cs="Times New Roman"/>
          <w:sz w:val="24"/>
          <w:szCs w:val="24"/>
          <w:vertAlign w:val="superscript"/>
          <w:lang w:val="en-US"/>
        </w:rPr>
        <w:t>H</w:t>
      </w:r>
      <w:proofErr w:type="spellEnd"/>
      <w:r w:rsidRPr="009E219E">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cov</w:t>
      </w:r>
      <w:proofErr w:type="spellEnd"/>
      <w:r>
        <w:rPr>
          <w:rFonts w:ascii="Times New Roman" w:hAnsi="Times New Roman" w:cs="Times New Roman"/>
          <w:sz w:val="24"/>
          <w:szCs w:val="24"/>
          <w:lang w:val="en-US"/>
        </w:rPr>
        <w:t xml:space="preserve">(m, </w:t>
      </w:r>
      <w:proofErr w:type="spellStart"/>
      <w:r>
        <w:rPr>
          <w:rFonts w:ascii="Times New Roman" w:hAnsi="Times New Roman" w:cs="Times New Roman"/>
          <w:sz w:val="24"/>
          <w:szCs w:val="24"/>
          <w:lang w:val="en-US"/>
        </w:rPr>
        <w:t>x</w:t>
      </w:r>
      <w:r w:rsidRPr="009E6AF7">
        <w:rPr>
          <w:rFonts w:ascii="Times New Roman" w:hAnsi="Times New Roman" w:cs="Times New Roman"/>
          <w:sz w:val="24"/>
          <w:szCs w:val="24"/>
          <w:vertAlign w:val="superscript"/>
          <w:lang w:val="en-US"/>
        </w:rPr>
        <w:t>L</w:t>
      </w:r>
      <w:proofErr w:type="spellEnd"/>
      <w:r>
        <w:rPr>
          <w:rFonts w:ascii="Times New Roman" w:hAnsi="Times New Roman" w:cs="Times New Roman"/>
          <w:sz w:val="24"/>
          <w:szCs w:val="24"/>
          <w:lang w:val="en-US"/>
        </w:rPr>
        <w:t xml:space="preserve">). Conditional on the success </w:t>
      </w:r>
      <w:r w:rsidRPr="00AC1C86">
        <w:rPr>
          <w:rFonts w:ascii="Times New Roman" w:hAnsi="Times New Roman" w:cs="Times New Roman"/>
          <w:sz w:val="24"/>
          <w:szCs w:val="24"/>
          <w:lang w:val="en-US"/>
        </w:rPr>
        <w:t>state, the</w:t>
      </w:r>
      <w:r w:rsidR="005D6376">
        <w:rPr>
          <w:rFonts w:ascii="Times New Roman" w:hAnsi="Times New Roman" w:cs="Times New Roman"/>
          <w:sz w:val="24"/>
          <w:szCs w:val="24"/>
          <w:lang w:val="en-US"/>
        </w:rPr>
        <w:t xml:space="preserve"> </w:t>
      </w:r>
      <w:proofErr w:type="spellStart"/>
      <w:r w:rsidR="005D6376">
        <w:rPr>
          <w:rFonts w:ascii="Times New Roman" w:hAnsi="Times New Roman" w:cs="Times New Roman"/>
          <w:sz w:val="24"/>
          <w:szCs w:val="24"/>
          <w:lang w:val="en-US"/>
        </w:rPr>
        <w:t>t+i</w:t>
      </w:r>
      <w:proofErr w:type="spellEnd"/>
      <w:r w:rsidRPr="00AC1C86">
        <w:rPr>
          <w:rFonts w:ascii="Times New Roman" w:hAnsi="Times New Roman" w:cs="Times New Roman"/>
          <w:sz w:val="24"/>
          <w:szCs w:val="24"/>
          <w:lang w:val="en-US"/>
        </w:rPr>
        <w:t xml:space="preserve"> state-contingent valu</w:t>
      </w:r>
      <w:r w:rsidR="00636033">
        <w:rPr>
          <w:rFonts w:ascii="Times New Roman" w:hAnsi="Times New Roman" w:cs="Times New Roman"/>
          <w:sz w:val="24"/>
          <w:szCs w:val="24"/>
          <w:lang w:val="en-US"/>
        </w:rPr>
        <w:t>e</w:t>
      </w:r>
      <w:r w:rsidRPr="00AC1C86">
        <w:rPr>
          <w:rFonts w:ascii="Times New Roman" w:hAnsi="Times New Roman" w:cs="Times New Roman"/>
          <w:sz w:val="24"/>
          <w:szCs w:val="24"/>
          <w:lang w:val="en-US"/>
        </w:rPr>
        <w:t xml:space="preserve"> of the payoff is P</w:t>
      </w:r>
      <w:r w:rsidRPr="00AC1C86">
        <w:rPr>
          <w:rFonts w:ascii="Times New Roman" w:hAnsi="Times New Roman" w:cs="Times New Roman"/>
          <w:sz w:val="24"/>
          <w:szCs w:val="24"/>
          <w:vertAlign w:val="superscript"/>
          <w:lang w:val="en-US"/>
        </w:rPr>
        <w:t xml:space="preserve">H </w:t>
      </w:r>
      <w:r w:rsidRPr="00AC1C86">
        <w:rPr>
          <w:rFonts w:ascii="Times New Roman" w:hAnsi="Times New Roman" w:cs="Times New Roman"/>
          <w:sz w:val="24"/>
          <w:szCs w:val="24"/>
          <w:lang w:val="en-US"/>
        </w:rPr>
        <w:t>= E(</w:t>
      </w:r>
      <w:proofErr w:type="spellStart"/>
      <w:r w:rsidRPr="00AC1C86">
        <w:rPr>
          <w:rFonts w:ascii="Times New Roman" w:hAnsi="Times New Roman" w:cs="Times New Roman"/>
          <w:sz w:val="24"/>
          <w:szCs w:val="24"/>
          <w:lang w:val="en-US"/>
        </w:rPr>
        <w:t>x</w:t>
      </w:r>
      <w:r w:rsidRPr="00AC1C86">
        <w:rPr>
          <w:rFonts w:ascii="Times New Roman" w:hAnsi="Times New Roman" w:cs="Times New Roman"/>
          <w:sz w:val="24"/>
          <w:szCs w:val="24"/>
          <w:vertAlign w:val="superscript"/>
          <w:lang w:val="en-US"/>
        </w:rPr>
        <w:t>H</w:t>
      </w:r>
      <w:proofErr w:type="spellEnd"/>
      <w:r w:rsidRPr="00AC1C86">
        <w:rPr>
          <w:rFonts w:ascii="Times New Roman" w:hAnsi="Times New Roman" w:cs="Times New Roman"/>
          <w:sz w:val="24"/>
          <w:szCs w:val="24"/>
          <w:lang w:val="en-US"/>
        </w:rPr>
        <w:t>)/R</w:t>
      </w:r>
      <w:r w:rsidRPr="00AC1C86">
        <w:rPr>
          <w:rFonts w:ascii="Times New Roman" w:hAnsi="Times New Roman" w:cs="Times New Roman"/>
          <w:sz w:val="24"/>
          <w:szCs w:val="24"/>
          <w:vertAlign w:val="subscript"/>
          <w:lang w:val="en-US"/>
        </w:rPr>
        <w:t>f</w:t>
      </w:r>
      <w:r w:rsidRPr="00AC1C86">
        <w:rPr>
          <w:rFonts w:ascii="Times New Roman" w:hAnsi="Times New Roman" w:cs="Times New Roman"/>
          <w:sz w:val="24"/>
          <w:szCs w:val="24"/>
          <w:lang w:val="en-US"/>
        </w:rPr>
        <w:t xml:space="preserve"> + </w:t>
      </w:r>
      <w:proofErr w:type="spellStart"/>
      <w:r w:rsidRPr="00AC1C86">
        <w:rPr>
          <w:rFonts w:ascii="Times New Roman" w:hAnsi="Times New Roman" w:cs="Times New Roman"/>
          <w:sz w:val="24"/>
          <w:szCs w:val="24"/>
          <w:lang w:val="en-US"/>
        </w:rPr>
        <w:t>cov</w:t>
      </w:r>
      <w:proofErr w:type="spellEnd"/>
      <w:r w:rsidRPr="00AC1C86">
        <w:rPr>
          <w:rFonts w:ascii="Times New Roman" w:hAnsi="Times New Roman" w:cs="Times New Roman"/>
          <w:sz w:val="24"/>
          <w:szCs w:val="24"/>
          <w:lang w:val="en-US"/>
        </w:rPr>
        <w:t xml:space="preserve">(m, </w:t>
      </w:r>
      <w:proofErr w:type="spellStart"/>
      <w:r w:rsidRPr="00AC1C86">
        <w:rPr>
          <w:rFonts w:ascii="Times New Roman" w:hAnsi="Times New Roman" w:cs="Times New Roman"/>
          <w:sz w:val="24"/>
          <w:szCs w:val="24"/>
          <w:lang w:val="en-US"/>
        </w:rPr>
        <w:t>x</w:t>
      </w:r>
      <w:r w:rsidRPr="00AC1C86">
        <w:rPr>
          <w:rFonts w:ascii="Times New Roman" w:hAnsi="Times New Roman" w:cs="Times New Roman"/>
          <w:sz w:val="24"/>
          <w:szCs w:val="24"/>
          <w:vertAlign w:val="superscript"/>
          <w:lang w:val="en-US"/>
        </w:rPr>
        <w:t>H</w:t>
      </w:r>
      <w:proofErr w:type="spellEnd"/>
      <w:r w:rsidRPr="00AC1C86">
        <w:rPr>
          <w:rFonts w:ascii="Times New Roman" w:hAnsi="Times New Roman" w:cs="Times New Roman"/>
          <w:sz w:val="24"/>
          <w:szCs w:val="24"/>
          <w:lang w:val="en-US"/>
        </w:rPr>
        <w:t>). Similarly, the</w:t>
      </w:r>
      <w:r w:rsidR="005D6376">
        <w:rPr>
          <w:rFonts w:ascii="Times New Roman" w:hAnsi="Times New Roman" w:cs="Times New Roman"/>
          <w:sz w:val="24"/>
          <w:szCs w:val="24"/>
          <w:lang w:val="en-US"/>
        </w:rPr>
        <w:t xml:space="preserve"> </w:t>
      </w:r>
      <w:proofErr w:type="spellStart"/>
      <w:r w:rsidR="005D6376">
        <w:rPr>
          <w:rFonts w:ascii="Times New Roman" w:hAnsi="Times New Roman" w:cs="Times New Roman"/>
          <w:sz w:val="24"/>
          <w:szCs w:val="24"/>
          <w:lang w:val="en-US"/>
        </w:rPr>
        <w:t>t+i</w:t>
      </w:r>
      <w:proofErr w:type="spellEnd"/>
      <w:r w:rsidRPr="00AC1C86">
        <w:rPr>
          <w:rFonts w:ascii="Times New Roman" w:hAnsi="Times New Roman" w:cs="Times New Roman"/>
          <w:sz w:val="24"/>
          <w:szCs w:val="24"/>
          <w:lang w:val="en-US"/>
        </w:rPr>
        <w:t xml:space="preserve"> state-contingent valu</w:t>
      </w:r>
      <w:r w:rsidR="00636033">
        <w:rPr>
          <w:rFonts w:ascii="Times New Roman" w:hAnsi="Times New Roman" w:cs="Times New Roman"/>
          <w:sz w:val="24"/>
          <w:szCs w:val="24"/>
          <w:lang w:val="en-US"/>
        </w:rPr>
        <w:t>e</w:t>
      </w:r>
      <w:r w:rsidRPr="00AC1C86">
        <w:rPr>
          <w:rFonts w:ascii="Times New Roman" w:hAnsi="Times New Roman" w:cs="Times New Roman"/>
          <w:sz w:val="24"/>
          <w:szCs w:val="24"/>
          <w:lang w:val="en-US"/>
        </w:rPr>
        <w:t xml:space="preserve"> in the disappointment case</w:t>
      </w:r>
      <w:r w:rsidR="00C44304">
        <w:rPr>
          <w:rFonts w:ascii="Times New Roman" w:hAnsi="Times New Roman" w:cs="Times New Roman"/>
          <w:sz w:val="24"/>
          <w:szCs w:val="24"/>
          <w:lang w:val="en-US"/>
        </w:rPr>
        <w:t xml:space="preserve"> </w:t>
      </w:r>
      <w:r w:rsidRPr="00AC1C86">
        <w:rPr>
          <w:rFonts w:ascii="Times New Roman" w:hAnsi="Times New Roman" w:cs="Times New Roman"/>
          <w:sz w:val="24"/>
          <w:szCs w:val="24"/>
          <w:lang w:val="en-US"/>
        </w:rPr>
        <w:t>is P</w:t>
      </w:r>
      <w:r w:rsidRPr="00AC1C86">
        <w:rPr>
          <w:rFonts w:ascii="Times New Roman" w:hAnsi="Times New Roman" w:cs="Times New Roman"/>
          <w:sz w:val="24"/>
          <w:szCs w:val="24"/>
          <w:vertAlign w:val="superscript"/>
          <w:lang w:val="en-US"/>
        </w:rPr>
        <w:t xml:space="preserve">L </w:t>
      </w:r>
      <w:r w:rsidRPr="00AC1C86">
        <w:rPr>
          <w:rFonts w:ascii="Times New Roman" w:hAnsi="Times New Roman" w:cs="Times New Roman"/>
          <w:sz w:val="24"/>
          <w:szCs w:val="24"/>
          <w:lang w:val="en-US"/>
        </w:rPr>
        <w:t>= E(</w:t>
      </w:r>
      <w:proofErr w:type="spellStart"/>
      <w:r w:rsidRPr="00AC1C86">
        <w:rPr>
          <w:rFonts w:ascii="Times New Roman" w:hAnsi="Times New Roman" w:cs="Times New Roman"/>
          <w:sz w:val="24"/>
          <w:szCs w:val="24"/>
          <w:lang w:val="en-US"/>
        </w:rPr>
        <w:t>x</w:t>
      </w:r>
      <w:r w:rsidRPr="00AC1C86">
        <w:rPr>
          <w:rFonts w:ascii="Times New Roman" w:hAnsi="Times New Roman" w:cs="Times New Roman"/>
          <w:sz w:val="24"/>
          <w:szCs w:val="24"/>
          <w:vertAlign w:val="superscript"/>
          <w:lang w:val="en-US"/>
        </w:rPr>
        <w:t>L</w:t>
      </w:r>
      <w:proofErr w:type="spellEnd"/>
      <w:r w:rsidRPr="00AC1C86">
        <w:rPr>
          <w:rFonts w:ascii="Times New Roman" w:hAnsi="Times New Roman" w:cs="Times New Roman"/>
          <w:sz w:val="24"/>
          <w:szCs w:val="24"/>
          <w:lang w:val="en-US"/>
        </w:rPr>
        <w:t>)/R</w:t>
      </w:r>
      <w:r w:rsidRPr="00AC1C86">
        <w:rPr>
          <w:rFonts w:ascii="Times New Roman" w:hAnsi="Times New Roman" w:cs="Times New Roman"/>
          <w:sz w:val="24"/>
          <w:szCs w:val="24"/>
          <w:vertAlign w:val="subscript"/>
          <w:lang w:val="en-US"/>
        </w:rPr>
        <w:t>f</w:t>
      </w:r>
      <w:r w:rsidRPr="00AC1C86">
        <w:rPr>
          <w:rFonts w:ascii="Times New Roman" w:hAnsi="Times New Roman" w:cs="Times New Roman"/>
          <w:sz w:val="24"/>
          <w:szCs w:val="24"/>
          <w:lang w:val="en-US"/>
        </w:rPr>
        <w:t xml:space="preserve"> + </w:t>
      </w:r>
      <w:proofErr w:type="spellStart"/>
      <w:r w:rsidRPr="00AC1C86">
        <w:rPr>
          <w:rFonts w:ascii="Times New Roman" w:hAnsi="Times New Roman" w:cs="Times New Roman"/>
          <w:sz w:val="24"/>
          <w:szCs w:val="24"/>
          <w:lang w:val="en-US"/>
        </w:rPr>
        <w:t>cov</w:t>
      </w:r>
      <w:proofErr w:type="spellEnd"/>
      <w:r w:rsidRPr="00AC1C86">
        <w:rPr>
          <w:rFonts w:ascii="Times New Roman" w:hAnsi="Times New Roman" w:cs="Times New Roman"/>
          <w:sz w:val="24"/>
          <w:szCs w:val="24"/>
          <w:lang w:val="en-US"/>
        </w:rPr>
        <w:t xml:space="preserve">(m, </w:t>
      </w:r>
      <w:proofErr w:type="spellStart"/>
      <w:r w:rsidRPr="00AC1C86">
        <w:rPr>
          <w:rFonts w:ascii="Times New Roman" w:hAnsi="Times New Roman" w:cs="Times New Roman"/>
          <w:sz w:val="24"/>
          <w:szCs w:val="24"/>
          <w:lang w:val="en-US"/>
        </w:rPr>
        <w:t>x</w:t>
      </w:r>
      <w:r w:rsidRPr="00AC1C86">
        <w:rPr>
          <w:rFonts w:ascii="Times New Roman" w:hAnsi="Times New Roman" w:cs="Times New Roman"/>
          <w:sz w:val="24"/>
          <w:szCs w:val="24"/>
          <w:vertAlign w:val="superscript"/>
          <w:lang w:val="en-US"/>
        </w:rPr>
        <w:t>L</w:t>
      </w:r>
      <w:proofErr w:type="spellEnd"/>
      <w:r w:rsidRPr="00AC1C86">
        <w:rPr>
          <w:rFonts w:ascii="Times New Roman" w:hAnsi="Times New Roman" w:cs="Times New Roman"/>
          <w:sz w:val="24"/>
          <w:szCs w:val="24"/>
          <w:lang w:val="en-US"/>
        </w:rPr>
        <w:t>).</w:t>
      </w:r>
      <w:r w:rsidR="001A38A9">
        <w:rPr>
          <w:rFonts w:ascii="Times New Roman" w:hAnsi="Times New Roman" w:cs="Times New Roman"/>
          <w:sz w:val="24"/>
          <w:szCs w:val="24"/>
          <w:lang w:val="en-US"/>
        </w:rPr>
        <w:t xml:space="preserve"> </w:t>
      </w:r>
      <w:r w:rsidR="00C2185D">
        <w:rPr>
          <w:rFonts w:ascii="Times New Roman" w:hAnsi="Times New Roman" w:cs="Times New Roman"/>
          <w:sz w:val="24"/>
          <w:szCs w:val="24"/>
          <w:lang w:val="en-US"/>
        </w:rPr>
        <w:t xml:space="preserve">Without loss of generality, we assume that state realization (H or L) is uncorrelated with the </w:t>
      </w:r>
      <w:r w:rsidR="0084050B">
        <w:rPr>
          <w:rFonts w:ascii="Times New Roman" w:hAnsi="Times New Roman" w:cs="Times New Roman"/>
          <w:sz w:val="24"/>
          <w:szCs w:val="24"/>
          <w:lang w:val="en-US"/>
        </w:rPr>
        <w:t>SDF</w:t>
      </w:r>
      <w:r w:rsidR="00C2185D">
        <w:rPr>
          <w:rFonts w:ascii="Times New Roman" w:hAnsi="Times New Roman" w:cs="Times New Roman"/>
          <w:sz w:val="24"/>
          <w:szCs w:val="24"/>
          <w:lang w:val="en-US"/>
        </w:rPr>
        <w:t xml:space="preserve"> (</w:t>
      </w:r>
      <w:r w:rsidR="0017373E">
        <w:rPr>
          <w:rFonts w:ascii="Times New Roman" w:hAnsi="Times New Roman" w:cs="Times New Roman"/>
          <w:sz w:val="24"/>
          <w:szCs w:val="24"/>
          <w:lang w:val="en-US"/>
        </w:rPr>
        <w:t xml:space="preserve">i.e. </w:t>
      </w:r>
      <w:r w:rsidR="00C2185D">
        <w:rPr>
          <w:rFonts w:ascii="Times New Roman" w:hAnsi="Times New Roman" w:cs="Times New Roman"/>
          <w:sz w:val="24"/>
          <w:szCs w:val="24"/>
          <w:lang w:val="en-US"/>
        </w:rPr>
        <w:t>state realization risk require</w:t>
      </w:r>
      <w:r w:rsidR="00636033">
        <w:rPr>
          <w:rFonts w:ascii="Times New Roman" w:hAnsi="Times New Roman" w:cs="Times New Roman"/>
          <w:sz w:val="24"/>
          <w:szCs w:val="24"/>
          <w:lang w:val="en-US"/>
        </w:rPr>
        <w:t>s no compensation)</w:t>
      </w:r>
      <w:r w:rsidR="00C2185D">
        <w:rPr>
          <w:rFonts w:ascii="Times New Roman" w:hAnsi="Times New Roman" w:cs="Times New Roman"/>
          <w:sz w:val="24"/>
          <w:szCs w:val="24"/>
          <w:lang w:val="en-US"/>
        </w:rPr>
        <w:t xml:space="preserve"> and</w:t>
      </w:r>
      <w:r w:rsidR="00AC4E34">
        <w:rPr>
          <w:rFonts w:ascii="Times New Roman" w:hAnsi="Times New Roman" w:cs="Times New Roman"/>
          <w:sz w:val="24"/>
          <w:szCs w:val="24"/>
          <w:lang w:val="en-US"/>
        </w:rPr>
        <w:t xml:space="preserve"> that the time increment i is negligibl</w:t>
      </w:r>
      <w:r w:rsidR="00C220DA">
        <w:rPr>
          <w:rFonts w:ascii="Times New Roman" w:hAnsi="Times New Roman" w:cs="Times New Roman"/>
          <w:sz w:val="24"/>
          <w:szCs w:val="24"/>
          <w:lang w:val="en-US"/>
        </w:rPr>
        <w:t>y small</w:t>
      </w:r>
      <w:r w:rsidR="00C2185D">
        <w:rPr>
          <w:rFonts w:ascii="Times New Roman" w:hAnsi="Times New Roman" w:cs="Times New Roman"/>
          <w:sz w:val="24"/>
          <w:szCs w:val="24"/>
          <w:lang w:val="en-US"/>
        </w:rPr>
        <w:t xml:space="preserve"> (</w:t>
      </w:r>
      <w:r w:rsidR="0017373E">
        <w:rPr>
          <w:rFonts w:ascii="Times New Roman" w:hAnsi="Times New Roman" w:cs="Times New Roman"/>
          <w:sz w:val="24"/>
          <w:szCs w:val="24"/>
          <w:lang w:val="en-US"/>
        </w:rPr>
        <w:t>i</w:t>
      </w:r>
      <w:r w:rsidR="00636033">
        <w:rPr>
          <w:rFonts w:ascii="Times New Roman" w:hAnsi="Times New Roman" w:cs="Times New Roman"/>
          <w:sz w:val="24"/>
          <w:szCs w:val="24"/>
          <w:lang w:val="en-US"/>
        </w:rPr>
        <w:t>.e.</w:t>
      </w:r>
      <w:r w:rsidR="00BA2B4E">
        <w:rPr>
          <w:rFonts w:ascii="Times New Roman" w:hAnsi="Times New Roman" w:cs="Times New Roman"/>
          <w:sz w:val="24"/>
          <w:szCs w:val="24"/>
          <w:lang w:val="en-US"/>
        </w:rPr>
        <w:t xml:space="preserve"> no</w:t>
      </w:r>
      <w:r w:rsidR="00C2185D">
        <w:rPr>
          <w:rFonts w:ascii="Times New Roman" w:hAnsi="Times New Roman" w:cs="Times New Roman"/>
          <w:sz w:val="24"/>
          <w:szCs w:val="24"/>
          <w:lang w:val="en-US"/>
        </w:rPr>
        <w:t xml:space="preserve"> need to discount P</w:t>
      </w:r>
      <w:r w:rsidR="00C2185D" w:rsidRPr="00BC4278">
        <w:rPr>
          <w:rFonts w:ascii="Times New Roman" w:hAnsi="Times New Roman" w:cs="Times New Roman"/>
          <w:sz w:val="24"/>
          <w:szCs w:val="24"/>
          <w:vertAlign w:val="superscript"/>
          <w:lang w:val="en-US"/>
        </w:rPr>
        <w:t>H</w:t>
      </w:r>
      <w:r w:rsidR="00C2185D">
        <w:rPr>
          <w:rFonts w:ascii="Times New Roman" w:hAnsi="Times New Roman" w:cs="Times New Roman"/>
          <w:sz w:val="24"/>
          <w:szCs w:val="24"/>
          <w:lang w:val="en-US"/>
        </w:rPr>
        <w:t xml:space="preserve"> and P</w:t>
      </w:r>
      <w:r w:rsidR="00C2185D" w:rsidRPr="00BC4278">
        <w:rPr>
          <w:rFonts w:ascii="Times New Roman" w:hAnsi="Times New Roman" w:cs="Times New Roman"/>
          <w:sz w:val="24"/>
          <w:szCs w:val="24"/>
          <w:vertAlign w:val="superscript"/>
          <w:lang w:val="en-US"/>
        </w:rPr>
        <w:t>L</w:t>
      </w:r>
      <w:r w:rsidR="00C2185D">
        <w:rPr>
          <w:rFonts w:ascii="Times New Roman" w:hAnsi="Times New Roman" w:cs="Times New Roman"/>
          <w:sz w:val="24"/>
          <w:szCs w:val="24"/>
          <w:lang w:val="en-US"/>
        </w:rPr>
        <w:t xml:space="preserve"> </w:t>
      </w:r>
      <w:r w:rsidR="00AC4E34">
        <w:rPr>
          <w:rFonts w:ascii="Times New Roman" w:hAnsi="Times New Roman" w:cs="Times New Roman"/>
          <w:sz w:val="24"/>
          <w:szCs w:val="24"/>
          <w:lang w:val="en-US"/>
        </w:rPr>
        <w:t xml:space="preserve">from </w:t>
      </w:r>
      <w:proofErr w:type="spellStart"/>
      <w:r w:rsidR="00AC4E34">
        <w:rPr>
          <w:rFonts w:ascii="Times New Roman" w:hAnsi="Times New Roman" w:cs="Times New Roman"/>
          <w:sz w:val="24"/>
          <w:szCs w:val="24"/>
          <w:lang w:val="en-US"/>
        </w:rPr>
        <w:t>t+i</w:t>
      </w:r>
      <w:proofErr w:type="spellEnd"/>
      <w:r w:rsidR="00AC4E34">
        <w:rPr>
          <w:rFonts w:ascii="Times New Roman" w:hAnsi="Times New Roman" w:cs="Times New Roman"/>
          <w:sz w:val="24"/>
          <w:szCs w:val="24"/>
          <w:lang w:val="en-US"/>
        </w:rPr>
        <w:t xml:space="preserve"> </w:t>
      </w:r>
      <w:r w:rsidR="00C2185D">
        <w:rPr>
          <w:rFonts w:ascii="Times New Roman" w:hAnsi="Times New Roman" w:cs="Times New Roman"/>
          <w:sz w:val="24"/>
          <w:szCs w:val="24"/>
          <w:lang w:val="en-US"/>
        </w:rPr>
        <w:t>to t</w:t>
      </w:r>
      <w:r w:rsidR="00F83C32">
        <w:rPr>
          <w:rFonts w:ascii="Times New Roman" w:hAnsi="Times New Roman" w:cs="Times New Roman"/>
          <w:sz w:val="24"/>
          <w:szCs w:val="24"/>
          <w:lang w:val="en-US"/>
        </w:rPr>
        <w:t>=0</w:t>
      </w:r>
      <w:r w:rsidR="007B7B21">
        <w:rPr>
          <w:rStyle w:val="FootnoteReference"/>
          <w:rFonts w:ascii="Times New Roman" w:hAnsi="Times New Roman" w:cs="Times New Roman"/>
          <w:sz w:val="24"/>
          <w:szCs w:val="24"/>
          <w:lang w:val="en-US"/>
        </w:rPr>
        <w:footnoteReference w:id="6"/>
      </w:r>
      <w:r w:rsidR="00C2185D">
        <w:rPr>
          <w:rFonts w:ascii="Times New Roman" w:hAnsi="Times New Roman" w:cs="Times New Roman"/>
          <w:sz w:val="24"/>
          <w:szCs w:val="24"/>
          <w:lang w:val="en-US"/>
        </w:rPr>
        <w:t xml:space="preserve">). </w:t>
      </w:r>
      <w:r w:rsidR="0040781C">
        <w:rPr>
          <w:rFonts w:ascii="Times New Roman" w:hAnsi="Times New Roman" w:cs="Times New Roman"/>
          <w:sz w:val="24"/>
          <w:szCs w:val="24"/>
          <w:lang w:val="en-US"/>
        </w:rPr>
        <w:t xml:space="preserve">The price of this stock at t=0 </w:t>
      </w:r>
      <w:r w:rsidR="00F83C32">
        <w:rPr>
          <w:rFonts w:ascii="Times New Roman" w:hAnsi="Times New Roman" w:cs="Times New Roman"/>
          <w:sz w:val="24"/>
          <w:szCs w:val="24"/>
          <w:lang w:val="en-US"/>
        </w:rPr>
        <w:t>is</w:t>
      </w:r>
      <w:r w:rsidR="00E508AC">
        <w:rPr>
          <w:rFonts w:ascii="Times New Roman" w:hAnsi="Times New Roman" w:cs="Times New Roman"/>
          <w:sz w:val="24"/>
          <w:szCs w:val="24"/>
          <w:lang w:val="en-US"/>
        </w:rPr>
        <w:t xml:space="preserve"> then</w:t>
      </w:r>
      <w:r w:rsidR="00C2185D">
        <w:rPr>
          <w:rFonts w:ascii="Times New Roman" w:hAnsi="Times New Roman" w:cs="Times New Roman"/>
          <w:sz w:val="24"/>
          <w:szCs w:val="24"/>
          <w:lang w:val="en-US"/>
        </w:rPr>
        <w:t>:</w:t>
      </w:r>
    </w:p>
    <w:p w14:paraId="6F3367AD" w14:textId="77777777" w:rsidR="00C2185D" w:rsidRDefault="00C2185D" w:rsidP="009A7BDC">
      <w:pPr>
        <w:spacing w:after="0" w:line="48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P = P</w:t>
      </w:r>
      <w:r w:rsidRPr="006312C8">
        <w:rPr>
          <w:rFonts w:ascii="Times New Roman" w:hAnsi="Times New Roman" w:cs="Times New Roman"/>
          <w:sz w:val="24"/>
          <w:szCs w:val="24"/>
          <w:vertAlign w:val="superscript"/>
          <w:lang w:val="en-US"/>
        </w:rPr>
        <w:t>H</w:t>
      </w:r>
      <w:r>
        <w:rPr>
          <w:rFonts w:ascii="Times New Roman" w:hAnsi="Times New Roman" w:cs="Times New Roman"/>
          <w:sz w:val="24"/>
          <w:szCs w:val="24"/>
          <w:lang w:val="en-US"/>
        </w:rPr>
        <w:t xml:space="preserve"> * prob + P</w:t>
      </w:r>
      <w:r w:rsidRPr="006312C8">
        <w:rPr>
          <w:rFonts w:ascii="Times New Roman" w:hAnsi="Times New Roman" w:cs="Times New Roman"/>
          <w:sz w:val="24"/>
          <w:szCs w:val="24"/>
          <w:vertAlign w:val="superscript"/>
          <w:lang w:val="en-US"/>
        </w:rPr>
        <w:t>L</w:t>
      </w:r>
      <w:r>
        <w:rPr>
          <w:rFonts w:ascii="Times New Roman" w:hAnsi="Times New Roman" w:cs="Times New Roman"/>
          <w:sz w:val="24"/>
          <w:szCs w:val="24"/>
          <w:lang w:val="en-US"/>
        </w:rPr>
        <w:t xml:space="preserve"> * (1–prob)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(1)</w:t>
      </w:r>
    </w:p>
    <w:p w14:paraId="572FE5DA" w14:textId="3F637A97" w:rsidR="00C2185D" w:rsidRDefault="00C2185D" w:rsidP="009A7BDC">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where 0 &lt; prob &lt; 1</w:t>
      </w:r>
      <w:r>
        <w:rPr>
          <w:rFonts w:ascii="Times New Roman" w:hAnsi="Times New Roman" w:cs="Times New Roman"/>
          <w:sz w:val="24"/>
          <w:szCs w:val="24"/>
          <w:vertAlign w:val="superscript"/>
          <w:lang w:val="en-US"/>
        </w:rPr>
        <w:t xml:space="preserve"> </w:t>
      </w:r>
      <w:r>
        <w:rPr>
          <w:rFonts w:ascii="Times New Roman" w:hAnsi="Times New Roman" w:cs="Times New Roman"/>
          <w:sz w:val="24"/>
          <w:szCs w:val="24"/>
          <w:lang w:val="en-US"/>
        </w:rPr>
        <w:t xml:space="preserve">is the probability of success. </w:t>
      </w:r>
      <w:r w:rsidR="00ED7A1C">
        <w:rPr>
          <w:rFonts w:ascii="Times New Roman" w:hAnsi="Times New Roman" w:cs="Times New Roman"/>
          <w:sz w:val="24"/>
          <w:szCs w:val="24"/>
          <w:lang w:val="en-US"/>
        </w:rPr>
        <w:t>As e</w:t>
      </w:r>
      <w:r>
        <w:rPr>
          <w:rFonts w:ascii="Times New Roman" w:hAnsi="Times New Roman" w:cs="Times New Roman"/>
          <w:sz w:val="24"/>
          <w:szCs w:val="24"/>
          <w:lang w:val="en-US"/>
        </w:rPr>
        <w:t>q</w:t>
      </w:r>
      <w:r w:rsidR="00982A89">
        <w:rPr>
          <w:rFonts w:ascii="Times New Roman" w:hAnsi="Times New Roman" w:cs="Times New Roman"/>
          <w:sz w:val="24"/>
          <w:szCs w:val="24"/>
          <w:lang w:val="en-US"/>
        </w:rPr>
        <w:t>.</w:t>
      </w:r>
      <w:r>
        <w:rPr>
          <w:rFonts w:ascii="Times New Roman" w:hAnsi="Times New Roman" w:cs="Times New Roman"/>
          <w:sz w:val="24"/>
          <w:szCs w:val="24"/>
          <w:lang w:val="en-US"/>
        </w:rPr>
        <w:t xml:space="preserve"> (1) </w:t>
      </w:r>
      <w:r w:rsidR="00ED7A1C">
        <w:rPr>
          <w:rFonts w:ascii="Times New Roman" w:hAnsi="Times New Roman" w:cs="Times New Roman"/>
          <w:sz w:val="24"/>
          <w:szCs w:val="24"/>
          <w:lang w:val="en-US"/>
        </w:rPr>
        <w:t>shows, today’s valuation of the stock derives from</w:t>
      </w:r>
      <w:r w:rsidR="00BD6A52">
        <w:rPr>
          <w:rFonts w:ascii="Times New Roman" w:hAnsi="Times New Roman" w:cs="Times New Roman"/>
          <w:sz w:val="24"/>
          <w:szCs w:val="24"/>
          <w:lang w:val="en-US"/>
        </w:rPr>
        <w:t xml:space="preserve"> the distribution of </w:t>
      </w:r>
      <w:r w:rsidR="004C25DB">
        <w:rPr>
          <w:rFonts w:ascii="Times New Roman" w:hAnsi="Times New Roman" w:cs="Times New Roman"/>
          <w:sz w:val="24"/>
          <w:szCs w:val="24"/>
          <w:lang w:val="en-US"/>
        </w:rPr>
        <w:t>(</w:t>
      </w:r>
      <w:r w:rsidR="00BD6A52">
        <w:rPr>
          <w:rFonts w:ascii="Times New Roman" w:hAnsi="Times New Roman" w:cs="Times New Roman"/>
          <w:sz w:val="24"/>
          <w:szCs w:val="24"/>
          <w:lang w:val="en-US"/>
        </w:rPr>
        <w:t>future</w:t>
      </w:r>
      <w:r w:rsidR="004C25DB">
        <w:rPr>
          <w:rFonts w:ascii="Times New Roman" w:hAnsi="Times New Roman" w:cs="Times New Roman"/>
          <w:sz w:val="24"/>
          <w:szCs w:val="24"/>
          <w:lang w:val="en-US"/>
        </w:rPr>
        <w:t>)</w:t>
      </w:r>
      <w:r w:rsidR="00ED32D1">
        <w:rPr>
          <w:rFonts w:ascii="Times New Roman" w:hAnsi="Times New Roman" w:cs="Times New Roman"/>
          <w:sz w:val="24"/>
          <w:szCs w:val="24"/>
          <w:lang w:val="en-US"/>
        </w:rPr>
        <w:t xml:space="preserve"> state-contingent valu</w:t>
      </w:r>
      <w:r w:rsidR="00BD6A52">
        <w:rPr>
          <w:rFonts w:ascii="Times New Roman" w:hAnsi="Times New Roman" w:cs="Times New Roman"/>
          <w:sz w:val="24"/>
          <w:szCs w:val="24"/>
          <w:lang w:val="en-US"/>
        </w:rPr>
        <w:t>es</w:t>
      </w:r>
      <w:r w:rsidR="00ED32D1">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Pr="002A2BFA">
        <w:rPr>
          <w:rFonts w:ascii="Times New Roman" w:hAnsi="Times New Roman" w:cs="Times New Roman"/>
          <w:sz w:val="24"/>
          <w:szCs w:val="24"/>
          <w:vertAlign w:val="superscript"/>
          <w:lang w:val="en-US"/>
        </w:rPr>
        <w:t>H</w:t>
      </w:r>
      <w:r>
        <w:rPr>
          <w:rFonts w:ascii="Times New Roman" w:hAnsi="Times New Roman" w:cs="Times New Roman"/>
          <w:sz w:val="24"/>
          <w:szCs w:val="24"/>
          <w:lang w:val="en-US"/>
        </w:rPr>
        <w:t xml:space="preserve"> </w:t>
      </w:r>
      <w:r w:rsidR="00865529">
        <w:rPr>
          <w:rFonts w:ascii="Times New Roman" w:hAnsi="Times New Roman" w:cs="Times New Roman"/>
          <w:sz w:val="24"/>
          <w:szCs w:val="24"/>
          <w:lang w:val="en-US"/>
        </w:rPr>
        <w:t>and</w:t>
      </w:r>
      <w:r>
        <w:rPr>
          <w:rFonts w:ascii="Times New Roman" w:hAnsi="Times New Roman" w:cs="Times New Roman"/>
          <w:sz w:val="24"/>
          <w:szCs w:val="24"/>
          <w:lang w:val="en-US"/>
        </w:rPr>
        <w:t xml:space="preserve"> P</w:t>
      </w:r>
      <w:r w:rsidRPr="002A2BFA">
        <w:rPr>
          <w:rFonts w:ascii="Times New Roman" w:hAnsi="Times New Roman" w:cs="Times New Roman"/>
          <w:sz w:val="24"/>
          <w:szCs w:val="24"/>
          <w:vertAlign w:val="superscript"/>
          <w:lang w:val="en-US"/>
        </w:rPr>
        <w:t>L</w:t>
      </w:r>
      <w:r w:rsidR="00ED32D1">
        <w:rPr>
          <w:rFonts w:ascii="Times New Roman" w:hAnsi="Times New Roman" w:cs="Times New Roman"/>
          <w:sz w:val="24"/>
          <w:szCs w:val="24"/>
          <w:lang w:val="en-US"/>
        </w:rPr>
        <w:t xml:space="preserve">. </w:t>
      </w:r>
      <w:r w:rsidR="007F5793">
        <w:rPr>
          <w:rFonts w:ascii="Times New Roman" w:hAnsi="Times New Roman" w:cs="Times New Roman"/>
          <w:sz w:val="24"/>
          <w:szCs w:val="24"/>
          <w:lang w:val="en-US"/>
        </w:rPr>
        <w:t>We</w:t>
      </w:r>
      <w:r>
        <w:rPr>
          <w:rFonts w:ascii="Times New Roman" w:hAnsi="Times New Roman" w:cs="Times New Roman"/>
          <w:sz w:val="24"/>
          <w:szCs w:val="24"/>
          <w:lang w:val="en-US"/>
        </w:rPr>
        <w:t xml:space="preserve"> define valuation uncertainty</w:t>
      </w:r>
      <w:r w:rsidR="0060636E">
        <w:rPr>
          <w:rFonts w:ascii="Times New Roman" w:hAnsi="Times New Roman" w:cs="Times New Roman"/>
          <w:sz w:val="24"/>
          <w:szCs w:val="24"/>
          <w:lang w:val="en-US"/>
        </w:rPr>
        <w:t xml:space="preserve"> (VU)</w:t>
      </w:r>
      <w:r>
        <w:rPr>
          <w:rFonts w:ascii="Times New Roman" w:hAnsi="Times New Roman" w:cs="Times New Roman"/>
          <w:sz w:val="24"/>
          <w:szCs w:val="24"/>
          <w:lang w:val="en-US"/>
        </w:rPr>
        <w:t xml:space="preserve"> </w:t>
      </w:r>
      <w:r w:rsidR="007F5793">
        <w:rPr>
          <w:rFonts w:ascii="Times New Roman" w:hAnsi="Times New Roman" w:cs="Times New Roman"/>
          <w:sz w:val="24"/>
          <w:szCs w:val="24"/>
          <w:lang w:val="en-US"/>
        </w:rPr>
        <w:t>as t</w:t>
      </w:r>
      <w:r>
        <w:rPr>
          <w:rFonts w:ascii="Times New Roman" w:hAnsi="Times New Roman" w:cs="Times New Roman"/>
          <w:sz w:val="24"/>
          <w:szCs w:val="24"/>
          <w:lang w:val="en-US"/>
        </w:rPr>
        <w:t xml:space="preserve">he </w:t>
      </w:r>
      <w:r w:rsidR="00ED32D1">
        <w:rPr>
          <w:rFonts w:ascii="Times New Roman" w:hAnsi="Times New Roman" w:cs="Times New Roman"/>
          <w:sz w:val="24"/>
          <w:szCs w:val="24"/>
          <w:lang w:val="en-US"/>
        </w:rPr>
        <w:t>spread</w:t>
      </w:r>
      <w:r>
        <w:rPr>
          <w:rFonts w:ascii="Times New Roman" w:hAnsi="Times New Roman" w:cs="Times New Roman"/>
          <w:sz w:val="24"/>
          <w:szCs w:val="24"/>
          <w:lang w:val="en-US"/>
        </w:rPr>
        <w:t xml:space="preserve"> </w:t>
      </w:r>
      <w:r w:rsidR="00BD6A52">
        <w:rPr>
          <w:rFonts w:ascii="Times New Roman" w:hAnsi="Times New Roman" w:cs="Times New Roman"/>
          <w:sz w:val="24"/>
          <w:szCs w:val="24"/>
          <w:lang w:val="en-US"/>
        </w:rPr>
        <w:t>of this distribution</w:t>
      </w:r>
      <w:r w:rsidR="00DF6ABD">
        <w:rPr>
          <w:rFonts w:ascii="Times New Roman" w:hAnsi="Times New Roman" w:cs="Times New Roman"/>
          <w:sz w:val="24"/>
          <w:szCs w:val="24"/>
          <w:lang w:val="en-US"/>
        </w:rPr>
        <w:t>:</w:t>
      </w:r>
      <w:r w:rsidR="001A38A9" w:rsidRPr="00AC1C86">
        <w:rPr>
          <w:rStyle w:val="FootnoteReference"/>
          <w:rFonts w:ascii="Times New Roman" w:hAnsi="Times New Roman" w:cs="Times New Roman"/>
          <w:sz w:val="24"/>
          <w:szCs w:val="24"/>
          <w:lang w:val="en-US"/>
        </w:rPr>
        <w:footnoteReference w:id="7"/>
      </w:r>
    </w:p>
    <w:p w14:paraId="6B2344DB" w14:textId="2BBB9DBD" w:rsidR="00C2185D" w:rsidRPr="00AB1B01" w:rsidRDefault="00C2185D" w:rsidP="009A7BDC">
      <w:pPr>
        <w:spacing w:after="0" w:line="48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VU = P</w:t>
      </w:r>
      <w:r w:rsidRPr="00412217">
        <w:rPr>
          <w:rFonts w:ascii="Times New Roman" w:hAnsi="Times New Roman" w:cs="Times New Roman"/>
          <w:sz w:val="24"/>
          <w:szCs w:val="24"/>
          <w:vertAlign w:val="superscript"/>
          <w:lang w:val="en-US"/>
        </w:rPr>
        <w:t>H</w:t>
      </w:r>
      <w:r>
        <w:rPr>
          <w:rFonts w:ascii="Times New Roman" w:hAnsi="Times New Roman" w:cs="Times New Roman"/>
          <w:sz w:val="24"/>
          <w:szCs w:val="24"/>
          <w:lang w:val="en-US"/>
        </w:rPr>
        <w:t xml:space="preserve"> – P</w:t>
      </w:r>
      <w:r w:rsidRPr="00412217">
        <w:rPr>
          <w:rFonts w:ascii="Times New Roman" w:hAnsi="Times New Roman" w:cs="Times New Roman"/>
          <w:sz w:val="24"/>
          <w:szCs w:val="24"/>
          <w:vertAlign w:val="superscript"/>
          <w:lang w:val="en-US"/>
        </w:rPr>
        <w:t>L</w:t>
      </w:r>
      <w:r>
        <w:rPr>
          <w:rFonts w:ascii="Times New Roman" w:hAnsi="Times New Roman" w:cs="Times New Roman"/>
          <w:sz w:val="24"/>
          <w:szCs w:val="24"/>
          <w:lang w:val="en-US"/>
        </w:rPr>
        <w:t xml:space="preserve"> </w:t>
      </w:r>
      <w:r w:rsidR="0017373E">
        <w:rPr>
          <w:rFonts w:ascii="Times New Roman" w:hAnsi="Times New Roman" w:cs="Times New Roman"/>
          <w:sz w:val="24"/>
          <w:szCs w:val="24"/>
          <w:lang w:val="en-US"/>
        </w:rPr>
        <w:t>= [E(</w:t>
      </w:r>
      <w:proofErr w:type="spellStart"/>
      <w:r w:rsidR="0017373E">
        <w:rPr>
          <w:rFonts w:ascii="Times New Roman" w:hAnsi="Times New Roman" w:cs="Times New Roman"/>
          <w:sz w:val="24"/>
          <w:szCs w:val="24"/>
          <w:lang w:val="en-US"/>
        </w:rPr>
        <w:t>x</w:t>
      </w:r>
      <w:r w:rsidR="0017373E" w:rsidRPr="002351A3">
        <w:rPr>
          <w:rFonts w:ascii="Times New Roman" w:hAnsi="Times New Roman" w:cs="Times New Roman"/>
          <w:sz w:val="24"/>
          <w:szCs w:val="24"/>
          <w:vertAlign w:val="superscript"/>
          <w:lang w:val="en-US"/>
        </w:rPr>
        <w:t>H</w:t>
      </w:r>
      <w:proofErr w:type="spellEnd"/>
      <w:r w:rsidR="0017373E">
        <w:rPr>
          <w:rFonts w:ascii="Times New Roman" w:hAnsi="Times New Roman" w:cs="Times New Roman"/>
          <w:sz w:val="24"/>
          <w:szCs w:val="24"/>
          <w:lang w:val="en-US"/>
        </w:rPr>
        <w:t>)/R</w:t>
      </w:r>
      <w:r w:rsidR="0017373E" w:rsidRPr="005D5171">
        <w:rPr>
          <w:rFonts w:ascii="Times New Roman" w:hAnsi="Times New Roman" w:cs="Times New Roman"/>
          <w:sz w:val="24"/>
          <w:szCs w:val="24"/>
          <w:vertAlign w:val="subscript"/>
          <w:lang w:val="en-US"/>
        </w:rPr>
        <w:t>f</w:t>
      </w:r>
      <w:r w:rsidR="0017373E">
        <w:rPr>
          <w:rFonts w:ascii="Times New Roman" w:hAnsi="Times New Roman" w:cs="Times New Roman"/>
          <w:sz w:val="24"/>
          <w:szCs w:val="24"/>
          <w:lang w:val="en-US"/>
        </w:rPr>
        <w:t xml:space="preserve"> + </w:t>
      </w:r>
      <w:proofErr w:type="spellStart"/>
      <w:r w:rsidR="0017373E">
        <w:rPr>
          <w:rFonts w:ascii="Times New Roman" w:hAnsi="Times New Roman" w:cs="Times New Roman"/>
          <w:sz w:val="24"/>
          <w:szCs w:val="24"/>
          <w:lang w:val="en-US"/>
        </w:rPr>
        <w:t>cov</w:t>
      </w:r>
      <w:proofErr w:type="spellEnd"/>
      <w:r w:rsidR="0017373E">
        <w:rPr>
          <w:rFonts w:ascii="Times New Roman" w:hAnsi="Times New Roman" w:cs="Times New Roman"/>
          <w:sz w:val="24"/>
          <w:szCs w:val="24"/>
          <w:lang w:val="en-US"/>
        </w:rPr>
        <w:t xml:space="preserve">(m, </w:t>
      </w:r>
      <w:proofErr w:type="spellStart"/>
      <w:r w:rsidR="0017373E">
        <w:rPr>
          <w:rFonts w:ascii="Times New Roman" w:hAnsi="Times New Roman" w:cs="Times New Roman"/>
          <w:sz w:val="24"/>
          <w:szCs w:val="24"/>
          <w:lang w:val="en-US"/>
        </w:rPr>
        <w:t>x</w:t>
      </w:r>
      <w:r w:rsidR="0017373E" w:rsidRPr="002351A3">
        <w:rPr>
          <w:rFonts w:ascii="Times New Roman" w:hAnsi="Times New Roman" w:cs="Times New Roman"/>
          <w:sz w:val="24"/>
          <w:szCs w:val="24"/>
          <w:vertAlign w:val="superscript"/>
          <w:lang w:val="en-US"/>
        </w:rPr>
        <w:t>H</w:t>
      </w:r>
      <w:proofErr w:type="spellEnd"/>
      <w:r w:rsidR="0017373E">
        <w:rPr>
          <w:rFonts w:ascii="Times New Roman" w:hAnsi="Times New Roman" w:cs="Times New Roman"/>
          <w:sz w:val="24"/>
          <w:szCs w:val="24"/>
          <w:lang w:val="en-US"/>
        </w:rPr>
        <w:t>)] – [E(</w:t>
      </w:r>
      <w:proofErr w:type="spellStart"/>
      <w:r w:rsidR="0017373E">
        <w:rPr>
          <w:rFonts w:ascii="Times New Roman" w:hAnsi="Times New Roman" w:cs="Times New Roman"/>
          <w:sz w:val="24"/>
          <w:szCs w:val="24"/>
          <w:lang w:val="en-US"/>
        </w:rPr>
        <w:t>x</w:t>
      </w:r>
      <w:r w:rsidR="0017373E">
        <w:rPr>
          <w:rFonts w:ascii="Times New Roman" w:hAnsi="Times New Roman" w:cs="Times New Roman"/>
          <w:sz w:val="24"/>
          <w:szCs w:val="24"/>
          <w:vertAlign w:val="superscript"/>
          <w:lang w:val="en-US"/>
        </w:rPr>
        <w:t>L</w:t>
      </w:r>
      <w:proofErr w:type="spellEnd"/>
      <w:r w:rsidR="0017373E">
        <w:rPr>
          <w:rFonts w:ascii="Times New Roman" w:hAnsi="Times New Roman" w:cs="Times New Roman"/>
          <w:sz w:val="24"/>
          <w:szCs w:val="24"/>
          <w:lang w:val="en-US"/>
        </w:rPr>
        <w:t>)/R</w:t>
      </w:r>
      <w:r w:rsidR="0017373E" w:rsidRPr="005D5171">
        <w:rPr>
          <w:rFonts w:ascii="Times New Roman" w:hAnsi="Times New Roman" w:cs="Times New Roman"/>
          <w:sz w:val="24"/>
          <w:szCs w:val="24"/>
          <w:vertAlign w:val="subscript"/>
          <w:lang w:val="en-US"/>
        </w:rPr>
        <w:t>f</w:t>
      </w:r>
      <w:r w:rsidR="0017373E">
        <w:rPr>
          <w:rFonts w:ascii="Times New Roman" w:hAnsi="Times New Roman" w:cs="Times New Roman"/>
          <w:sz w:val="24"/>
          <w:szCs w:val="24"/>
          <w:lang w:val="en-US"/>
        </w:rPr>
        <w:t xml:space="preserve"> + </w:t>
      </w:r>
      <w:proofErr w:type="spellStart"/>
      <w:r w:rsidR="0017373E">
        <w:rPr>
          <w:rFonts w:ascii="Times New Roman" w:hAnsi="Times New Roman" w:cs="Times New Roman"/>
          <w:sz w:val="24"/>
          <w:szCs w:val="24"/>
          <w:lang w:val="en-US"/>
        </w:rPr>
        <w:t>cov</w:t>
      </w:r>
      <w:proofErr w:type="spellEnd"/>
      <w:r w:rsidR="0017373E">
        <w:rPr>
          <w:rFonts w:ascii="Times New Roman" w:hAnsi="Times New Roman" w:cs="Times New Roman"/>
          <w:sz w:val="24"/>
          <w:szCs w:val="24"/>
          <w:lang w:val="en-US"/>
        </w:rPr>
        <w:t xml:space="preserve">(m, </w:t>
      </w:r>
      <w:proofErr w:type="spellStart"/>
      <w:r w:rsidR="0017373E">
        <w:rPr>
          <w:rFonts w:ascii="Times New Roman" w:hAnsi="Times New Roman" w:cs="Times New Roman"/>
          <w:sz w:val="24"/>
          <w:szCs w:val="24"/>
          <w:lang w:val="en-US"/>
        </w:rPr>
        <w:t>x</w:t>
      </w:r>
      <w:r w:rsidR="0017373E">
        <w:rPr>
          <w:rFonts w:ascii="Times New Roman" w:hAnsi="Times New Roman" w:cs="Times New Roman"/>
          <w:sz w:val="24"/>
          <w:szCs w:val="24"/>
          <w:vertAlign w:val="superscript"/>
          <w:lang w:val="en-US"/>
        </w:rPr>
        <w:t>L</w:t>
      </w:r>
      <w:proofErr w:type="spellEnd"/>
      <w:r w:rsidR="0017373E">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lang w:val="en-US"/>
        </w:rPr>
        <w:tab/>
      </w:r>
      <w:r w:rsidR="0017373E">
        <w:rPr>
          <w:rFonts w:ascii="Times New Roman" w:hAnsi="Times New Roman" w:cs="Times New Roman"/>
          <w:sz w:val="24"/>
          <w:szCs w:val="24"/>
          <w:lang w:val="en-US"/>
        </w:rPr>
        <w:t xml:space="preserve">        </w:t>
      </w:r>
      <w:r>
        <w:rPr>
          <w:rFonts w:ascii="Times New Roman" w:hAnsi="Times New Roman" w:cs="Times New Roman"/>
          <w:sz w:val="24"/>
          <w:szCs w:val="24"/>
          <w:lang w:val="en-US"/>
        </w:rPr>
        <w:t>(2)</w:t>
      </w:r>
    </w:p>
    <w:p w14:paraId="3FA658B1" w14:textId="154502D4" w:rsidR="00C2185D" w:rsidRPr="006E43D6" w:rsidRDefault="00C2185D" w:rsidP="009A7BDC">
      <w:pPr>
        <w:spacing w:after="0" w:line="480" w:lineRule="auto"/>
        <w:jc w:val="right"/>
        <w:rPr>
          <w:rFonts w:ascii="Times New Roman" w:hAnsi="Times New Roman" w:cs="Times New Roman"/>
          <w:sz w:val="24"/>
          <w:szCs w:val="24"/>
          <w:lang w:val="en-US"/>
        </w:rPr>
      </w:pPr>
      <w:r w:rsidRPr="006E43D6">
        <w:rPr>
          <w:rFonts w:ascii="Times New Roman" w:hAnsi="Times New Roman" w:cs="Times New Roman"/>
          <w:sz w:val="24"/>
          <w:szCs w:val="24"/>
          <w:lang w:val="en-US"/>
        </w:rPr>
        <w:t>VU = 1/R</w:t>
      </w:r>
      <w:r w:rsidRPr="006E43D6">
        <w:rPr>
          <w:rFonts w:ascii="Times New Roman" w:hAnsi="Times New Roman" w:cs="Times New Roman"/>
          <w:sz w:val="24"/>
          <w:szCs w:val="24"/>
          <w:vertAlign w:val="subscript"/>
          <w:lang w:val="en-US"/>
        </w:rPr>
        <w:t>f</w:t>
      </w:r>
      <w:r w:rsidRPr="006E43D6">
        <w:rPr>
          <w:rFonts w:ascii="Times New Roman" w:hAnsi="Times New Roman" w:cs="Times New Roman"/>
          <w:sz w:val="24"/>
          <w:szCs w:val="24"/>
          <w:lang w:val="en-US"/>
        </w:rPr>
        <w:t xml:space="preserve"> * </w:t>
      </w:r>
      <w:r>
        <w:rPr>
          <w:rFonts w:ascii="Times New Roman" w:hAnsi="Times New Roman" w:cs="Times New Roman"/>
          <w:sz w:val="24"/>
          <w:szCs w:val="24"/>
          <w:lang w:val="en-US"/>
        </w:rPr>
        <w:t>[</w:t>
      </w:r>
      <w:r w:rsidRPr="006E43D6">
        <w:rPr>
          <w:rFonts w:ascii="Times New Roman" w:hAnsi="Times New Roman" w:cs="Times New Roman"/>
          <w:sz w:val="24"/>
          <w:szCs w:val="24"/>
          <w:lang w:val="en-US"/>
        </w:rPr>
        <w:t>E(</w:t>
      </w:r>
      <w:proofErr w:type="spellStart"/>
      <w:r w:rsidRPr="006E43D6">
        <w:rPr>
          <w:rFonts w:ascii="Times New Roman" w:hAnsi="Times New Roman" w:cs="Times New Roman"/>
          <w:sz w:val="24"/>
          <w:szCs w:val="24"/>
          <w:lang w:val="en-US"/>
        </w:rPr>
        <w:t>x</w:t>
      </w:r>
      <w:r w:rsidRPr="006E43D6">
        <w:rPr>
          <w:rFonts w:ascii="Times New Roman" w:hAnsi="Times New Roman" w:cs="Times New Roman"/>
          <w:sz w:val="24"/>
          <w:szCs w:val="24"/>
          <w:vertAlign w:val="superscript"/>
          <w:lang w:val="en-US"/>
        </w:rPr>
        <w:t>H</w:t>
      </w:r>
      <w:proofErr w:type="spellEnd"/>
      <w:r w:rsidRPr="006E43D6">
        <w:rPr>
          <w:rFonts w:ascii="Times New Roman" w:hAnsi="Times New Roman" w:cs="Times New Roman"/>
          <w:sz w:val="24"/>
          <w:szCs w:val="24"/>
          <w:lang w:val="en-US"/>
        </w:rPr>
        <w:t>) – E(</w:t>
      </w:r>
      <w:proofErr w:type="spellStart"/>
      <w:r w:rsidRPr="006E43D6">
        <w:rPr>
          <w:rFonts w:ascii="Times New Roman" w:hAnsi="Times New Roman" w:cs="Times New Roman"/>
          <w:sz w:val="24"/>
          <w:szCs w:val="24"/>
          <w:lang w:val="en-US"/>
        </w:rPr>
        <w:t>x</w:t>
      </w:r>
      <w:r w:rsidRPr="006E43D6">
        <w:rPr>
          <w:rFonts w:ascii="Times New Roman" w:hAnsi="Times New Roman" w:cs="Times New Roman"/>
          <w:sz w:val="24"/>
          <w:szCs w:val="24"/>
          <w:vertAlign w:val="superscript"/>
          <w:lang w:val="en-US"/>
        </w:rPr>
        <w:t>L</w:t>
      </w:r>
      <w:proofErr w:type="spellEnd"/>
      <w:r w:rsidRPr="006E43D6">
        <w:rPr>
          <w:rFonts w:ascii="Times New Roman" w:hAnsi="Times New Roman" w:cs="Times New Roman"/>
          <w:sz w:val="24"/>
          <w:szCs w:val="24"/>
          <w:lang w:val="en-US"/>
        </w:rPr>
        <w:t>)</w:t>
      </w:r>
      <w:r>
        <w:rPr>
          <w:rFonts w:ascii="Times New Roman" w:hAnsi="Times New Roman" w:cs="Times New Roman"/>
          <w:sz w:val="24"/>
          <w:szCs w:val="24"/>
          <w:lang w:val="en-US"/>
        </w:rPr>
        <w:t>]</w:t>
      </w:r>
      <w:r w:rsidRPr="006E43D6">
        <w:rPr>
          <w:rFonts w:ascii="Times New Roman" w:hAnsi="Times New Roman" w:cs="Times New Roman"/>
          <w:sz w:val="24"/>
          <w:szCs w:val="24"/>
          <w:lang w:val="en-US"/>
        </w:rPr>
        <w:t xml:space="preserve"> + </w:t>
      </w:r>
      <w:r>
        <w:rPr>
          <w:rFonts w:ascii="Times New Roman" w:hAnsi="Times New Roman" w:cs="Times New Roman"/>
          <w:sz w:val="24"/>
          <w:szCs w:val="24"/>
          <w:lang w:val="en-US"/>
        </w:rPr>
        <w:t>[</w:t>
      </w:r>
      <w:proofErr w:type="spellStart"/>
      <w:r w:rsidRPr="006E43D6">
        <w:rPr>
          <w:rFonts w:ascii="Times New Roman" w:hAnsi="Times New Roman" w:cs="Times New Roman"/>
          <w:sz w:val="24"/>
          <w:szCs w:val="24"/>
          <w:lang w:val="en-US"/>
        </w:rPr>
        <w:t>cov</w:t>
      </w:r>
      <w:proofErr w:type="spellEnd"/>
      <w:r w:rsidRPr="006E43D6">
        <w:rPr>
          <w:rFonts w:ascii="Times New Roman" w:hAnsi="Times New Roman" w:cs="Times New Roman"/>
          <w:sz w:val="24"/>
          <w:szCs w:val="24"/>
          <w:lang w:val="en-US"/>
        </w:rPr>
        <w:t xml:space="preserve">(m, </w:t>
      </w:r>
      <w:proofErr w:type="spellStart"/>
      <w:r w:rsidRPr="006E43D6">
        <w:rPr>
          <w:rFonts w:ascii="Times New Roman" w:hAnsi="Times New Roman" w:cs="Times New Roman"/>
          <w:sz w:val="24"/>
          <w:szCs w:val="24"/>
          <w:lang w:val="en-US"/>
        </w:rPr>
        <w:t>x</w:t>
      </w:r>
      <w:r w:rsidRPr="006E43D6">
        <w:rPr>
          <w:rFonts w:ascii="Times New Roman" w:hAnsi="Times New Roman" w:cs="Times New Roman"/>
          <w:sz w:val="24"/>
          <w:szCs w:val="24"/>
          <w:vertAlign w:val="superscript"/>
          <w:lang w:val="en-US"/>
        </w:rPr>
        <w:t>H</w:t>
      </w:r>
      <w:proofErr w:type="spellEnd"/>
      <w:r w:rsidRPr="006E43D6">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6E43D6">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cov</w:t>
      </w:r>
      <w:proofErr w:type="spellEnd"/>
      <w:r>
        <w:rPr>
          <w:rFonts w:ascii="Times New Roman" w:hAnsi="Times New Roman" w:cs="Times New Roman"/>
          <w:sz w:val="24"/>
          <w:szCs w:val="24"/>
          <w:lang w:val="en-US"/>
        </w:rPr>
        <w:t xml:space="preserve">(m, </w:t>
      </w:r>
      <w:proofErr w:type="spellStart"/>
      <w:r>
        <w:rPr>
          <w:rFonts w:ascii="Times New Roman" w:hAnsi="Times New Roman" w:cs="Times New Roman"/>
          <w:sz w:val="24"/>
          <w:szCs w:val="24"/>
          <w:lang w:val="en-US"/>
        </w:rPr>
        <w:t>x</w:t>
      </w:r>
      <w:r>
        <w:rPr>
          <w:rFonts w:ascii="Times New Roman" w:hAnsi="Times New Roman" w:cs="Times New Roman"/>
          <w:sz w:val="24"/>
          <w:szCs w:val="24"/>
          <w:vertAlign w:val="superscript"/>
          <w:lang w:val="en-US"/>
        </w:rPr>
        <w:t>L</w:t>
      </w:r>
      <w:proofErr w:type="spellEnd"/>
      <w:r>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w:t>
      </w:r>
      <w:r w:rsidR="0017373E">
        <w:rPr>
          <w:rFonts w:ascii="Times New Roman" w:hAnsi="Times New Roman" w:cs="Times New Roman"/>
          <w:sz w:val="24"/>
          <w:szCs w:val="24"/>
          <w:lang w:val="en-US"/>
        </w:rPr>
        <w:t>3</w:t>
      </w:r>
      <w:r>
        <w:rPr>
          <w:rFonts w:ascii="Times New Roman" w:hAnsi="Times New Roman" w:cs="Times New Roman"/>
          <w:sz w:val="24"/>
          <w:szCs w:val="24"/>
          <w:lang w:val="en-US"/>
        </w:rPr>
        <w:t>)</w:t>
      </w:r>
    </w:p>
    <w:p w14:paraId="6679B7D5" w14:textId="13D79899" w:rsidR="00794B7C" w:rsidRDefault="00C2185D" w:rsidP="009A7BDC">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Eq</w:t>
      </w:r>
      <w:r w:rsidR="000F295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17373E">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783B7E">
        <w:rPr>
          <w:rFonts w:ascii="Times New Roman" w:hAnsi="Times New Roman" w:cs="Times New Roman"/>
          <w:sz w:val="24"/>
          <w:szCs w:val="24"/>
          <w:lang w:val="en-US"/>
        </w:rPr>
        <w:t>show</w:t>
      </w:r>
      <w:r w:rsidR="00ED7A1C">
        <w:rPr>
          <w:rFonts w:ascii="Times New Roman" w:hAnsi="Times New Roman" w:cs="Times New Roman"/>
          <w:sz w:val="24"/>
          <w:szCs w:val="24"/>
          <w:lang w:val="en-US"/>
        </w:rPr>
        <w:t>s</w:t>
      </w:r>
      <w:r w:rsidR="00783B7E">
        <w:rPr>
          <w:rFonts w:ascii="Times New Roman" w:hAnsi="Times New Roman" w:cs="Times New Roman"/>
          <w:sz w:val="24"/>
          <w:szCs w:val="24"/>
          <w:lang w:val="en-US"/>
        </w:rPr>
        <w:t xml:space="preserve"> that</w:t>
      </w:r>
      <w:r w:rsidR="00DE46C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valuation uncertainty </w:t>
      </w:r>
      <w:r w:rsidR="00AF11B9">
        <w:rPr>
          <w:rFonts w:ascii="Times New Roman" w:hAnsi="Times New Roman" w:cs="Times New Roman"/>
          <w:sz w:val="24"/>
          <w:szCs w:val="24"/>
          <w:lang w:val="en-US"/>
        </w:rPr>
        <w:t>rises with</w:t>
      </w:r>
      <w:r w:rsidR="00783B7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uncertainty about </w:t>
      </w:r>
      <w:r w:rsidR="005C157A">
        <w:rPr>
          <w:rFonts w:ascii="Times New Roman" w:hAnsi="Times New Roman" w:cs="Times New Roman"/>
          <w:sz w:val="24"/>
          <w:szCs w:val="24"/>
          <w:lang w:val="en-US"/>
        </w:rPr>
        <w:t>future cash flows</w:t>
      </w:r>
      <w:r w:rsidR="001C4D5B">
        <w:rPr>
          <w:rFonts w:ascii="Times New Roman" w:hAnsi="Times New Roman" w:cs="Times New Roman"/>
          <w:sz w:val="24"/>
          <w:szCs w:val="24"/>
          <w:lang w:val="en-US"/>
        </w:rPr>
        <w:t xml:space="preserve"> </w:t>
      </w:r>
      <w:r w:rsidR="00783B7E">
        <w:rPr>
          <w:rFonts w:ascii="Times New Roman" w:hAnsi="Times New Roman" w:cs="Times New Roman"/>
          <w:sz w:val="24"/>
          <w:szCs w:val="24"/>
          <w:lang w:val="en-US"/>
        </w:rPr>
        <w:t>(</w:t>
      </w:r>
      <w:r w:rsidR="005C157A">
        <w:rPr>
          <w:rFonts w:ascii="Times New Roman" w:hAnsi="Times New Roman" w:cs="Times New Roman"/>
          <w:sz w:val="24"/>
          <w:szCs w:val="24"/>
          <w:lang w:val="en-US"/>
        </w:rPr>
        <w:t xml:space="preserve">how much </w:t>
      </w:r>
      <w:r>
        <w:rPr>
          <w:rFonts w:ascii="Times New Roman" w:hAnsi="Times New Roman" w:cs="Times New Roman"/>
          <w:sz w:val="24"/>
          <w:szCs w:val="24"/>
          <w:lang w:val="en-US"/>
        </w:rPr>
        <w:t>E(</w:t>
      </w:r>
      <w:proofErr w:type="spellStart"/>
      <w:r>
        <w:rPr>
          <w:rFonts w:ascii="Times New Roman" w:hAnsi="Times New Roman" w:cs="Times New Roman"/>
          <w:sz w:val="24"/>
          <w:szCs w:val="24"/>
          <w:lang w:val="en-US"/>
        </w:rPr>
        <w:t>x</w:t>
      </w:r>
      <w:r w:rsidRPr="00E55201">
        <w:rPr>
          <w:rFonts w:ascii="Times New Roman" w:hAnsi="Times New Roman" w:cs="Times New Roman"/>
          <w:sz w:val="24"/>
          <w:szCs w:val="24"/>
          <w:vertAlign w:val="superscript"/>
          <w:lang w:val="en-US"/>
        </w:rPr>
        <w:t>H</w:t>
      </w:r>
      <w:proofErr w:type="spellEnd"/>
      <w:r>
        <w:rPr>
          <w:rFonts w:ascii="Times New Roman" w:hAnsi="Times New Roman" w:cs="Times New Roman"/>
          <w:sz w:val="24"/>
          <w:szCs w:val="24"/>
          <w:lang w:val="en-US"/>
        </w:rPr>
        <w:t xml:space="preserve">) </w:t>
      </w:r>
      <w:r w:rsidR="005C157A">
        <w:rPr>
          <w:rFonts w:ascii="Times New Roman" w:hAnsi="Times New Roman" w:cs="Times New Roman"/>
          <w:sz w:val="24"/>
          <w:szCs w:val="24"/>
          <w:lang w:val="en-US"/>
        </w:rPr>
        <w:t>differs from</w:t>
      </w:r>
      <w:r>
        <w:rPr>
          <w:rFonts w:ascii="Times New Roman" w:hAnsi="Times New Roman" w:cs="Times New Roman"/>
          <w:sz w:val="24"/>
          <w:szCs w:val="24"/>
          <w:lang w:val="en-US"/>
        </w:rPr>
        <w:t xml:space="preserve"> E(</w:t>
      </w:r>
      <w:proofErr w:type="spellStart"/>
      <w:r>
        <w:rPr>
          <w:rFonts w:ascii="Times New Roman" w:hAnsi="Times New Roman" w:cs="Times New Roman"/>
          <w:sz w:val="24"/>
          <w:szCs w:val="24"/>
          <w:lang w:val="en-US"/>
        </w:rPr>
        <w:t>x</w:t>
      </w:r>
      <w:r w:rsidRPr="00E55201">
        <w:rPr>
          <w:rFonts w:ascii="Times New Roman" w:hAnsi="Times New Roman" w:cs="Times New Roman"/>
          <w:sz w:val="24"/>
          <w:szCs w:val="24"/>
          <w:vertAlign w:val="superscript"/>
          <w:lang w:val="en-US"/>
        </w:rPr>
        <w:t>L</w:t>
      </w:r>
      <w:proofErr w:type="spellEnd"/>
      <w:r>
        <w:rPr>
          <w:rFonts w:ascii="Times New Roman" w:hAnsi="Times New Roman" w:cs="Times New Roman"/>
          <w:sz w:val="24"/>
          <w:szCs w:val="24"/>
          <w:lang w:val="en-US"/>
        </w:rPr>
        <w:t>)</w:t>
      </w:r>
      <w:r w:rsidR="00783B7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C157A">
        <w:rPr>
          <w:rFonts w:ascii="Times New Roman" w:hAnsi="Times New Roman" w:cs="Times New Roman"/>
          <w:sz w:val="24"/>
          <w:szCs w:val="24"/>
          <w:lang w:val="en-US"/>
        </w:rPr>
        <w:t>and</w:t>
      </w:r>
      <w:r w:rsidR="00DE46CB">
        <w:rPr>
          <w:rFonts w:ascii="Times New Roman" w:hAnsi="Times New Roman" w:cs="Times New Roman"/>
          <w:sz w:val="24"/>
          <w:szCs w:val="24"/>
          <w:lang w:val="en-US"/>
        </w:rPr>
        <w:t xml:space="preserve"> </w:t>
      </w:r>
      <w:r>
        <w:rPr>
          <w:rFonts w:ascii="Times New Roman" w:hAnsi="Times New Roman" w:cs="Times New Roman"/>
          <w:sz w:val="24"/>
          <w:szCs w:val="24"/>
          <w:lang w:val="en-US"/>
        </w:rPr>
        <w:t>discount rate</w:t>
      </w:r>
      <w:r w:rsidR="005C157A">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783B7E">
        <w:rPr>
          <w:rFonts w:ascii="Times New Roman" w:hAnsi="Times New Roman" w:cs="Times New Roman"/>
          <w:sz w:val="24"/>
          <w:szCs w:val="24"/>
          <w:lang w:val="en-US"/>
        </w:rPr>
        <w:t>(how much</w:t>
      </w:r>
      <w:r w:rsidR="005C157A">
        <w:rPr>
          <w:rFonts w:ascii="Times New Roman" w:hAnsi="Times New Roman" w:cs="Times New Roman"/>
          <w:sz w:val="24"/>
          <w:szCs w:val="24"/>
          <w:lang w:val="en-US"/>
        </w:rPr>
        <w:t xml:space="preserve"> </w:t>
      </w:r>
      <w:proofErr w:type="spellStart"/>
      <w:r w:rsidR="007F5793" w:rsidRPr="006E43D6">
        <w:rPr>
          <w:rFonts w:ascii="Times New Roman" w:hAnsi="Times New Roman" w:cs="Times New Roman"/>
          <w:sz w:val="24"/>
          <w:szCs w:val="24"/>
          <w:lang w:val="en-US"/>
        </w:rPr>
        <w:t>cov</w:t>
      </w:r>
      <w:proofErr w:type="spellEnd"/>
      <w:r w:rsidR="007F5793" w:rsidRPr="006E43D6">
        <w:rPr>
          <w:rFonts w:ascii="Times New Roman" w:hAnsi="Times New Roman" w:cs="Times New Roman"/>
          <w:sz w:val="24"/>
          <w:szCs w:val="24"/>
          <w:lang w:val="en-US"/>
        </w:rPr>
        <w:t xml:space="preserve">(m, </w:t>
      </w:r>
      <w:proofErr w:type="spellStart"/>
      <w:r w:rsidR="007F5793" w:rsidRPr="006E43D6">
        <w:rPr>
          <w:rFonts w:ascii="Times New Roman" w:hAnsi="Times New Roman" w:cs="Times New Roman"/>
          <w:sz w:val="24"/>
          <w:szCs w:val="24"/>
          <w:lang w:val="en-US"/>
        </w:rPr>
        <w:t>x</w:t>
      </w:r>
      <w:r w:rsidR="007F5793" w:rsidRPr="006E43D6">
        <w:rPr>
          <w:rFonts w:ascii="Times New Roman" w:hAnsi="Times New Roman" w:cs="Times New Roman"/>
          <w:sz w:val="24"/>
          <w:szCs w:val="24"/>
          <w:vertAlign w:val="superscript"/>
          <w:lang w:val="en-US"/>
        </w:rPr>
        <w:t>H</w:t>
      </w:r>
      <w:proofErr w:type="spellEnd"/>
      <w:r w:rsidR="007F5793" w:rsidRPr="006E43D6">
        <w:rPr>
          <w:rFonts w:ascii="Times New Roman" w:hAnsi="Times New Roman" w:cs="Times New Roman"/>
          <w:sz w:val="24"/>
          <w:szCs w:val="24"/>
          <w:lang w:val="en-US"/>
        </w:rPr>
        <w:t>)</w:t>
      </w:r>
      <w:r w:rsidR="005C157A">
        <w:rPr>
          <w:rFonts w:ascii="Times New Roman" w:hAnsi="Times New Roman" w:cs="Times New Roman"/>
          <w:sz w:val="24"/>
          <w:szCs w:val="24"/>
          <w:lang w:val="en-US"/>
        </w:rPr>
        <w:t xml:space="preserve"> </w:t>
      </w:r>
      <w:r w:rsidR="00783B7E">
        <w:rPr>
          <w:rFonts w:ascii="Times New Roman" w:hAnsi="Times New Roman" w:cs="Times New Roman"/>
          <w:sz w:val="24"/>
          <w:szCs w:val="24"/>
          <w:lang w:val="en-US"/>
        </w:rPr>
        <w:t>differs from</w:t>
      </w:r>
      <w:r w:rsidR="007F5793" w:rsidRPr="006E43D6">
        <w:rPr>
          <w:rFonts w:ascii="Times New Roman" w:hAnsi="Times New Roman" w:cs="Times New Roman"/>
          <w:sz w:val="24"/>
          <w:szCs w:val="24"/>
          <w:lang w:val="en-US"/>
        </w:rPr>
        <w:t xml:space="preserve"> </w:t>
      </w:r>
      <w:proofErr w:type="spellStart"/>
      <w:r w:rsidR="007F5793">
        <w:rPr>
          <w:rFonts w:ascii="Times New Roman" w:hAnsi="Times New Roman" w:cs="Times New Roman"/>
          <w:sz w:val="24"/>
          <w:szCs w:val="24"/>
          <w:lang w:val="en-US"/>
        </w:rPr>
        <w:t>cov</w:t>
      </w:r>
      <w:proofErr w:type="spellEnd"/>
      <w:r w:rsidR="007F5793">
        <w:rPr>
          <w:rFonts w:ascii="Times New Roman" w:hAnsi="Times New Roman" w:cs="Times New Roman"/>
          <w:sz w:val="24"/>
          <w:szCs w:val="24"/>
          <w:lang w:val="en-US"/>
        </w:rPr>
        <w:t xml:space="preserve">(m, </w:t>
      </w:r>
      <w:proofErr w:type="spellStart"/>
      <w:r w:rsidR="007F5793">
        <w:rPr>
          <w:rFonts w:ascii="Times New Roman" w:hAnsi="Times New Roman" w:cs="Times New Roman"/>
          <w:sz w:val="24"/>
          <w:szCs w:val="24"/>
          <w:lang w:val="en-US"/>
        </w:rPr>
        <w:t>x</w:t>
      </w:r>
      <w:r w:rsidR="007F5793">
        <w:rPr>
          <w:rFonts w:ascii="Times New Roman" w:hAnsi="Times New Roman" w:cs="Times New Roman"/>
          <w:sz w:val="24"/>
          <w:szCs w:val="24"/>
          <w:vertAlign w:val="superscript"/>
          <w:lang w:val="en-US"/>
        </w:rPr>
        <w:t>L</w:t>
      </w:r>
      <w:proofErr w:type="spellEnd"/>
      <w:r w:rsidR="007F5793">
        <w:rPr>
          <w:rFonts w:ascii="Times New Roman" w:hAnsi="Times New Roman" w:cs="Times New Roman"/>
          <w:sz w:val="24"/>
          <w:szCs w:val="24"/>
          <w:lang w:val="en-US"/>
        </w:rPr>
        <w:t>)</w:t>
      </w:r>
      <w:r w:rsidR="00783B7E">
        <w:rPr>
          <w:rFonts w:ascii="Times New Roman" w:hAnsi="Times New Roman" w:cs="Times New Roman"/>
          <w:sz w:val="24"/>
          <w:szCs w:val="24"/>
          <w:lang w:val="en-US"/>
        </w:rPr>
        <w:t>)</w:t>
      </w:r>
      <w:r>
        <w:rPr>
          <w:rFonts w:ascii="Times New Roman" w:hAnsi="Times New Roman" w:cs="Times New Roman"/>
          <w:sz w:val="24"/>
          <w:szCs w:val="24"/>
          <w:lang w:val="en-US"/>
        </w:rPr>
        <w:t>.</w:t>
      </w:r>
      <w:r w:rsidR="00EA763A">
        <w:rPr>
          <w:rFonts w:ascii="Times New Roman" w:hAnsi="Times New Roman" w:cs="Times New Roman"/>
          <w:sz w:val="24"/>
          <w:szCs w:val="24"/>
          <w:lang w:val="en-US"/>
        </w:rPr>
        <w:t xml:space="preserve"> </w:t>
      </w:r>
      <w:r w:rsidR="00982A89">
        <w:rPr>
          <w:rFonts w:ascii="Times New Roman" w:hAnsi="Times New Roman" w:cs="Times New Roman"/>
          <w:sz w:val="24"/>
          <w:szCs w:val="24"/>
          <w:lang w:val="en-US"/>
        </w:rPr>
        <w:t>However, m</w:t>
      </w:r>
      <w:r w:rsidR="00BD7D4B">
        <w:rPr>
          <w:rFonts w:ascii="Times New Roman" w:hAnsi="Times New Roman" w:cs="Times New Roman"/>
          <w:sz w:val="24"/>
          <w:szCs w:val="24"/>
          <w:lang w:val="en-US"/>
        </w:rPr>
        <w:t xml:space="preserve">easuring </w:t>
      </w:r>
      <w:r w:rsidR="00DE46CB">
        <w:rPr>
          <w:rFonts w:ascii="Times New Roman" w:hAnsi="Times New Roman" w:cs="Times New Roman"/>
          <w:sz w:val="24"/>
          <w:szCs w:val="24"/>
          <w:lang w:val="en-US"/>
        </w:rPr>
        <w:t xml:space="preserve">valuation uncertainty is a </w:t>
      </w:r>
      <w:r w:rsidR="00AF11B9">
        <w:rPr>
          <w:rFonts w:ascii="Times New Roman" w:hAnsi="Times New Roman" w:cs="Times New Roman"/>
          <w:sz w:val="24"/>
          <w:szCs w:val="24"/>
          <w:lang w:val="en-US"/>
        </w:rPr>
        <w:t>challenge</w:t>
      </w:r>
      <w:r w:rsidR="006F1F8A">
        <w:rPr>
          <w:rFonts w:ascii="Times New Roman" w:hAnsi="Times New Roman" w:cs="Times New Roman"/>
          <w:sz w:val="24"/>
          <w:szCs w:val="24"/>
          <w:lang w:val="en-US"/>
        </w:rPr>
        <w:t>:</w:t>
      </w:r>
      <w:r w:rsidR="00DE46CB">
        <w:rPr>
          <w:rFonts w:ascii="Times New Roman" w:hAnsi="Times New Roman" w:cs="Times New Roman"/>
          <w:sz w:val="24"/>
          <w:szCs w:val="24"/>
          <w:lang w:val="en-US"/>
        </w:rPr>
        <w:t xml:space="preserve"> </w:t>
      </w:r>
      <w:r w:rsidR="00D71FF8">
        <w:rPr>
          <w:rFonts w:ascii="Times New Roman" w:hAnsi="Times New Roman" w:cs="Times New Roman"/>
          <w:sz w:val="24"/>
          <w:szCs w:val="24"/>
          <w:lang w:val="en-US"/>
        </w:rPr>
        <w:t xml:space="preserve">we observe stock prices P, but not </w:t>
      </w:r>
      <w:r w:rsidR="00DE46CB">
        <w:rPr>
          <w:rFonts w:ascii="Times New Roman" w:hAnsi="Times New Roman" w:cs="Times New Roman"/>
          <w:sz w:val="24"/>
          <w:szCs w:val="24"/>
          <w:lang w:val="en-US"/>
        </w:rPr>
        <w:t>P</w:t>
      </w:r>
      <w:r w:rsidR="00DE46CB" w:rsidRPr="00427210">
        <w:rPr>
          <w:rFonts w:ascii="Times New Roman" w:hAnsi="Times New Roman" w:cs="Times New Roman"/>
          <w:sz w:val="24"/>
          <w:szCs w:val="24"/>
          <w:vertAlign w:val="superscript"/>
          <w:lang w:val="en-US"/>
        </w:rPr>
        <w:t>H</w:t>
      </w:r>
      <w:r w:rsidR="00D71FF8">
        <w:rPr>
          <w:rFonts w:ascii="Times New Roman" w:hAnsi="Times New Roman" w:cs="Times New Roman"/>
          <w:sz w:val="24"/>
          <w:szCs w:val="24"/>
          <w:lang w:val="en-US"/>
        </w:rPr>
        <w:t xml:space="preserve">, </w:t>
      </w:r>
      <w:r w:rsidR="00DE46CB">
        <w:rPr>
          <w:rFonts w:ascii="Times New Roman" w:hAnsi="Times New Roman" w:cs="Times New Roman"/>
          <w:sz w:val="24"/>
          <w:szCs w:val="24"/>
          <w:lang w:val="en-US"/>
        </w:rPr>
        <w:t>P</w:t>
      </w:r>
      <w:r w:rsidR="00DE46CB" w:rsidRPr="00427210">
        <w:rPr>
          <w:rFonts w:ascii="Times New Roman" w:hAnsi="Times New Roman" w:cs="Times New Roman"/>
          <w:sz w:val="24"/>
          <w:szCs w:val="24"/>
          <w:vertAlign w:val="superscript"/>
          <w:lang w:val="en-US"/>
        </w:rPr>
        <w:t>L</w:t>
      </w:r>
      <w:r w:rsidR="00D71FF8">
        <w:rPr>
          <w:rFonts w:ascii="Times New Roman" w:hAnsi="Times New Roman" w:cs="Times New Roman"/>
          <w:sz w:val="24"/>
          <w:szCs w:val="24"/>
          <w:lang w:val="en-US"/>
        </w:rPr>
        <w:t xml:space="preserve">, </w:t>
      </w:r>
      <w:r w:rsidR="00DE46CB">
        <w:rPr>
          <w:rFonts w:ascii="Times New Roman" w:hAnsi="Times New Roman" w:cs="Times New Roman"/>
          <w:sz w:val="24"/>
          <w:szCs w:val="24"/>
          <w:lang w:val="en-US"/>
        </w:rPr>
        <w:t>or the underlying expectations and covariances.</w:t>
      </w:r>
      <w:r w:rsidR="00DE46CB">
        <w:rPr>
          <w:rFonts w:ascii="Times New Roman" w:hAnsi="Times New Roman" w:cs="Times New Roman"/>
          <w:sz w:val="24"/>
          <w:szCs w:val="24"/>
        </w:rPr>
        <w:t xml:space="preserve"> </w:t>
      </w:r>
      <w:r w:rsidR="00DA337F">
        <w:rPr>
          <w:rFonts w:ascii="Times New Roman" w:hAnsi="Times New Roman" w:cs="Times New Roman"/>
          <w:sz w:val="24"/>
          <w:szCs w:val="24"/>
        </w:rPr>
        <w:t>W</w:t>
      </w:r>
      <w:r w:rsidR="001C500B">
        <w:rPr>
          <w:rFonts w:ascii="Times New Roman" w:hAnsi="Times New Roman" w:cs="Times New Roman"/>
          <w:sz w:val="24"/>
          <w:szCs w:val="24"/>
        </w:rPr>
        <w:t>e</w:t>
      </w:r>
      <w:r w:rsidR="00DA337F">
        <w:rPr>
          <w:rFonts w:ascii="Times New Roman" w:hAnsi="Times New Roman" w:cs="Times New Roman"/>
          <w:sz w:val="24"/>
          <w:szCs w:val="24"/>
        </w:rPr>
        <w:t xml:space="preserve"> propose to</w:t>
      </w:r>
      <w:r w:rsidR="001C500B">
        <w:rPr>
          <w:rFonts w:ascii="Times New Roman" w:hAnsi="Times New Roman" w:cs="Times New Roman"/>
          <w:sz w:val="24"/>
          <w:szCs w:val="24"/>
        </w:rPr>
        <w:t xml:space="preserve"> </w:t>
      </w:r>
      <w:r w:rsidR="003166E7">
        <w:rPr>
          <w:rFonts w:ascii="Times New Roman" w:hAnsi="Times New Roman" w:cs="Times New Roman"/>
          <w:sz w:val="24"/>
          <w:szCs w:val="24"/>
        </w:rPr>
        <w:t>recover</w:t>
      </w:r>
      <w:r w:rsidR="001C500B">
        <w:rPr>
          <w:rFonts w:ascii="Times New Roman" w:hAnsi="Times New Roman" w:cs="Times New Roman"/>
          <w:sz w:val="24"/>
          <w:szCs w:val="24"/>
        </w:rPr>
        <w:t xml:space="preserve"> P</w:t>
      </w:r>
      <w:r w:rsidR="001C500B" w:rsidRPr="009A7BDC">
        <w:rPr>
          <w:rFonts w:ascii="Times New Roman" w:hAnsi="Times New Roman" w:cs="Times New Roman"/>
          <w:sz w:val="24"/>
          <w:szCs w:val="24"/>
          <w:vertAlign w:val="superscript"/>
        </w:rPr>
        <w:t>H</w:t>
      </w:r>
      <w:r w:rsidR="001C500B">
        <w:rPr>
          <w:rFonts w:ascii="Times New Roman" w:hAnsi="Times New Roman" w:cs="Times New Roman"/>
          <w:sz w:val="24"/>
          <w:szCs w:val="24"/>
        </w:rPr>
        <w:t xml:space="preserve"> and P</w:t>
      </w:r>
      <w:r w:rsidR="001C500B" w:rsidRPr="009A7BDC">
        <w:rPr>
          <w:rFonts w:ascii="Times New Roman" w:hAnsi="Times New Roman" w:cs="Times New Roman"/>
          <w:sz w:val="24"/>
          <w:szCs w:val="24"/>
          <w:vertAlign w:val="superscript"/>
        </w:rPr>
        <w:t>L</w:t>
      </w:r>
      <w:r w:rsidR="001C500B">
        <w:rPr>
          <w:rFonts w:ascii="Times New Roman" w:hAnsi="Times New Roman" w:cs="Times New Roman"/>
          <w:sz w:val="24"/>
          <w:szCs w:val="24"/>
        </w:rPr>
        <w:t xml:space="preserve"> from hig</w:t>
      </w:r>
      <w:r w:rsidR="00E9728F">
        <w:rPr>
          <w:rFonts w:ascii="Times New Roman" w:hAnsi="Times New Roman" w:cs="Times New Roman"/>
          <w:sz w:val="24"/>
          <w:szCs w:val="24"/>
        </w:rPr>
        <w:t>h</w:t>
      </w:r>
      <w:r w:rsidR="001C500B">
        <w:rPr>
          <w:rFonts w:ascii="Times New Roman" w:hAnsi="Times New Roman" w:cs="Times New Roman"/>
          <w:sz w:val="24"/>
          <w:szCs w:val="24"/>
        </w:rPr>
        <w:t>- and low-valued peers</w:t>
      </w:r>
      <w:r w:rsidR="00483015">
        <w:rPr>
          <w:rFonts w:ascii="Times New Roman" w:hAnsi="Times New Roman" w:cs="Times New Roman"/>
          <w:sz w:val="24"/>
          <w:szCs w:val="24"/>
        </w:rPr>
        <w:t xml:space="preserve"> –</w:t>
      </w:r>
      <w:r w:rsidR="00CC108C">
        <w:rPr>
          <w:rFonts w:ascii="Times New Roman" w:hAnsi="Times New Roman" w:cs="Times New Roman"/>
          <w:sz w:val="24"/>
          <w:szCs w:val="24"/>
        </w:rPr>
        <w:t xml:space="preserve"> </w:t>
      </w:r>
      <w:r w:rsidR="00483015">
        <w:rPr>
          <w:rFonts w:ascii="Times New Roman" w:hAnsi="Times New Roman" w:cs="Times New Roman"/>
          <w:sz w:val="24"/>
          <w:szCs w:val="24"/>
        </w:rPr>
        <w:t xml:space="preserve">our window into states H and L – and </w:t>
      </w:r>
      <w:r w:rsidR="00FE09D3" w:rsidRPr="001F2C12">
        <w:rPr>
          <w:rFonts w:ascii="Times New Roman" w:hAnsi="Times New Roman" w:cs="Times New Roman"/>
          <w:sz w:val="24"/>
          <w:szCs w:val="24"/>
        </w:rPr>
        <w:t xml:space="preserve">infer </w:t>
      </w:r>
      <w:r w:rsidR="00E94214">
        <w:rPr>
          <w:rFonts w:ascii="Times New Roman" w:hAnsi="Times New Roman" w:cs="Times New Roman"/>
          <w:sz w:val="24"/>
          <w:szCs w:val="24"/>
        </w:rPr>
        <w:t xml:space="preserve">the associated </w:t>
      </w:r>
      <w:r w:rsidR="00FE09D3" w:rsidRPr="001F2C12">
        <w:rPr>
          <w:rFonts w:ascii="Times New Roman" w:hAnsi="Times New Roman" w:cs="Times New Roman"/>
          <w:sz w:val="24"/>
          <w:szCs w:val="24"/>
        </w:rPr>
        <w:t>discount r</w:t>
      </w:r>
      <w:r w:rsidR="00FE09D3">
        <w:rPr>
          <w:rFonts w:ascii="Times New Roman" w:hAnsi="Times New Roman" w:cs="Times New Roman"/>
          <w:sz w:val="24"/>
          <w:szCs w:val="24"/>
        </w:rPr>
        <w:t xml:space="preserve">ates and growth rates from market prices and accounting fundamentals. </w:t>
      </w:r>
      <w:r w:rsidR="00DA337F">
        <w:rPr>
          <w:rFonts w:ascii="Times New Roman" w:hAnsi="Times New Roman" w:cs="Times New Roman"/>
          <w:sz w:val="24"/>
          <w:szCs w:val="24"/>
        </w:rPr>
        <w:t xml:space="preserve">To that end, </w:t>
      </w:r>
      <w:r w:rsidR="00E55BC6">
        <w:rPr>
          <w:rFonts w:ascii="Times New Roman" w:hAnsi="Times New Roman" w:cs="Times New Roman"/>
          <w:sz w:val="24"/>
          <w:szCs w:val="24"/>
        </w:rPr>
        <w:t>we</w:t>
      </w:r>
      <w:r w:rsidR="00DA337F">
        <w:rPr>
          <w:rFonts w:ascii="Times New Roman" w:hAnsi="Times New Roman" w:cs="Times New Roman"/>
          <w:sz w:val="24"/>
          <w:szCs w:val="24"/>
        </w:rPr>
        <w:t xml:space="preserve"> </w:t>
      </w:r>
      <w:r w:rsidR="00DD3616">
        <w:rPr>
          <w:rFonts w:ascii="Times New Roman" w:hAnsi="Times New Roman" w:cs="Times New Roman"/>
          <w:sz w:val="24"/>
          <w:szCs w:val="24"/>
        </w:rPr>
        <w:t>use an</w:t>
      </w:r>
      <w:r w:rsidR="00DA337F">
        <w:rPr>
          <w:rFonts w:ascii="Times New Roman" w:hAnsi="Times New Roman" w:cs="Times New Roman"/>
          <w:sz w:val="24"/>
          <w:szCs w:val="24"/>
        </w:rPr>
        <w:t xml:space="preserve"> </w:t>
      </w:r>
      <w:r w:rsidR="00E55BC6">
        <w:rPr>
          <w:rFonts w:ascii="Times New Roman" w:hAnsi="Times New Roman" w:cs="Times New Roman"/>
          <w:sz w:val="24"/>
          <w:szCs w:val="24"/>
        </w:rPr>
        <w:t>adaptation</w:t>
      </w:r>
      <w:r w:rsidR="00DA337F">
        <w:rPr>
          <w:rFonts w:ascii="Times New Roman" w:hAnsi="Times New Roman" w:cs="Times New Roman"/>
          <w:sz w:val="24"/>
          <w:szCs w:val="24"/>
        </w:rPr>
        <w:t xml:space="preserve"> of the residual income valuation model</w:t>
      </w:r>
      <w:r w:rsidR="00A45A50">
        <w:rPr>
          <w:rFonts w:ascii="Times New Roman" w:hAnsi="Times New Roman" w:cs="Times New Roman"/>
          <w:sz w:val="24"/>
          <w:szCs w:val="24"/>
        </w:rPr>
        <w:t xml:space="preserve"> in </w:t>
      </w:r>
      <w:hyperlink w:anchor="_ENREF_62" w:tooltip="Rhodes–Kropf, 2005 #152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AuthorYear="1"&gt;&lt;Author&gt;Rhodes–Kropf&lt;/Author&gt;&lt;Year&gt;2005&lt;/Year&gt;&lt;RecNum&gt;1527&lt;/RecNum&gt;&lt;DisplayText&gt;Rhodes–Kropf et al. (2005)&lt;/DisplayText&gt;&lt;record&gt;&lt;rec-number&gt;1527&lt;/rec-number&gt;&lt;foreign-keys&gt;&lt;key app="EN" db-id="a00ppf5vbz2zw4efraqp9recxrvdwwtasszf" timestamp="1636055779"&gt;1527&lt;/key&gt;&lt;/foreign-keys&gt;&lt;ref-type name="Journal Article"&gt;17&lt;/ref-type&gt;&lt;contributors&gt;&lt;authors&gt;&lt;author&gt;Rhodes–Kropf, Matthew&lt;/author&gt;&lt;author&gt;Robinson, David T.&lt;/author&gt;&lt;author&gt;Viswanathan, S.&lt;/author&gt;&lt;/authors&gt;&lt;/contributors&gt;&lt;titles&gt;&lt;title&gt;Valuation waves and merger activity: The empirical evidence&lt;/title&gt;&lt;secondary-title&gt;Journal of Financial Economics&lt;/secondary-title&gt;&lt;/titles&gt;&lt;periodical&gt;&lt;full-title&gt;Journal of Financial Economics&lt;/full-title&gt;&lt;/periodical&gt;&lt;pages&gt;561-603&lt;/pages&gt;&lt;volume&gt;77&lt;/volume&gt;&lt;number&gt;3&lt;/number&gt;&lt;keywords&gt;&lt;keyword&gt;CONSOLIDATION &amp;amp; merger of corporations&lt;/keyword&gt;&lt;keyword&gt;DEBT-to-equity ratio&lt;/keyword&gt;&lt;keyword&gt;VALUATION&lt;/keyword&gt;&lt;keyword&gt;PRICING&lt;/keyword&gt;&lt;keyword&gt;STOCK exchanges&lt;/keyword&gt;&lt;keyword&gt;DECOMPOSITION (Mathematics)&lt;/keyword&gt;&lt;keyword&gt;G14&lt;/keyword&gt;&lt;keyword&gt;Merger waves&lt;/keyword&gt;&lt;keyword&gt;Mergers and acquisitions&lt;/keyword&gt;&lt;/keywords&gt;&lt;dates&gt;&lt;year&gt;2005&lt;/year&gt;&lt;/dates&gt;&lt;isbn&gt;0304405X&lt;/isbn&gt;&lt;accession-num&gt;18244341&lt;/accession-num&gt;&lt;work-type&gt;Article&lt;/work-type&gt;&lt;urls&gt;&lt;related-urls&gt;&lt;url&gt;http://search.ebscohost.com/login.aspx?direct=true&amp;amp;AuthType=athens,ip,cookie,url,uid&amp;amp;db=bth&amp;amp;AN=18244341&amp;amp;site=ehost-live&lt;/url&gt;&lt;/related-urls&gt;&lt;/urls&gt;&lt;electronic-resource-num&gt;10.1016/j.jfineco.2004.06.015&lt;/electronic-resource-num&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Rhodes–Kropf et al. (2005)</w:t>
        </w:r>
        <w:r w:rsidR="00A4299A">
          <w:rPr>
            <w:rFonts w:ascii="Times New Roman" w:hAnsi="Times New Roman" w:cs="Times New Roman"/>
            <w:sz w:val="24"/>
            <w:szCs w:val="24"/>
          </w:rPr>
          <w:fldChar w:fldCharType="end"/>
        </w:r>
      </w:hyperlink>
      <w:r w:rsidR="00B41782">
        <w:rPr>
          <w:rFonts w:ascii="Times New Roman" w:hAnsi="Times New Roman" w:cs="Times New Roman"/>
          <w:sz w:val="24"/>
          <w:szCs w:val="24"/>
        </w:rPr>
        <w:t xml:space="preserve"> (RRV hereafter) and </w:t>
      </w:r>
      <w:hyperlink w:anchor="_ENREF_39" w:tooltip="Golubov, 2019 #81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AuthorYear="1"&gt;&lt;Author&gt;Golubov&lt;/Author&gt;&lt;Year&gt;2019&lt;/Year&gt;&lt;RecNum&gt;814&lt;/RecNum&gt;&lt;DisplayText&gt;Golubov and Konstantinidi (2019)&lt;/DisplayText&gt;&lt;record&gt;&lt;rec-number&gt;814&lt;/rec-number&gt;&lt;foreign-keys&gt;&lt;key app="EN" db-id="a00ppf5vbz2zw4efraqp9recxrvdwwtasszf" timestamp="1636055772"&gt;814&lt;/key&gt;&lt;/foreign-keys&gt;&lt;ref-type name="Journal Article"&gt;17&lt;/ref-type&gt;&lt;contributors&gt;&lt;authors&gt;&lt;author&gt;Golubov, Andrey&lt;/author&gt;&lt;author&gt;Konstantinidi, Theodosia&lt;/author&gt;&lt;/authors&gt;&lt;/contributors&gt;&lt;titles&gt;&lt;title&gt;Where Is the Risk in Value? Evidence from a Market-to-Book Decomposition&lt;/title&gt;&lt;secondary-title&gt;The Journal of Finance&lt;/secondary-title&gt;&lt;/titles&gt;&lt;periodical&gt;&lt;full-title&gt;The Journal of Finance&lt;/full-title&gt;&lt;/periodical&gt;&lt;pages&gt;3135-3186&lt;/pages&gt;&lt;volume&gt;74&lt;/volume&gt;&lt;number&gt;6&lt;/number&gt;&lt;dates&gt;&lt;year&gt;2019&lt;/year&gt;&lt;/dates&gt;&lt;isbn&gt;0022-1082&lt;/isbn&gt;&lt;urls&gt;&lt;related-urls&gt;&lt;url&gt;https://onlinelibrary.wiley.com/doi/abs/10.1111/jofi.12836&lt;/url&gt;&lt;/related-urls&gt;&lt;/urls&gt;&lt;electronic-resource-num&gt;10.1111/jofi.12836&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Golubov and Konstantinidi (2019)</w:t>
        </w:r>
        <w:r w:rsidR="00A4299A">
          <w:rPr>
            <w:rFonts w:ascii="Times New Roman" w:hAnsi="Times New Roman" w:cs="Times New Roman"/>
            <w:sz w:val="24"/>
            <w:szCs w:val="24"/>
          </w:rPr>
          <w:fldChar w:fldCharType="end"/>
        </w:r>
      </w:hyperlink>
      <w:r w:rsidR="00B41782">
        <w:rPr>
          <w:rFonts w:ascii="Times New Roman" w:hAnsi="Times New Roman" w:cs="Times New Roman"/>
          <w:sz w:val="24"/>
          <w:szCs w:val="24"/>
        </w:rPr>
        <w:t xml:space="preserve"> (GK hereafter)</w:t>
      </w:r>
      <w:r w:rsidR="00A45A50">
        <w:rPr>
          <w:rFonts w:ascii="Times New Roman" w:hAnsi="Times New Roman" w:cs="Times New Roman"/>
          <w:sz w:val="24"/>
          <w:szCs w:val="24"/>
        </w:rPr>
        <w:t xml:space="preserve"> along</w:t>
      </w:r>
      <w:r w:rsidR="00B951D5">
        <w:rPr>
          <w:rFonts w:ascii="Times New Roman" w:hAnsi="Times New Roman" w:cs="Times New Roman"/>
          <w:sz w:val="24"/>
          <w:szCs w:val="24"/>
        </w:rPr>
        <w:t xml:space="preserve"> </w:t>
      </w:r>
      <w:r w:rsidR="00E55BC6">
        <w:rPr>
          <w:rFonts w:ascii="Times New Roman" w:hAnsi="Times New Roman" w:cs="Times New Roman"/>
          <w:sz w:val="24"/>
          <w:szCs w:val="24"/>
        </w:rPr>
        <w:t>with quantile regression</w:t>
      </w:r>
      <w:r w:rsidR="00A45A50">
        <w:rPr>
          <w:rFonts w:ascii="Times New Roman" w:hAnsi="Times New Roman" w:cs="Times New Roman"/>
          <w:sz w:val="24"/>
          <w:szCs w:val="24"/>
        </w:rPr>
        <w:t xml:space="preserve"> estimation</w:t>
      </w:r>
      <w:r w:rsidR="00DA337F">
        <w:rPr>
          <w:rFonts w:ascii="Times New Roman" w:hAnsi="Times New Roman" w:cs="Times New Roman"/>
          <w:sz w:val="24"/>
          <w:szCs w:val="24"/>
        </w:rPr>
        <w:t>.</w:t>
      </w:r>
    </w:p>
    <w:p w14:paraId="16C930E7" w14:textId="13D53AB3" w:rsidR="00AB32C9" w:rsidRPr="00BB09AC" w:rsidRDefault="00AB32C9" w:rsidP="00C1210B">
      <w:pPr>
        <w:spacing w:before="120" w:after="0" w:line="480" w:lineRule="auto"/>
        <w:jc w:val="both"/>
        <w:rPr>
          <w:rFonts w:ascii="Times New Roman" w:hAnsi="Times New Roman" w:cs="Times New Roman"/>
          <w:b/>
          <w:bCs/>
          <w:iCs/>
          <w:sz w:val="24"/>
          <w:szCs w:val="24"/>
        </w:rPr>
      </w:pPr>
      <w:r w:rsidRPr="00BB09AC">
        <w:rPr>
          <w:rFonts w:ascii="Times New Roman" w:hAnsi="Times New Roman" w:cs="Times New Roman"/>
          <w:b/>
          <w:bCs/>
          <w:iCs/>
          <w:sz w:val="24"/>
          <w:szCs w:val="24"/>
        </w:rPr>
        <w:t xml:space="preserve">Valuation </w:t>
      </w:r>
      <w:r w:rsidR="0026178B">
        <w:rPr>
          <w:rFonts w:ascii="Times New Roman" w:hAnsi="Times New Roman" w:cs="Times New Roman"/>
          <w:b/>
          <w:bCs/>
          <w:iCs/>
          <w:sz w:val="24"/>
          <w:szCs w:val="24"/>
        </w:rPr>
        <w:t>M</w:t>
      </w:r>
      <w:r w:rsidRPr="00BB09AC">
        <w:rPr>
          <w:rFonts w:ascii="Times New Roman" w:hAnsi="Times New Roman" w:cs="Times New Roman"/>
          <w:b/>
          <w:bCs/>
          <w:iCs/>
          <w:sz w:val="24"/>
          <w:szCs w:val="24"/>
        </w:rPr>
        <w:t>odel</w:t>
      </w:r>
    </w:p>
    <w:p w14:paraId="3F65C55E" w14:textId="2711CAA5" w:rsidR="007154B1" w:rsidRDefault="00D1452D" w:rsidP="00C1210B">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starting point of </w:t>
      </w:r>
      <w:r w:rsidR="00E7460E">
        <w:rPr>
          <w:rFonts w:ascii="Times New Roman" w:hAnsi="Times New Roman" w:cs="Times New Roman"/>
          <w:sz w:val="24"/>
          <w:szCs w:val="24"/>
        </w:rPr>
        <w:t xml:space="preserve">our </w:t>
      </w:r>
      <w:r w:rsidR="00C244B9">
        <w:rPr>
          <w:rFonts w:ascii="Times New Roman" w:hAnsi="Times New Roman" w:cs="Times New Roman"/>
          <w:sz w:val="24"/>
          <w:szCs w:val="24"/>
        </w:rPr>
        <w:t>empirical</w:t>
      </w:r>
      <w:r>
        <w:rPr>
          <w:rFonts w:ascii="Times New Roman" w:hAnsi="Times New Roman" w:cs="Times New Roman"/>
          <w:sz w:val="24"/>
          <w:szCs w:val="24"/>
        </w:rPr>
        <w:t xml:space="preserve"> valuation model is the residual income valuation</w:t>
      </w:r>
      <w:r w:rsidR="00A84266">
        <w:rPr>
          <w:rFonts w:ascii="Times New Roman" w:hAnsi="Times New Roman" w:cs="Times New Roman"/>
          <w:sz w:val="24"/>
          <w:szCs w:val="24"/>
        </w:rPr>
        <w:t xml:space="preserve"> </w:t>
      </w:r>
      <w:r>
        <w:rPr>
          <w:rFonts w:ascii="Times New Roman" w:hAnsi="Times New Roman" w:cs="Times New Roman"/>
          <w:sz w:val="24"/>
          <w:szCs w:val="24"/>
        </w:rPr>
        <w:t>equation</w:t>
      </w:r>
      <w:r w:rsidR="00A84266">
        <w:rPr>
          <w:rStyle w:val="FootnoteReference"/>
          <w:rFonts w:ascii="Times New Roman" w:hAnsi="Times New Roman" w:cs="Times New Roman"/>
          <w:sz w:val="24"/>
          <w:szCs w:val="24"/>
        </w:rPr>
        <w:footnoteReference w:id="8"/>
      </w:r>
      <w:r w:rsidR="00A84266">
        <w:rPr>
          <w:rFonts w:ascii="Times New Roman" w:hAnsi="Times New Roman" w:cs="Times New Roman"/>
          <w:sz w:val="24"/>
          <w:szCs w:val="24"/>
        </w:rPr>
        <w:t xml:space="preserve"> </w:t>
      </w:r>
      <w:r w:rsidR="00A25C8D">
        <w:rPr>
          <w:rFonts w:ascii="Times New Roman" w:hAnsi="Times New Roman" w:cs="Times New Roman"/>
          <w:sz w:val="24"/>
          <w:szCs w:val="24"/>
        </w:rPr>
        <w:t xml:space="preserve"> (</w:t>
      </w:r>
      <w:r w:rsidR="00F640F7">
        <w:rPr>
          <w:rFonts w:ascii="Times New Roman" w:hAnsi="Times New Roman" w:cs="Times New Roman"/>
          <w:sz w:val="24"/>
          <w:szCs w:val="24"/>
        </w:rPr>
        <w:t xml:space="preserve">e.g., </w:t>
      </w:r>
      <w:hyperlink w:anchor="_ENREF_58" w:tooltip="Ohlson, 1995 #1799"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AuthorYear="1"&gt;&lt;Author&gt;Ohlson&lt;/Author&gt;&lt;Year&gt;1995&lt;/Year&gt;&lt;RecNum&gt;1799&lt;/RecNum&gt;&lt;DisplayText&gt;Ohlson (1995)&lt;/DisplayText&gt;&lt;record&gt;&lt;rec-number&gt;1799&lt;/rec-number&gt;&lt;foreign-keys&gt;&lt;key app="EN" db-id="a00ppf5vbz2zw4efraqp9recxrvdwwtasszf" timestamp="1687442359"&gt;1799&lt;/key&gt;&lt;/foreign-keys&gt;&lt;ref-type name="Journal Article"&gt;17&lt;/ref-type&gt;&lt;contributors&gt;&lt;authors&gt;&lt;author&gt;Ohlson, James A.&lt;/author&gt;&lt;/authors&gt;&lt;/contributors&gt;&lt;titles&gt;&lt;title&gt;Earnings, Book Values, and Dividends in Equity Valuation&lt;/title&gt;&lt;secondary-title&gt;Contemporary Accounting Research&lt;/secondary-title&gt;&lt;/titles&gt;&lt;periodical&gt;&lt;full-title&gt;Contemporary Accounting Research&lt;/full-title&gt;&lt;/periodical&gt;&lt;pages&gt;661-687&lt;/pages&gt;&lt;volume&gt;11&lt;/volume&gt;&lt;number&gt;2&lt;/number&gt;&lt;dates&gt;&lt;year&gt;1995&lt;/year&gt;&lt;/dates&gt;&lt;isbn&gt;0823-9150&lt;/isbn&gt;&lt;urls&gt;&lt;related-urls&gt;&lt;url&gt;https://onlinelibrary.wiley.com/doi/abs/10.1111/j.1911-3846.1995.tb00461.x&lt;/url&gt;&lt;/related-urls&gt;&lt;/urls&gt;&lt;electronic-resource-num&gt;https://doi.org/10.1111/j.1911-3846.1995.tb00461.x&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Ohlson (1995)</w:t>
        </w:r>
        <w:r w:rsidR="00A4299A">
          <w:rPr>
            <w:rFonts w:ascii="Times New Roman" w:hAnsi="Times New Roman" w:cs="Times New Roman"/>
            <w:sz w:val="24"/>
            <w:szCs w:val="24"/>
          </w:rPr>
          <w:fldChar w:fldCharType="end"/>
        </w:r>
      </w:hyperlink>
      <w:r w:rsidR="00F640F7">
        <w:rPr>
          <w:rFonts w:ascii="Times New Roman" w:hAnsi="Times New Roman" w:cs="Times New Roman"/>
          <w:sz w:val="24"/>
          <w:szCs w:val="24"/>
        </w:rPr>
        <w:t xml:space="preserve">, </w:t>
      </w:r>
      <w:hyperlink w:anchor="_ENREF_33" w:tooltip="Feltham, 1995 #1798"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AuthorYear="1"&gt;&lt;Author&gt;Feltham&lt;/Author&gt;&lt;Year&gt;1995&lt;/Year&gt;&lt;RecNum&gt;1798&lt;/RecNum&gt;&lt;DisplayText&gt;Feltham and Ohlson (1995)&lt;/DisplayText&gt;&lt;record&gt;&lt;rec-number&gt;1798&lt;/rec-number&gt;&lt;foreign-keys&gt;&lt;key app="EN" db-id="a00ppf5vbz2zw4efraqp9recxrvdwwtasszf" timestamp="1687436200"&gt;1798&lt;/key&gt;&lt;/foreign-keys&gt;&lt;ref-type name="Journal Article"&gt;17&lt;/ref-type&gt;&lt;contributors&gt;&lt;authors&gt;&lt;author&gt;Feltham, Gerald A.&lt;/author&gt;&lt;author&gt;Ohlson, James A.&lt;/author&gt;&lt;/authors&gt;&lt;/contributors&gt;&lt;titles&gt;&lt;title&gt;Valuation and Clean Surplus Accounting for Operating and Financial Activities&lt;/title&gt;&lt;secondary-title&gt;Contemporary Accounting Research&lt;/secondary-title&gt;&lt;/titles&gt;&lt;periodical&gt;&lt;full-title&gt;Contemporary Accounting Research&lt;/full-title&gt;&lt;/periodical&gt;&lt;pages&gt;689-731&lt;/pages&gt;&lt;volume&gt;11&lt;/volume&gt;&lt;number&gt;2&lt;/number&gt;&lt;dates&gt;&lt;year&gt;1995&lt;/year&gt;&lt;/dates&gt;&lt;isbn&gt;0823-9150&lt;/isbn&gt;&lt;urls&gt;&lt;related-urls&gt;&lt;url&gt;https://onlinelibrary.wiley.com/doi/abs/10.1111/j.1911-3846.1995.tb00462.x&lt;/url&gt;&lt;/related-urls&gt;&lt;/urls&gt;&lt;electronic-resource-num&gt;https://doi.org/10.1111/j.1911-3846.1995.tb00462.x&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Feltham and Ohlson (1995)</w:t>
        </w:r>
        <w:r w:rsidR="00A4299A">
          <w:rPr>
            <w:rFonts w:ascii="Times New Roman" w:hAnsi="Times New Roman" w:cs="Times New Roman"/>
            <w:sz w:val="24"/>
            <w:szCs w:val="24"/>
          </w:rPr>
          <w:fldChar w:fldCharType="end"/>
        </w:r>
      </w:hyperlink>
      <w:r w:rsidR="0065249A">
        <w:rPr>
          <w:rFonts w:ascii="Times New Roman" w:hAnsi="Times New Roman" w:cs="Times New Roman"/>
          <w:sz w:val="24"/>
          <w:szCs w:val="24"/>
        </w:rPr>
        <w:t xml:space="preserve">, </w:t>
      </w:r>
      <w:hyperlink w:anchor="_ENREF_36" w:tooltip="Francis, 2000 #1803"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AuthorYear="1"&gt;&lt;Author&gt;Francis&lt;/Author&gt;&lt;Year&gt;2000&lt;/Year&gt;&lt;RecNum&gt;1803&lt;/RecNum&gt;&lt;DisplayText&gt;Francis, Olsson, and Oswald (2000)&lt;/DisplayText&gt;&lt;record&gt;&lt;rec-number&gt;1803&lt;/rec-number&gt;&lt;foreign-keys&gt;&lt;key app="EN" db-id="a00ppf5vbz2zw4efraqp9recxrvdwwtasszf" timestamp="1687529198"&gt;1803&lt;/key&gt;&lt;/foreign-keys&gt;&lt;ref-type name="Journal Article"&gt;17&lt;/ref-type&gt;&lt;contributors&gt;&lt;authors&gt;&lt;author&gt;Francis, Jennifer&lt;/author&gt;&lt;author&gt;Olsson, Per&lt;/author&gt;&lt;author&gt;Oswald, Dennis R.&lt;/author&gt;&lt;/authors&gt;&lt;/contributors&gt;&lt;titles&gt;&lt;title&gt;Comparing the Accuracy and Explainability of Dividend, Free Cash Flow, and Abnormal Earnings Equity Value Estimates&lt;/title&gt;&lt;secondary-title&gt;Journal of Accounting Research&lt;/secondary-title&gt;&lt;/titles&gt;&lt;periodical&gt;&lt;full-title&gt;Journal of Accounting Research&lt;/full-title&gt;&lt;/periodical&gt;&lt;pages&gt;45-70&lt;/pages&gt;&lt;volume&gt;38&lt;/volume&gt;&lt;number&gt;1&lt;/number&gt;&lt;keywords&gt;&lt;keyword&gt;ECONOMIC models&lt;/keyword&gt;&lt;keyword&gt;VALUATION&lt;/keyword&gt;&lt;keyword&gt;ACCOUNTING&lt;/keyword&gt;&lt;keyword&gt;DISCOUNTED cash flow&lt;/keyword&gt;&lt;keyword&gt;ESTIMATION theory&lt;/keyword&gt;&lt;keyword&gt;EMPIRICAL research&lt;/keyword&gt;&lt;keyword&gt;ECONOMIC forecasting&lt;/keyword&gt;&lt;keyword&gt;BUSINESS valuation&lt;/keyword&gt;&lt;keyword&gt;VALUATION of corporations&lt;/keyword&gt;&lt;keyword&gt;PORTFOLIO management (Investments)&lt;/keyword&gt;&lt;keyword&gt;CASH flow&lt;/keyword&gt;&lt;keyword&gt;BOOK value&lt;/keyword&gt;&lt;/keywords&gt;&lt;dates&gt;&lt;year&gt;2000&lt;/year&gt;&lt;pub-dates&gt;&lt;date&gt;Spring2000&lt;/date&gt;&lt;/pub-dates&gt;&lt;/dates&gt;&lt;isbn&gt;00218456&lt;/isbn&gt;&lt;accession-num&gt;3306663&lt;/accession-num&gt;&lt;work-type&gt;Article&lt;/work-type&gt;&lt;urls&gt;&lt;related-urls&gt;&lt;url&gt;https://search.ebscohost.com/login.aspx?direct=true&amp;amp;db=buh&amp;amp;AN=3306663&amp;amp;site=ehost-live&lt;/url&gt;&lt;/related-urls&gt;&lt;/urls&gt;&lt;electronic-resource-num&gt;10.2307/2672922&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Francis, Olsson, and Oswald (2000)</w:t>
        </w:r>
        <w:r w:rsidR="00A4299A">
          <w:rPr>
            <w:rFonts w:ascii="Times New Roman" w:hAnsi="Times New Roman" w:cs="Times New Roman"/>
            <w:sz w:val="24"/>
            <w:szCs w:val="24"/>
          </w:rPr>
          <w:fldChar w:fldCharType="end"/>
        </w:r>
      </w:hyperlink>
      <w:r w:rsidR="00A25C8D">
        <w:rPr>
          <w:rFonts w:ascii="Times New Roman" w:hAnsi="Times New Roman" w:cs="Times New Roman"/>
          <w:sz w:val="24"/>
          <w:szCs w:val="24"/>
        </w:rPr>
        <w:t>)</w:t>
      </w:r>
      <w:r>
        <w:rPr>
          <w:rFonts w:ascii="Times New Roman" w:hAnsi="Times New Roman" w:cs="Times New Roman"/>
          <w:sz w:val="24"/>
          <w:szCs w:val="24"/>
        </w:rPr>
        <w:t>:</w:t>
      </w:r>
    </w:p>
    <w:p w14:paraId="3E516A82" w14:textId="53A1D914" w:rsidR="00D1452D" w:rsidRPr="00051700" w:rsidRDefault="00E34AD7" w:rsidP="00243184">
      <w:pPr>
        <w:spacing w:after="0" w:line="480" w:lineRule="auto"/>
        <w:jc w:val="both"/>
        <w:rPr>
          <w:rFonts w:ascii="Times New Roman" w:hAnsi="Times New Roman" w:cs="Times New Roman"/>
          <w:sz w:val="24"/>
          <w:szCs w:val="24"/>
        </w:rPr>
      </w:pPr>
      <m:oMathPara>
        <m:oMathParaPr>
          <m:jc m:val="right"/>
        </m:oMathParaPr>
        <m:oMath>
          <m:r>
            <w:rPr>
              <w:rFonts w:ascii="Cambria Math" w:hAnsi="Cambria Math" w:cs="Times New Roman"/>
              <w:sz w:val="24"/>
              <w:szCs w:val="24"/>
            </w:rPr>
            <w:lastRenderedPageBreak/>
            <m:t>V=</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0</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(ROE</m:t>
                      </m:r>
                    </m:e>
                    <m:sub>
                      <m:r>
                        <w:rPr>
                          <w:rFonts w:ascii="Cambria Math" w:hAnsi="Cambria Math" w:cs="Times New Roman"/>
                          <w:sz w:val="24"/>
                          <w:szCs w:val="24"/>
                        </w:rPr>
                        <m:t>t</m:t>
                      </m:r>
                    </m:sub>
                  </m:sSub>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t-1</m:t>
                      </m:r>
                    </m:sub>
                  </m:sSub>
                </m:num>
                <m:den>
                  <m:sSup>
                    <m:sSupPr>
                      <m:ctrlPr>
                        <w:rPr>
                          <w:rFonts w:ascii="Cambria Math" w:hAnsi="Cambria Math" w:cs="Times New Roman"/>
                          <w:i/>
                          <w:sz w:val="24"/>
                          <w:szCs w:val="24"/>
                        </w:rPr>
                      </m:ctrlPr>
                    </m:sSupPr>
                    <m:e>
                      <m:r>
                        <w:rPr>
                          <w:rFonts w:ascii="Cambria Math" w:hAnsi="Cambria Math" w:cs="Times New Roman"/>
                          <w:sz w:val="24"/>
                          <w:szCs w:val="24"/>
                        </w:rPr>
                        <m:t>(1+r)</m:t>
                      </m:r>
                    </m:e>
                    <m:sup>
                      <m:r>
                        <w:rPr>
                          <w:rFonts w:ascii="Cambria Math" w:hAnsi="Cambria Math" w:cs="Times New Roman"/>
                          <w:sz w:val="24"/>
                          <w:szCs w:val="24"/>
                        </w:rPr>
                        <m:t>t</m:t>
                      </m:r>
                    </m:sup>
                  </m:sSup>
                </m:den>
              </m:f>
            </m:e>
          </m:nary>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0</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RI</m:t>
                      </m:r>
                    </m:e>
                    <m:sub>
                      <m:r>
                        <w:rPr>
                          <w:rFonts w:ascii="Cambria Math" w:hAnsi="Cambria Math" w:cs="Times New Roman"/>
                          <w:sz w:val="24"/>
                          <w:szCs w:val="24"/>
                        </w:rPr>
                        <m:t>t</m:t>
                      </m:r>
                    </m:sub>
                  </m:sSub>
                </m:num>
                <m:den>
                  <m:sSup>
                    <m:sSupPr>
                      <m:ctrlPr>
                        <w:rPr>
                          <w:rFonts w:ascii="Cambria Math" w:hAnsi="Cambria Math" w:cs="Times New Roman"/>
                          <w:i/>
                          <w:sz w:val="24"/>
                          <w:szCs w:val="24"/>
                        </w:rPr>
                      </m:ctrlPr>
                    </m:sSupPr>
                    <m:e>
                      <m:r>
                        <w:rPr>
                          <w:rFonts w:ascii="Cambria Math" w:hAnsi="Cambria Math" w:cs="Times New Roman"/>
                          <w:sz w:val="24"/>
                          <w:szCs w:val="24"/>
                        </w:rPr>
                        <m:t>(1+r)</m:t>
                      </m:r>
                    </m:e>
                    <m:sup>
                      <m:r>
                        <w:rPr>
                          <w:rFonts w:ascii="Cambria Math" w:hAnsi="Cambria Math" w:cs="Times New Roman"/>
                          <w:sz w:val="24"/>
                          <w:szCs w:val="24"/>
                        </w:rPr>
                        <m:t>t</m:t>
                      </m:r>
                    </m:sup>
                  </m:sSup>
                </m:den>
              </m:f>
            </m:e>
          </m:nary>
          <m:r>
            <w:rPr>
              <w:rFonts w:ascii="Cambria Math" w:hAnsi="Cambria Math" w:cs="Times New Roman"/>
              <w:sz w:val="24"/>
              <w:szCs w:val="24"/>
            </w:rPr>
            <m:t xml:space="preserve">                                  (4)</m:t>
          </m:r>
        </m:oMath>
      </m:oMathPara>
    </w:p>
    <w:p w14:paraId="546FE261" w14:textId="699E7DE1" w:rsidR="00051700" w:rsidRPr="00801ED2" w:rsidRDefault="00051700" w:rsidP="001C5B78">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The residual income </w:t>
      </w:r>
      <w:r w:rsidR="002242DA">
        <w:rPr>
          <w:rFonts w:ascii="Times New Roman" w:hAnsi="Times New Roman" w:cs="Times New Roman"/>
          <w:sz w:val="24"/>
          <w:szCs w:val="24"/>
        </w:rPr>
        <w:t xml:space="preserve">valuation model states that equity value </w:t>
      </w:r>
      <w:r w:rsidR="00BE1B29">
        <w:rPr>
          <w:rFonts w:ascii="Times New Roman" w:hAnsi="Times New Roman" w:cs="Times New Roman"/>
          <w:sz w:val="24"/>
          <w:szCs w:val="24"/>
        </w:rPr>
        <w:t>(</w:t>
      </w:r>
      <m:oMath>
        <m:r>
          <w:rPr>
            <w:rFonts w:ascii="Cambria Math" w:hAnsi="Cambria Math" w:cs="Times New Roman"/>
            <w:sz w:val="24"/>
            <w:szCs w:val="24"/>
          </w:rPr>
          <m:t>V)</m:t>
        </m:r>
      </m:oMath>
      <w:r>
        <w:rPr>
          <w:rFonts w:ascii="Times New Roman" w:hAnsi="Times New Roman" w:cs="Times New Roman"/>
          <w:sz w:val="24"/>
          <w:szCs w:val="24"/>
        </w:rPr>
        <w:t xml:space="preserve"> is equal to</w:t>
      </w:r>
      <w:r w:rsidR="00E34AD7">
        <w:rPr>
          <w:rFonts w:ascii="Times New Roman" w:hAnsi="Times New Roman" w:cs="Times New Roman"/>
          <w:sz w:val="24"/>
          <w:szCs w:val="24"/>
        </w:rPr>
        <w:t xml:space="preserve"> current</w:t>
      </w:r>
      <w:r>
        <w:rPr>
          <w:rFonts w:ascii="Times New Roman" w:hAnsi="Times New Roman" w:cs="Times New Roman"/>
          <w:sz w:val="24"/>
          <w:szCs w:val="24"/>
        </w:rPr>
        <w:t xml:space="preserve"> book value </w:t>
      </w:r>
      <w:r w:rsidR="00BE1B29">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0</m:t>
            </m:r>
          </m:sub>
        </m:sSub>
        <m:r>
          <w:rPr>
            <w:rFonts w:ascii="Cambria Math" w:hAnsi="Cambria Math" w:cs="Times New Roman"/>
            <w:sz w:val="24"/>
            <w:szCs w:val="24"/>
          </w:rPr>
          <m:t>)</m:t>
        </m:r>
      </m:oMath>
      <w:r>
        <w:rPr>
          <w:rFonts w:ascii="Times New Roman" w:hAnsi="Times New Roman" w:cs="Times New Roman"/>
          <w:sz w:val="24"/>
          <w:szCs w:val="24"/>
        </w:rPr>
        <w:t xml:space="preserve"> plus the present value of the strea</w:t>
      </w:r>
      <w:r w:rsidR="00FD16EF">
        <w:rPr>
          <w:rFonts w:ascii="Times New Roman" w:hAnsi="Times New Roman" w:cs="Times New Roman"/>
          <w:sz w:val="24"/>
          <w:szCs w:val="24"/>
        </w:rPr>
        <w:t>m of</w:t>
      </w:r>
      <w:r w:rsidR="00807282">
        <w:rPr>
          <w:rFonts w:ascii="Times New Roman" w:hAnsi="Times New Roman" w:cs="Times New Roman"/>
          <w:sz w:val="24"/>
          <w:szCs w:val="24"/>
        </w:rPr>
        <w:t xml:space="preserve"> future</w:t>
      </w:r>
      <w:r w:rsidR="00FD16EF">
        <w:rPr>
          <w:rFonts w:ascii="Times New Roman" w:hAnsi="Times New Roman" w:cs="Times New Roman"/>
          <w:sz w:val="24"/>
          <w:szCs w:val="24"/>
        </w:rPr>
        <w:t xml:space="preserve"> residual income</w:t>
      </w:r>
      <w:r w:rsidR="00BE1B2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RI</m:t>
            </m:r>
          </m:e>
          <m:sub>
            <m:r>
              <w:rPr>
                <w:rFonts w:ascii="Cambria Math" w:hAnsi="Cambria Math" w:cs="Times New Roman"/>
                <w:sz w:val="24"/>
                <w:szCs w:val="24"/>
              </w:rPr>
              <m:t>t</m:t>
            </m:r>
          </m:sub>
        </m:sSub>
        <m:r>
          <w:rPr>
            <w:rFonts w:ascii="Cambria Math" w:hAnsi="Cambria Math" w:cs="Times New Roman"/>
            <w:sz w:val="24"/>
            <w:szCs w:val="24"/>
          </w:rPr>
          <m:t>)</m:t>
        </m:r>
      </m:oMath>
      <w:r w:rsidR="00FD16EF">
        <w:rPr>
          <w:rFonts w:ascii="Times New Roman" w:hAnsi="Times New Roman" w:cs="Times New Roman"/>
          <w:sz w:val="24"/>
          <w:szCs w:val="24"/>
        </w:rPr>
        <w:t>.</w:t>
      </w:r>
      <w:r w:rsidR="002242DA">
        <w:rPr>
          <w:rFonts w:ascii="Times New Roman" w:hAnsi="Times New Roman" w:cs="Times New Roman"/>
          <w:sz w:val="24"/>
          <w:szCs w:val="24"/>
        </w:rPr>
        <w:t xml:space="preserve"> Book value</w:t>
      </w:r>
      <w:r w:rsidR="00CC1079">
        <w:rPr>
          <w:rFonts w:ascii="Times New Roman" w:hAnsi="Times New Roman" w:cs="Times New Roman"/>
          <w:sz w:val="24"/>
          <w:szCs w:val="24"/>
        </w:rPr>
        <w:t xml:space="preserve"> represents the value</w:t>
      </w:r>
      <w:r w:rsidR="002242DA">
        <w:rPr>
          <w:rFonts w:ascii="Times New Roman" w:hAnsi="Times New Roman" w:cs="Times New Roman"/>
          <w:sz w:val="24"/>
          <w:szCs w:val="24"/>
        </w:rPr>
        <w:t xml:space="preserve"> of </w:t>
      </w:r>
      <w:r w:rsidR="00B14B33">
        <w:rPr>
          <w:rFonts w:ascii="Times New Roman" w:hAnsi="Times New Roman" w:cs="Times New Roman"/>
          <w:sz w:val="24"/>
          <w:szCs w:val="24"/>
        </w:rPr>
        <w:t xml:space="preserve">(net) </w:t>
      </w:r>
      <w:r w:rsidR="002242DA">
        <w:rPr>
          <w:rFonts w:ascii="Times New Roman" w:hAnsi="Times New Roman" w:cs="Times New Roman"/>
          <w:sz w:val="24"/>
          <w:szCs w:val="24"/>
        </w:rPr>
        <w:t>assets-in-place.</w:t>
      </w:r>
      <w:r w:rsidR="00FD16EF">
        <w:rPr>
          <w:rFonts w:ascii="Times New Roman" w:hAnsi="Times New Roman" w:cs="Times New Roman"/>
          <w:sz w:val="24"/>
          <w:szCs w:val="24"/>
        </w:rPr>
        <w:t xml:space="preserve"> Residual </w:t>
      </w:r>
      <w:r w:rsidR="00567319">
        <w:rPr>
          <w:rFonts w:ascii="Times New Roman" w:hAnsi="Times New Roman" w:cs="Times New Roman"/>
          <w:sz w:val="24"/>
          <w:szCs w:val="24"/>
        </w:rPr>
        <w:t>income</w:t>
      </w:r>
      <w:r w:rsidR="00FD16EF">
        <w:rPr>
          <w:rFonts w:ascii="Times New Roman" w:hAnsi="Times New Roman" w:cs="Times New Roman"/>
          <w:sz w:val="24"/>
          <w:szCs w:val="24"/>
        </w:rPr>
        <w:t xml:space="preserve"> represents</w:t>
      </w:r>
      <w:r w:rsidR="00FE1BCD">
        <w:rPr>
          <w:rFonts w:ascii="Times New Roman" w:hAnsi="Times New Roman" w:cs="Times New Roman"/>
          <w:sz w:val="24"/>
          <w:szCs w:val="24"/>
        </w:rPr>
        <w:t xml:space="preserve"> expected future</w:t>
      </w:r>
      <w:r w:rsidR="00FD16EF">
        <w:rPr>
          <w:rFonts w:ascii="Times New Roman" w:hAnsi="Times New Roman" w:cs="Times New Roman"/>
          <w:sz w:val="24"/>
          <w:szCs w:val="24"/>
        </w:rPr>
        <w:t xml:space="preserve"> earnings</w:t>
      </w:r>
      <w:r w:rsidR="00567319">
        <w:rPr>
          <w:rFonts w:ascii="Times New Roman" w:hAnsi="Times New Roman" w:cs="Times New Roman"/>
          <w:sz w:val="24"/>
          <w:szCs w:val="24"/>
        </w:rPr>
        <w:t xml:space="preserve"> </w:t>
      </w:r>
      <w:r>
        <w:rPr>
          <w:rFonts w:ascii="Times New Roman" w:hAnsi="Times New Roman" w:cs="Times New Roman"/>
          <w:sz w:val="24"/>
          <w:szCs w:val="24"/>
        </w:rPr>
        <w:t>above the level</w:t>
      </w:r>
      <w:r w:rsidR="00B72E67">
        <w:rPr>
          <w:rFonts w:ascii="Times New Roman" w:hAnsi="Times New Roman" w:cs="Times New Roman"/>
          <w:sz w:val="24"/>
          <w:szCs w:val="24"/>
        </w:rPr>
        <w:t xml:space="preserve"> that is</w:t>
      </w:r>
      <w:r>
        <w:rPr>
          <w:rFonts w:ascii="Times New Roman" w:hAnsi="Times New Roman" w:cs="Times New Roman"/>
          <w:sz w:val="24"/>
          <w:szCs w:val="24"/>
        </w:rPr>
        <w:t xml:space="preserve"> </w:t>
      </w:r>
      <w:r w:rsidR="00FD16EF">
        <w:rPr>
          <w:rFonts w:ascii="Times New Roman" w:hAnsi="Times New Roman" w:cs="Times New Roman"/>
          <w:sz w:val="24"/>
          <w:szCs w:val="24"/>
        </w:rPr>
        <w:t>required by the cost of</w:t>
      </w:r>
      <w:r w:rsidR="002242DA">
        <w:rPr>
          <w:rFonts w:ascii="Times New Roman" w:hAnsi="Times New Roman" w:cs="Times New Roman"/>
          <w:sz w:val="24"/>
          <w:szCs w:val="24"/>
        </w:rPr>
        <w:t xml:space="preserve"> equity</w:t>
      </w:r>
      <w:r w:rsidR="00FD16EF">
        <w:rPr>
          <w:rFonts w:ascii="Times New Roman" w:hAnsi="Times New Roman" w:cs="Times New Roman"/>
          <w:sz w:val="24"/>
          <w:szCs w:val="24"/>
        </w:rPr>
        <w:t xml:space="preserve"> capital</w:t>
      </w:r>
      <w:r>
        <w:rPr>
          <w:rFonts w:ascii="Times New Roman" w:hAnsi="Times New Roman" w:cs="Times New Roman"/>
          <w:sz w:val="24"/>
          <w:szCs w:val="24"/>
        </w:rPr>
        <w:t>.</w:t>
      </w:r>
      <w:r w:rsidR="00B72E67">
        <w:rPr>
          <w:rFonts w:ascii="Times New Roman" w:hAnsi="Times New Roman" w:cs="Times New Roman"/>
          <w:sz w:val="24"/>
          <w:szCs w:val="24"/>
        </w:rPr>
        <w:t xml:space="preserve"> Under the assumptions that i) residual income is a constant fraction</w:t>
      </w:r>
      <w:r w:rsidR="00801ED2">
        <w:rPr>
          <w:rFonts w:ascii="Times New Roman" w:hAnsi="Times New Roman" w:cs="Times New Roman"/>
          <w:sz w:val="24"/>
          <w:szCs w:val="24"/>
        </w:rPr>
        <w:t xml:space="preserve"> (</w:t>
      </w:r>
      <w:r w:rsidR="00215774" w:rsidRPr="003A3D4C">
        <w:rPr>
          <w:rFonts w:ascii="Cambria Math" w:hAnsi="Cambria Math" w:cs="Times New Roman"/>
          <w:i/>
          <w:sz w:val="24"/>
          <w:szCs w:val="24"/>
        </w:rPr>
        <w:t>d</w:t>
      </w:r>
      <w:r w:rsidR="00215774">
        <w:rPr>
          <w:rFonts w:ascii="Times New Roman" w:hAnsi="Times New Roman" w:cs="Times New Roman"/>
          <w:sz w:val="24"/>
          <w:szCs w:val="24"/>
        </w:rPr>
        <w:t>)</w:t>
      </w:r>
      <w:r w:rsidR="00B72E67">
        <w:rPr>
          <w:rFonts w:ascii="Times New Roman" w:hAnsi="Times New Roman" w:cs="Times New Roman"/>
          <w:sz w:val="24"/>
          <w:szCs w:val="24"/>
        </w:rPr>
        <w:t xml:space="preserve"> of </w:t>
      </w:r>
      <w:r w:rsidR="00215774">
        <w:rPr>
          <w:rFonts w:ascii="Times New Roman" w:hAnsi="Times New Roman" w:cs="Times New Roman"/>
          <w:sz w:val="24"/>
          <w:szCs w:val="24"/>
        </w:rPr>
        <w:t>net income</w:t>
      </w:r>
      <w:r w:rsidR="00453C82">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NI</m:t>
            </m:r>
          </m:e>
          <m:sub>
            <m:r>
              <w:rPr>
                <w:rFonts w:ascii="Cambria Math" w:hAnsi="Cambria Math" w:cs="Times New Roman"/>
                <w:sz w:val="24"/>
                <w:szCs w:val="24"/>
              </w:rPr>
              <m:t>t</m:t>
            </m:r>
          </m:sub>
        </m:sSub>
      </m:oMath>
      <w:r w:rsidR="00453C82">
        <w:rPr>
          <w:rFonts w:ascii="Times New Roman" w:hAnsi="Times New Roman" w:cs="Times New Roman"/>
          <w:sz w:val="24"/>
          <w:szCs w:val="24"/>
        </w:rPr>
        <w:t>)</w:t>
      </w:r>
      <w:r w:rsidR="00B72E67">
        <w:rPr>
          <w:rFonts w:ascii="Times New Roman" w:hAnsi="Times New Roman" w:cs="Times New Roman"/>
          <w:sz w:val="24"/>
          <w:szCs w:val="24"/>
        </w:rPr>
        <w:t xml:space="preserve">, and ii) </w:t>
      </w:r>
      <w:r w:rsidR="00215774">
        <w:rPr>
          <w:rFonts w:ascii="Times New Roman" w:hAnsi="Times New Roman" w:cs="Times New Roman"/>
          <w:sz w:val="24"/>
          <w:szCs w:val="24"/>
        </w:rPr>
        <w:t>net income</w:t>
      </w:r>
      <w:r w:rsidR="000F49B5">
        <w:rPr>
          <w:rFonts w:ascii="Times New Roman" w:hAnsi="Times New Roman" w:cs="Times New Roman"/>
          <w:sz w:val="24"/>
          <w:szCs w:val="24"/>
        </w:rPr>
        <w:t xml:space="preserve"> </w:t>
      </w:r>
      <w:r w:rsidR="00B72E67">
        <w:rPr>
          <w:rFonts w:ascii="Times New Roman" w:hAnsi="Times New Roman" w:cs="Times New Roman"/>
          <w:sz w:val="24"/>
          <w:szCs w:val="24"/>
        </w:rPr>
        <w:t>grow</w:t>
      </w:r>
      <w:r w:rsidR="000F49B5">
        <w:rPr>
          <w:rFonts w:ascii="Times New Roman" w:hAnsi="Times New Roman" w:cs="Times New Roman"/>
          <w:sz w:val="24"/>
          <w:szCs w:val="24"/>
        </w:rPr>
        <w:t>s</w:t>
      </w:r>
      <w:r w:rsidR="00B72E67">
        <w:rPr>
          <w:rFonts w:ascii="Times New Roman" w:hAnsi="Times New Roman" w:cs="Times New Roman"/>
          <w:sz w:val="24"/>
          <w:szCs w:val="24"/>
        </w:rPr>
        <w:t xml:space="preserve"> at a constant rate </w:t>
      </w:r>
      <w:r w:rsidR="00801ED2" w:rsidRPr="003A3D4C">
        <w:rPr>
          <w:rFonts w:ascii="Cambria Math" w:hAnsi="Cambria Math" w:cs="Times New Roman"/>
          <w:i/>
          <w:sz w:val="24"/>
          <w:szCs w:val="24"/>
        </w:rPr>
        <w:t>g</w:t>
      </w:r>
      <w:r w:rsidR="00801ED2">
        <w:rPr>
          <w:rFonts w:ascii="Times New Roman" w:hAnsi="Times New Roman" w:cs="Times New Roman"/>
          <w:sz w:val="24"/>
          <w:szCs w:val="24"/>
        </w:rPr>
        <w:t xml:space="preserve"> </w:t>
      </w:r>
      <w:r w:rsidR="00B72E67">
        <w:rPr>
          <w:rFonts w:ascii="Times New Roman" w:hAnsi="Times New Roman" w:cs="Times New Roman"/>
          <w:sz w:val="24"/>
          <w:szCs w:val="24"/>
        </w:rPr>
        <w:t xml:space="preserve">in perpetuity </w:t>
      </w:r>
      <w:r w:rsidR="00801ED2">
        <w:rPr>
          <w:rFonts w:ascii="Times New Roman" w:hAnsi="Times New Roman" w:cs="Times New Roman"/>
          <w:sz w:val="24"/>
          <w:szCs w:val="24"/>
        </w:rPr>
        <w:t xml:space="preserve">(where </w:t>
      </w:r>
      <w:r w:rsidR="00B72E67" w:rsidRPr="003A3D4C">
        <w:rPr>
          <w:rFonts w:ascii="Cambria Math" w:hAnsi="Cambria Math" w:cs="Times New Roman"/>
          <w:i/>
          <w:sz w:val="24"/>
          <w:szCs w:val="24"/>
        </w:rPr>
        <w:t>r</w:t>
      </w:r>
      <w:r w:rsidR="008508AE" w:rsidRPr="003A3D4C">
        <w:rPr>
          <w:rFonts w:ascii="Cambria Math" w:hAnsi="Cambria Math" w:cs="Times New Roman"/>
          <w:i/>
          <w:sz w:val="24"/>
          <w:szCs w:val="24"/>
        </w:rPr>
        <w:t xml:space="preserve"> </w:t>
      </w:r>
      <w:r w:rsidR="00B72E67" w:rsidRPr="003A3D4C">
        <w:rPr>
          <w:rFonts w:ascii="Cambria Math" w:hAnsi="Cambria Math" w:cs="Times New Roman"/>
          <w:i/>
          <w:sz w:val="24"/>
          <w:szCs w:val="24"/>
        </w:rPr>
        <w:t>&gt;</w:t>
      </w:r>
      <w:r w:rsidR="008508AE" w:rsidRPr="003A3D4C">
        <w:rPr>
          <w:rFonts w:ascii="Cambria Math" w:hAnsi="Cambria Math" w:cs="Times New Roman"/>
          <w:i/>
          <w:sz w:val="24"/>
          <w:szCs w:val="24"/>
        </w:rPr>
        <w:t xml:space="preserve"> </w:t>
      </w:r>
      <w:r w:rsidR="00B72E67" w:rsidRPr="003A3D4C">
        <w:rPr>
          <w:rFonts w:ascii="Cambria Math" w:hAnsi="Cambria Math" w:cs="Times New Roman"/>
          <w:i/>
          <w:sz w:val="24"/>
          <w:szCs w:val="24"/>
        </w:rPr>
        <w:t>g</w:t>
      </w:r>
      <w:r w:rsidR="00B72E67">
        <w:rPr>
          <w:rFonts w:ascii="Times New Roman" w:hAnsi="Times New Roman" w:cs="Times New Roman"/>
          <w:sz w:val="24"/>
          <w:szCs w:val="24"/>
        </w:rPr>
        <w:t>), the present value of the stream of res</w:t>
      </w:r>
      <w:r w:rsidR="00215774">
        <w:rPr>
          <w:rFonts w:ascii="Times New Roman" w:hAnsi="Times New Roman" w:cs="Times New Roman"/>
          <w:sz w:val="24"/>
          <w:szCs w:val="24"/>
        </w:rPr>
        <w:t>idual income can be expressed as</w:t>
      </w:r>
      <w:r w:rsidR="00FE1BC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NI</m:t>
            </m:r>
          </m:e>
          <m:sub>
            <m:r>
              <w:rPr>
                <w:rFonts w:ascii="Cambria Math" w:hAnsi="Cambria Math" w:cs="Times New Roman"/>
                <w:sz w:val="24"/>
                <w:szCs w:val="24"/>
              </w:rPr>
              <m:t>0</m:t>
            </m:r>
          </m:sub>
        </m:sSub>
      </m:oMath>
      <w:r w:rsidR="00E83448">
        <w:rPr>
          <w:rFonts w:ascii="Times New Roman" w:eastAsiaTheme="minorEastAsia" w:hAnsi="Times New Roman" w:cs="Times New Roman"/>
          <w:sz w:val="24"/>
          <w:szCs w:val="24"/>
        </w:rPr>
        <w:t>*</w:t>
      </w:r>
      <m:oMath>
        <m:d>
          <m:dPr>
            <m:ctrlPr>
              <w:rPr>
                <w:rFonts w:ascii="Cambria Math" w:hAnsi="Cambria Math" w:cs="Times New Roman"/>
                <w:i/>
                <w:sz w:val="24"/>
                <w:szCs w:val="24"/>
              </w:rPr>
            </m:ctrlPr>
          </m:dPr>
          <m:e>
            <m:r>
              <w:rPr>
                <w:rFonts w:ascii="Cambria Math" w:hAnsi="Cambria Math" w:cs="Times New Roman"/>
                <w:sz w:val="24"/>
                <w:szCs w:val="24"/>
              </w:rPr>
              <m:t>1+g</m:t>
            </m:r>
          </m:e>
        </m:d>
      </m:oMath>
      <w:r w:rsidR="00E83448">
        <w:rPr>
          <w:rFonts w:ascii="Times New Roman" w:eastAsiaTheme="minorEastAsia" w:hAnsi="Times New Roman" w:cs="Times New Roman"/>
          <w:sz w:val="24"/>
          <w:szCs w:val="24"/>
        </w:rPr>
        <w:t>*</w:t>
      </w:r>
      <w:r w:rsidR="008508AE" w:rsidRPr="003A3D4C">
        <w:rPr>
          <w:rFonts w:ascii="Cambria Math" w:eastAsiaTheme="minorEastAsia" w:hAnsi="Cambria Math" w:cs="Times New Roman"/>
          <w:i/>
          <w:sz w:val="24"/>
          <w:szCs w:val="24"/>
        </w:rPr>
        <w:t>d</w:t>
      </w:r>
      <w:r w:rsidR="00FE1BCD" w:rsidRPr="003A3D4C">
        <w:rPr>
          <w:rFonts w:ascii="Cambria Math" w:hAnsi="Cambria Math" w:cs="Times New Roman"/>
          <w:i/>
          <w:sz w:val="24"/>
          <w:szCs w:val="24"/>
        </w:rPr>
        <w:t>/(r</w:t>
      </w:r>
      <w:r w:rsidR="008508AE" w:rsidRPr="003A3D4C">
        <w:rPr>
          <w:rFonts w:ascii="Cambria Math" w:hAnsi="Cambria Math" w:cs="Times New Roman"/>
          <w:i/>
          <w:sz w:val="24"/>
          <w:szCs w:val="24"/>
        </w:rPr>
        <w:t>–</w:t>
      </w:r>
      <w:r w:rsidR="00FE1BCD" w:rsidRPr="003A3D4C">
        <w:rPr>
          <w:rFonts w:ascii="Cambria Math" w:hAnsi="Cambria Math" w:cs="Times New Roman"/>
          <w:i/>
          <w:sz w:val="24"/>
          <w:szCs w:val="24"/>
        </w:rPr>
        <w:t>g)</w:t>
      </w:r>
      <w:r w:rsidR="00FE1BCD">
        <w:rPr>
          <w:rFonts w:ascii="Times New Roman" w:hAnsi="Times New Roman" w:cs="Times New Roman"/>
          <w:i/>
          <w:sz w:val="24"/>
          <w:szCs w:val="24"/>
        </w:rPr>
        <w:t>.</w:t>
      </w:r>
      <w:r w:rsidR="00453C82">
        <w:rPr>
          <w:rFonts w:ascii="Times New Roman" w:eastAsiaTheme="minorEastAsia" w:hAnsi="Times New Roman" w:cs="Times New Roman"/>
          <w:sz w:val="24"/>
          <w:szCs w:val="24"/>
        </w:rPr>
        <w:t xml:space="preserve"> T</w:t>
      </w:r>
      <w:r w:rsidR="00FE1BCD">
        <w:rPr>
          <w:rFonts w:ascii="Times New Roman" w:eastAsiaTheme="minorEastAsia" w:hAnsi="Times New Roman" w:cs="Times New Roman"/>
          <w:sz w:val="24"/>
          <w:szCs w:val="24"/>
        </w:rPr>
        <w:t>hat is</w:t>
      </w:r>
      <w:r w:rsidR="00453C82">
        <w:rPr>
          <w:rFonts w:ascii="Times New Roman" w:eastAsiaTheme="minorEastAsia" w:hAnsi="Times New Roman" w:cs="Times New Roman"/>
          <w:sz w:val="24"/>
          <w:szCs w:val="24"/>
        </w:rPr>
        <w:t xml:space="preserve">, the second term in </w:t>
      </w:r>
      <w:r w:rsidR="008508AE">
        <w:rPr>
          <w:rFonts w:ascii="Times New Roman" w:eastAsiaTheme="minorEastAsia" w:hAnsi="Times New Roman" w:cs="Times New Roman"/>
          <w:sz w:val="24"/>
          <w:szCs w:val="24"/>
        </w:rPr>
        <w:t xml:space="preserve">eq. </w:t>
      </w:r>
      <w:r w:rsidR="00453C82">
        <w:rPr>
          <w:rFonts w:ascii="Times New Roman" w:eastAsiaTheme="minorEastAsia" w:hAnsi="Times New Roman" w:cs="Times New Roman"/>
          <w:sz w:val="24"/>
          <w:szCs w:val="24"/>
        </w:rPr>
        <w:t>(</w:t>
      </w:r>
      <w:r w:rsidR="00982A89">
        <w:rPr>
          <w:rFonts w:ascii="Times New Roman" w:eastAsiaTheme="minorEastAsia" w:hAnsi="Times New Roman" w:cs="Times New Roman"/>
          <w:sz w:val="24"/>
          <w:szCs w:val="24"/>
        </w:rPr>
        <w:t>4</w:t>
      </w:r>
      <w:r w:rsidR="00453C82">
        <w:rPr>
          <w:rFonts w:ascii="Times New Roman" w:eastAsiaTheme="minorEastAsia" w:hAnsi="Times New Roman" w:cs="Times New Roman"/>
          <w:sz w:val="24"/>
          <w:szCs w:val="24"/>
        </w:rPr>
        <w:t xml:space="preserve">) can be expressed as a multiple of </w:t>
      </w:r>
      <w:r w:rsidR="001D4959">
        <w:rPr>
          <w:rFonts w:ascii="Times New Roman" w:eastAsiaTheme="minorEastAsia" w:hAnsi="Times New Roman" w:cs="Times New Roman"/>
          <w:sz w:val="24"/>
          <w:szCs w:val="24"/>
        </w:rPr>
        <w:t>current</w:t>
      </w:r>
      <w:r w:rsidR="005E1BA7">
        <w:rPr>
          <w:rFonts w:ascii="Times New Roman" w:eastAsiaTheme="minorEastAsia" w:hAnsi="Times New Roman" w:cs="Times New Roman"/>
          <w:sz w:val="24"/>
          <w:szCs w:val="24"/>
        </w:rPr>
        <w:t xml:space="preserve"> </w:t>
      </w:r>
      <w:r w:rsidR="001D4959">
        <w:rPr>
          <w:rFonts w:ascii="Times New Roman" w:eastAsiaTheme="minorEastAsia" w:hAnsi="Times New Roman" w:cs="Times New Roman"/>
          <w:sz w:val="24"/>
          <w:szCs w:val="24"/>
        </w:rPr>
        <w:t xml:space="preserve">net </w:t>
      </w:r>
      <w:r w:rsidR="005E1BA7">
        <w:rPr>
          <w:rFonts w:ascii="Times New Roman" w:eastAsiaTheme="minorEastAsia" w:hAnsi="Times New Roman" w:cs="Times New Roman"/>
          <w:sz w:val="24"/>
          <w:szCs w:val="24"/>
        </w:rPr>
        <w:t>income</w:t>
      </w:r>
      <w:r w:rsidR="00453C82">
        <w:rPr>
          <w:rFonts w:ascii="Times New Roman" w:eastAsiaTheme="minorEastAsia" w:hAnsi="Times New Roman" w:cs="Times New Roman"/>
          <w:sz w:val="24"/>
          <w:szCs w:val="24"/>
        </w:rPr>
        <w:t>.</w:t>
      </w:r>
      <w:r w:rsidR="00801ED2">
        <w:rPr>
          <w:rFonts w:ascii="Times New Roman" w:eastAsiaTheme="minorEastAsia" w:hAnsi="Times New Roman" w:cs="Times New Roman"/>
          <w:sz w:val="24"/>
          <w:szCs w:val="24"/>
        </w:rPr>
        <w:t xml:space="preserve"> </w:t>
      </w:r>
      <w:r w:rsidR="00AE558B">
        <w:rPr>
          <w:rFonts w:ascii="Times New Roman" w:eastAsiaTheme="minorEastAsia" w:hAnsi="Times New Roman" w:cs="Times New Roman"/>
          <w:sz w:val="24"/>
          <w:szCs w:val="24"/>
        </w:rPr>
        <w:t>R</w:t>
      </w:r>
      <w:r w:rsidR="00215774">
        <w:rPr>
          <w:rFonts w:ascii="Times New Roman" w:eastAsiaTheme="minorEastAsia" w:hAnsi="Times New Roman" w:cs="Times New Roman"/>
          <w:sz w:val="24"/>
          <w:szCs w:val="24"/>
        </w:rPr>
        <w:t xml:space="preserve">RV </w:t>
      </w:r>
      <w:r w:rsidR="00FE1BCD">
        <w:rPr>
          <w:rFonts w:ascii="Times New Roman" w:eastAsiaTheme="minorEastAsia" w:hAnsi="Times New Roman" w:cs="Times New Roman"/>
          <w:sz w:val="24"/>
          <w:szCs w:val="24"/>
        </w:rPr>
        <w:t>propose to inf</w:t>
      </w:r>
      <w:r w:rsidR="00801ED2">
        <w:rPr>
          <w:rFonts w:ascii="Times New Roman" w:eastAsiaTheme="minorEastAsia" w:hAnsi="Times New Roman" w:cs="Times New Roman"/>
          <w:sz w:val="24"/>
          <w:szCs w:val="24"/>
        </w:rPr>
        <w:t>er this</w:t>
      </w:r>
      <w:r w:rsidR="00FE1BCD">
        <w:rPr>
          <w:rFonts w:ascii="Times New Roman" w:eastAsiaTheme="minorEastAsia" w:hAnsi="Times New Roman" w:cs="Times New Roman"/>
          <w:sz w:val="24"/>
          <w:szCs w:val="24"/>
        </w:rPr>
        <w:t xml:space="preserve"> multiple from stock prices and</w:t>
      </w:r>
      <w:r w:rsidR="008D0727">
        <w:rPr>
          <w:rFonts w:ascii="Times New Roman" w:eastAsiaTheme="minorEastAsia" w:hAnsi="Times New Roman" w:cs="Times New Roman"/>
          <w:sz w:val="24"/>
          <w:szCs w:val="24"/>
        </w:rPr>
        <w:t xml:space="preserve"> accounting</w:t>
      </w:r>
      <w:r w:rsidR="00FE1BCD">
        <w:rPr>
          <w:rFonts w:ascii="Times New Roman" w:eastAsiaTheme="minorEastAsia" w:hAnsi="Times New Roman" w:cs="Times New Roman"/>
          <w:sz w:val="24"/>
          <w:szCs w:val="24"/>
        </w:rPr>
        <w:t xml:space="preserve"> fundamentals o</w:t>
      </w:r>
      <w:r w:rsidR="008D0727">
        <w:rPr>
          <w:rFonts w:ascii="Times New Roman" w:eastAsiaTheme="minorEastAsia" w:hAnsi="Times New Roman" w:cs="Times New Roman"/>
          <w:sz w:val="24"/>
          <w:szCs w:val="24"/>
        </w:rPr>
        <w:t>f all firms in the same</w:t>
      </w:r>
      <w:r w:rsidR="003A3D4C">
        <w:rPr>
          <w:rFonts w:ascii="Times New Roman" w:eastAsiaTheme="minorEastAsia" w:hAnsi="Times New Roman" w:cs="Times New Roman"/>
          <w:sz w:val="24"/>
          <w:szCs w:val="24"/>
        </w:rPr>
        <w:t xml:space="preserve"> industry-year</w:t>
      </w:r>
      <w:r w:rsidR="00FE1BCD">
        <w:rPr>
          <w:rFonts w:ascii="Times New Roman" w:eastAsiaTheme="minorEastAsia" w:hAnsi="Times New Roman" w:cs="Times New Roman"/>
          <w:sz w:val="24"/>
          <w:szCs w:val="24"/>
        </w:rPr>
        <w:t xml:space="preserve"> by running a cross-sectional</w:t>
      </w:r>
      <w:r w:rsidR="0073370C">
        <w:rPr>
          <w:rFonts w:ascii="Times New Roman" w:eastAsiaTheme="minorEastAsia" w:hAnsi="Times New Roman" w:cs="Times New Roman"/>
          <w:sz w:val="24"/>
          <w:szCs w:val="24"/>
        </w:rPr>
        <w:t xml:space="preserve"> </w:t>
      </w:r>
      <w:r w:rsidR="00FE1BCD">
        <w:rPr>
          <w:rFonts w:ascii="Times New Roman" w:eastAsiaTheme="minorEastAsia" w:hAnsi="Times New Roman" w:cs="Times New Roman"/>
          <w:sz w:val="24"/>
          <w:szCs w:val="24"/>
        </w:rPr>
        <w:t xml:space="preserve">regression of market value of equity on book value and net income. </w:t>
      </w:r>
      <w:r w:rsidR="008508AE">
        <w:rPr>
          <w:rFonts w:ascii="Times New Roman" w:eastAsiaTheme="minorEastAsia" w:hAnsi="Times New Roman" w:cs="Times New Roman"/>
          <w:sz w:val="24"/>
          <w:szCs w:val="24"/>
        </w:rPr>
        <w:t>The actual regression run by RRV is of the following form</w:t>
      </w:r>
      <w:r w:rsidR="007A62B5">
        <w:rPr>
          <w:rFonts w:ascii="Times New Roman" w:eastAsiaTheme="minorEastAsia" w:hAnsi="Times New Roman" w:cs="Times New Roman"/>
          <w:sz w:val="24"/>
          <w:szCs w:val="24"/>
        </w:rPr>
        <w:t>:</w:t>
      </w:r>
    </w:p>
    <w:p w14:paraId="634C8551" w14:textId="0115A221" w:rsidR="008508AE" w:rsidRDefault="008508AE" w:rsidP="001C5B78">
      <w:pPr>
        <w:spacing w:line="480" w:lineRule="auto"/>
        <w:jc w:val="right"/>
        <w:rPr>
          <w:rFonts w:ascii="Times New Roman" w:hAnsi="Times New Roman" w:cs="Times New Roman"/>
          <w:sz w:val="24"/>
          <w:szCs w:val="24"/>
        </w:rPr>
      </w:pPr>
      <w:proofErr w:type="spellStart"/>
      <w:r w:rsidRPr="00051700">
        <w:rPr>
          <w:rFonts w:ascii="Cambria Math" w:hAnsi="Cambria Math" w:cs="Times New Roman"/>
          <w:i/>
          <w:sz w:val="24"/>
          <w:szCs w:val="24"/>
        </w:rPr>
        <w:t>m</w:t>
      </w:r>
      <w:r w:rsidRPr="00051700">
        <w:rPr>
          <w:rFonts w:ascii="Cambria Math" w:hAnsi="Cambria Math" w:cs="Times New Roman"/>
          <w:i/>
          <w:sz w:val="24"/>
          <w:szCs w:val="24"/>
          <w:vertAlign w:val="subscript"/>
        </w:rPr>
        <w:t>it</w:t>
      </w:r>
      <w:proofErr w:type="spellEnd"/>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0jt</w:t>
      </w:r>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1jt</w:t>
      </w:r>
      <w:r w:rsidRPr="00051700">
        <w:rPr>
          <w:rFonts w:ascii="Cambria Math" w:hAnsi="Cambria Math" w:cs="Times New Roman"/>
          <w:i/>
          <w:sz w:val="24"/>
          <w:szCs w:val="24"/>
        </w:rPr>
        <w:t>b</w:t>
      </w:r>
      <w:r w:rsidRPr="00051700">
        <w:rPr>
          <w:rFonts w:ascii="Cambria Math" w:hAnsi="Cambria Math" w:cs="Times New Roman"/>
          <w:i/>
          <w:sz w:val="24"/>
          <w:szCs w:val="24"/>
          <w:vertAlign w:val="subscript"/>
        </w:rPr>
        <w:t xml:space="preserve">it </w:t>
      </w:r>
      <w:r w:rsidRPr="00051700">
        <w:rPr>
          <w:rFonts w:ascii="Cambria Math" w:hAnsi="Cambria Math" w:cs="Times New Roman"/>
          <w:i/>
          <w:sz w:val="24"/>
          <w:szCs w:val="24"/>
        </w:rPr>
        <w:t>+ α</w:t>
      </w:r>
      <w:r w:rsidRPr="00051700">
        <w:rPr>
          <w:rFonts w:ascii="Cambria Math" w:hAnsi="Cambria Math" w:cs="Times New Roman"/>
          <w:i/>
          <w:sz w:val="24"/>
          <w:szCs w:val="24"/>
          <w:vertAlign w:val="subscript"/>
        </w:rPr>
        <w:t>2jt</w:t>
      </w:r>
      <w:r w:rsidR="00924BE1">
        <w:rPr>
          <w:rFonts w:ascii="Cambria Math" w:hAnsi="Cambria Math" w:cs="Times New Roman"/>
          <w:i/>
          <w:sz w:val="24"/>
          <w:szCs w:val="24"/>
          <w:vertAlign w:val="subscript"/>
        </w:rPr>
        <w:t xml:space="preserve"> </w:t>
      </w:r>
      <w:r w:rsidR="00924BE1" w:rsidRPr="00924BE1">
        <w:rPr>
          <w:rFonts w:ascii="Cambria Math" w:hAnsi="Cambria Math" w:cs="Times New Roman"/>
          <w:sz w:val="24"/>
          <w:szCs w:val="24"/>
        </w:rPr>
        <w:t>|</w:t>
      </w:r>
      <w:proofErr w:type="spellStart"/>
      <w:r w:rsidRPr="00051700">
        <w:rPr>
          <w:rFonts w:ascii="Cambria Math" w:hAnsi="Cambria Math" w:cs="Times New Roman"/>
          <w:i/>
          <w:sz w:val="24"/>
          <w:szCs w:val="24"/>
        </w:rPr>
        <w:t>ni</w:t>
      </w:r>
      <w:r w:rsidR="00D3340C" w:rsidRPr="00051700">
        <w:rPr>
          <w:rFonts w:ascii="Cambria Math" w:hAnsi="Cambria Math" w:cs="Times New Roman"/>
          <w:i/>
          <w:sz w:val="24"/>
          <w:szCs w:val="24"/>
          <w:vertAlign w:val="subscript"/>
        </w:rPr>
        <w:t>it</w:t>
      </w:r>
      <w:proofErr w:type="spellEnd"/>
      <w:r w:rsidR="00924BE1">
        <w:rPr>
          <w:rFonts w:ascii="Cambria Math" w:hAnsi="Cambria Math" w:cs="Times New Roman"/>
          <w:sz w:val="24"/>
          <w:szCs w:val="24"/>
        </w:rPr>
        <w:t>|</w:t>
      </w:r>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3jt</w:t>
      </w:r>
      <w:r w:rsidRPr="00051700">
        <w:rPr>
          <w:rFonts w:ascii="Cambria Math" w:hAnsi="Cambria Math" w:cs="Times New Roman"/>
          <w:i/>
          <w:sz w:val="24"/>
          <w:szCs w:val="24"/>
        </w:rPr>
        <w:t>I</w:t>
      </w:r>
      <w:r w:rsidRPr="00051700">
        <w:rPr>
          <w:rFonts w:ascii="Cambria Math" w:hAnsi="Cambria Math" w:cs="Times New Roman"/>
          <w:i/>
          <w:sz w:val="24"/>
          <w:szCs w:val="24"/>
          <w:vertAlign w:val="subscript"/>
        </w:rPr>
        <w:t>(</w:t>
      </w:r>
      <w:r w:rsidR="00E7418E">
        <w:rPr>
          <w:rFonts w:ascii="Cambria Math" w:hAnsi="Cambria Math" w:cs="Times New Roman"/>
          <w:i/>
          <w:sz w:val="24"/>
          <w:szCs w:val="24"/>
          <w:vertAlign w:val="subscript"/>
        </w:rPr>
        <w:t>NI</w:t>
      </w:r>
      <w:r w:rsidRPr="00051700">
        <w:rPr>
          <w:rFonts w:ascii="Cambria Math" w:hAnsi="Cambria Math" w:cs="Times New Roman"/>
          <w:i/>
          <w:sz w:val="24"/>
          <w:szCs w:val="24"/>
          <w:vertAlign w:val="subscript"/>
        </w:rPr>
        <w:t>&lt;0)</w:t>
      </w:r>
      <w:r w:rsidR="00F114EA" w:rsidRPr="00924BE1">
        <w:rPr>
          <w:rFonts w:ascii="Cambria Math" w:hAnsi="Cambria Math" w:cs="Times New Roman"/>
          <w:sz w:val="24"/>
          <w:szCs w:val="24"/>
        </w:rPr>
        <w:t>×</w:t>
      </w:r>
      <w:r w:rsidR="00924BE1" w:rsidRPr="00924BE1">
        <w:rPr>
          <w:rFonts w:ascii="Cambria Math" w:hAnsi="Cambria Math" w:cs="Times New Roman"/>
          <w:sz w:val="24"/>
          <w:szCs w:val="24"/>
        </w:rPr>
        <w:t>|</w:t>
      </w:r>
      <w:proofErr w:type="spellStart"/>
      <w:r w:rsidR="00D3340C" w:rsidRPr="00051700">
        <w:rPr>
          <w:rFonts w:ascii="Cambria Math" w:hAnsi="Cambria Math" w:cs="Times New Roman"/>
          <w:i/>
          <w:sz w:val="24"/>
          <w:szCs w:val="24"/>
        </w:rPr>
        <w:t>ni</w:t>
      </w:r>
      <w:r w:rsidR="00D3340C" w:rsidRPr="00051700">
        <w:rPr>
          <w:rFonts w:ascii="Cambria Math" w:hAnsi="Cambria Math" w:cs="Times New Roman"/>
          <w:i/>
          <w:sz w:val="24"/>
          <w:szCs w:val="24"/>
          <w:vertAlign w:val="subscript"/>
        </w:rPr>
        <w:t>it</w:t>
      </w:r>
      <w:proofErr w:type="spellEnd"/>
      <w:r w:rsidR="00924BE1" w:rsidRPr="00924BE1">
        <w:rPr>
          <w:rFonts w:ascii="Cambria Math" w:hAnsi="Cambria Math" w:cs="Times New Roman"/>
          <w:sz w:val="24"/>
          <w:szCs w:val="24"/>
        </w:rPr>
        <w:t>|</w:t>
      </w:r>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4jt</w:t>
      </w:r>
      <w:r w:rsidRPr="00051700">
        <w:rPr>
          <w:rFonts w:ascii="Cambria Math" w:hAnsi="Cambria Math" w:cs="Times New Roman"/>
          <w:i/>
          <w:sz w:val="24"/>
          <w:szCs w:val="24"/>
        </w:rPr>
        <w:t>LEV</w:t>
      </w:r>
      <w:r w:rsidRPr="00051700">
        <w:rPr>
          <w:rFonts w:ascii="Cambria Math" w:hAnsi="Cambria Math" w:cs="Times New Roman"/>
          <w:i/>
          <w:sz w:val="24"/>
          <w:szCs w:val="24"/>
          <w:vertAlign w:val="subscript"/>
        </w:rPr>
        <w:t>it</w:t>
      </w:r>
      <w:r w:rsidRPr="00051700">
        <w:rPr>
          <w:rFonts w:ascii="Cambria Math" w:hAnsi="Cambria Math" w:cs="Times New Roman"/>
          <w:i/>
          <w:sz w:val="24"/>
          <w:szCs w:val="24"/>
        </w:rPr>
        <w:t xml:space="preserve"> + </w:t>
      </w:r>
      <w:proofErr w:type="spellStart"/>
      <w:r w:rsidRPr="00051700">
        <w:rPr>
          <w:rFonts w:ascii="Cambria Math" w:hAnsi="Cambria Math" w:cs="Times New Roman"/>
          <w:i/>
          <w:sz w:val="24"/>
          <w:szCs w:val="24"/>
        </w:rPr>
        <w:t>ε</w:t>
      </w:r>
      <w:r w:rsidRPr="00051700">
        <w:rPr>
          <w:rFonts w:ascii="Cambria Math" w:hAnsi="Cambria Math" w:cs="Times New Roman"/>
          <w:i/>
          <w:sz w:val="24"/>
          <w:szCs w:val="24"/>
          <w:vertAlign w:val="subscript"/>
        </w:rPr>
        <w:t>it</w:t>
      </w:r>
      <w:proofErr w:type="spellEnd"/>
      <w:r w:rsidRPr="00051700">
        <w:rPr>
          <w:rFonts w:ascii="Cambria Math" w:hAnsi="Cambria Math" w:cs="Times New Roman"/>
          <w:i/>
          <w:sz w:val="24"/>
          <w:szCs w:val="24"/>
        </w:rPr>
        <w:t>,</w:t>
      </w:r>
      <w:r w:rsidR="00822731">
        <w:rPr>
          <w:rFonts w:ascii="Times New Roman" w:hAnsi="Times New Roman" w:cs="Times New Roman"/>
          <w:i/>
          <w:sz w:val="24"/>
          <w:szCs w:val="24"/>
        </w:rPr>
        <w:t xml:space="preserve"> </w:t>
      </w:r>
      <w:r>
        <w:rPr>
          <w:rFonts w:ascii="Times New Roman" w:hAnsi="Times New Roman" w:cs="Times New Roman"/>
          <w:i/>
          <w:sz w:val="24"/>
          <w:szCs w:val="24"/>
        </w:rPr>
        <w:tab/>
      </w:r>
      <w:r w:rsidR="00822731">
        <w:rPr>
          <w:rFonts w:ascii="Times New Roman" w:hAnsi="Times New Roman" w:cs="Times New Roman"/>
          <w:i/>
          <w:sz w:val="24"/>
          <w:szCs w:val="24"/>
        </w:rPr>
        <w:t xml:space="preserve"> </w:t>
      </w:r>
      <w:r w:rsidR="00924BE1">
        <w:rPr>
          <w:rFonts w:ascii="Times New Roman" w:hAnsi="Times New Roman" w:cs="Times New Roman"/>
          <w:i/>
          <w:sz w:val="24"/>
          <w:szCs w:val="24"/>
        </w:rPr>
        <w:tab/>
      </w:r>
      <w:r w:rsidRPr="00EF1703">
        <w:rPr>
          <w:rFonts w:ascii="Times New Roman" w:hAnsi="Times New Roman" w:cs="Times New Roman"/>
          <w:i/>
          <w:sz w:val="24"/>
          <w:szCs w:val="24"/>
        </w:rPr>
        <w:t xml:space="preserve">  </w:t>
      </w:r>
      <w:r w:rsidRPr="00EF1703">
        <w:rPr>
          <w:rFonts w:ascii="Times New Roman" w:hAnsi="Times New Roman" w:cs="Times New Roman"/>
          <w:sz w:val="24"/>
          <w:szCs w:val="24"/>
        </w:rPr>
        <w:t>(</w:t>
      </w:r>
      <w:r w:rsidR="00982A89">
        <w:rPr>
          <w:rFonts w:ascii="Times New Roman" w:hAnsi="Times New Roman" w:cs="Times New Roman"/>
          <w:sz w:val="24"/>
          <w:szCs w:val="24"/>
        </w:rPr>
        <w:t>5</w:t>
      </w:r>
      <w:r w:rsidRPr="00EF1703">
        <w:rPr>
          <w:rFonts w:ascii="Times New Roman" w:hAnsi="Times New Roman" w:cs="Times New Roman"/>
          <w:sz w:val="24"/>
          <w:szCs w:val="24"/>
        </w:rPr>
        <w:t>)</w:t>
      </w:r>
    </w:p>
    <w:p w14:paraId="09A36BB7" w14:textId="353BDF40" w:rsidR="00886C68" w:rsidRDefault="008508AE" w:rsidP="00E53B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proofErr w:type="spellStart"/>
      <w:r w:rsidRPr="00A7130E">
        <w:rPr>
          <w:rFonts w:ascii="Times New Roman" w:hAnsi="Times New Roman" w:cs="Times New Roman"/>
          <w:i/>
          <w:sz w:val="24"/>
          <w:szCs w:val="24"/>
        </w:rPr>
        <w:t>m</w:t>
      </w:r>
      <w:r w:rsidRPr="00A7130E">
        <w:rPr>
          <w:rFonts w:ascii="Times New Roman" w:hAnsi="Times New Roman" w:cs="Times New Roman"/>
          <w:i/>
          <w:sz w:val="24"/>
          <w:szCs w:val="24"/>
          <w:vertAlign w:val="subscript"/>
        </w:rPr>
        <w:t>it</w:t>
      </w:r>
      <w:proofErr w:type="spellEnd"/>
      <w:r>
        <w:rPr>
          <w:rFonts w:ascii="Times New Roman" w:hAnsi="Times New Roman" w:cs="Times New Roman"/>
          <w:i/>
          <w:sz w:val="24"/>
          <w:szCs w:val="24"/>
          <w:vertAlign w:val="subscript"/>
        </w:rPr>
        <w:t xml:space="preserve"> </w:t>
      </w:r>
      <w:r>
        <w:rPr>
          <w:rFonts w:ascii="Times New Roman" w:hAnsi="Times New Roman" w:cs="Times New Roman"/>
          <w:sz w:val="24"/>
          <w:szCs w:val="24"/>
          <w:vertAlign w:val="subscript"/>
        </w:rPr>
        <w:t xml:space="preserve"> </w:t>
      </w:r>
      <w:r w:rsidRPr="008863F3">
        <w:rPr>
          <w:rFonts w:ascii="Times New Roman" w:hAnsi="Times New Roman" w:cs="Times New Roman"/>
          <w:sz w:val="24"/>
          <w:szCs w:val="24"/>
        </w:rPr>
        <w:t>is log market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value of equity, </w:t>
      </w:r>
      <w:r w:rsidRPr="00A7130E">
        <w:rPr>
          <w:rFonts w:ascii="Times New Roman" w:hAnsi="Times New Roman" w:cs="Times New Roman"/>
          <w:i/>
          <w:sz w:val="24"/>
          <w:szCs w:val="24"/>
        </w:rPr>
        <w:t>b</w:t>
      </w:r>
      <w:r w:rsidRPr="00A7130E">
        <w:rPr>
          <w:rFonts w:ascii="Times New Roman" w:hAnsi="Times New Roman" w:cs="Times New Roman"/>
          <w:i/>
          <w:sz w:val="24"/>
          <w:szCs w:val="24"/>
          <w:vertAlign w:val="subscript"/>
        </w:rPr>
        <w:t>it</w:t>
      </w:r>
      <w:r>
        <w:rPr>
          <w:rFonts w:ascii="Times New Roman" w:hAnsi="Times New Roman" w:cs="Times New Roman"/>
          <w:i/>
          <w:sz w:val="24"/>
          <w:szCs w:val="24"/>
          <w:vertAlign w:val="subscript"/>
        </w:rPr>
        <w:t xml:space="preserve"> </w:t>
      </w:r>
      <w:r w:rsidRPr="008863F3">
        <w:rPr>
          <w:rFonts w:ascii="Times New Roman" w:hAnsi="Times New Roman" w:cs="Times New Roman"/>
          <w:sz w:val="24"/>
          <w:szCs w:val="24"/>
        </w:rPr>
        <w:t>is log book value of equity,</w:t>
      </w:r>
      <w:r>
        <w:rPr>
          <w:rFonts w:ascii="Times New Roman" w:hAnsi="Times New Roman" w:cs="Times New Roman"/>
          <w:i/>
          <w:sz w:val="24"/>
          <w:szCs w:val="24"/>
          <w:vertAlign w:val="subscript"/>
        </w:rPr>
        <w:t xml:space="preserve"> </w:t>
      </w:r>
      <w:r w:rsidR="00822731">
        <w:rPr>
          <w:rFonts w:ascii="Times New Roman" w:hAnsi="Times New Roman" w:cs="Times New Roman"/>
          <w:i/>
          <w:sz w:val="24"/>
          <w:szCs w:val="24"/>
        </w:rPr>
        <w:t>|</w:t>
      </w:r>
      <w:proofErr w:type="spellStart"/>
      <w:r w:rsidR="00D3340C" w:rsidRPr="00051700">
        <w:rPr>
          <w:rFonts w:ascii="Cambria Math" w:hAnsi="Cambria Math" w:cs="Times New Roman"/>
          <w:i/>
          <w:sz w:val="24"/>
          <w:szCs w:val="24"/>
        </w:rPr>
        <w:t>ni</w:t>
      </w:r>
      <w:r w:rsidR="00D3340C" w:rsidRPr="00D3340C">
        <w:rPr>
          <w:rFonts w:ascii="Cambria Math" w:hAnsi="Cambria Math" w:cs="Times New Roman"/>
          <w:i/>
          <w:sz w:val="24"/>
          <w:szCs w:val="24"/>
          <w:vertAlign w:val="subscript"/>
        </w:rPr>
        <w:t>it</w:t>
      </w:r>
      <w:proofErr w:type="spellEnd"/>
      <w:r w:rsidR="00EF44E7">
        <w:rPr>
          <w:rFonts w:ascii="Cambria Math" w:hAnsi="Cambria Math" w:cs="Times New Roman"/>
          <w:i/>
          <w:sz w:val="24"/>
          <w:szCs w:val="24"/>
          <w:vertAlign w:val="subscript"/>
        </w:rPr>
        <w:t xml:space="preserve"> </w:t>
      </w:r>
      <w:r w:rsidR="00EF44E7">
        <w:rPr>
          <w:rFonts w:ascii="Times New Roman" w:hAnsi="Times New Roman" w:cs="Times New Roman"/>
          <w:i/>
          <w:sz w:val="24"/>
          <w:szCs w:val="24"/>
        </w:rPr>
        <w:t>|</w:t>
      </w:r>
      <w:r w:rsidR="00E86511">
        <w:rPr>
          <w:rFonts w:ascii="Times New Roman" w:hAnsi="Times New Roman" w:cs="Times New Roman"/>
          <w:sz w:val="24"/>
          <w:szCs w:val="24"/>
        </w:rPr>
        <w:t xml:space="preserve"> </w:t>
      </w:r>
      <w:r w:rsidRPr="008508AE">
        <w:rPr>
          <w:rFonts w:ascii="Times New Roman" w:hAnsi="Times New Roman" w:cs="Times New Roman"/>
          <w:sz w:val="24"/>
          <w:szCs w:val="24"/>
        </w:rPr>
        <w:t>is</w:t>
      </w:r>
      <w:r w:rsidRPr="008508AE">
        <w:rPr>
          <w:rFonts w:ascii="Times New Roman" w:hAnsi="Times New Roman" w:cs="Times New Roman"/>
          <w:sz w:val="24"/>
          <w:szCs w:val="24"/>
          <w:vertAlign w:val="superscript"/>
        </w:rPr>
        <w:t xml:space="preserve"> </w:t>
      </w:r>
      <w:r w:rsidRPr="008863F3">
        <w:rPr>
          <w:rFonts w:ascii="Times New Roman" w:hAnsi="Times New Roman" w:cs="Times New Roman"/>
          <w:sz w:val="24"/>
          <w:szCs w:val="24"/>
        </w:rPr>
        <w:t>log of absolute net income</w:t>
      </w:r>
      <w:r>
        <w:rPr>
          <w:rFonts w:ascii="Times New Roman" w:hAnsi="Times New Roman" w:cs="Times New Roman"/>
          <w:sz w:val="24"/>
          <w:szCs w:val="24"/>
        </w:rPr>
        <w:t xml:space="preserve">, </w:t>
      </w:r>
      <w:r w:rsidRPr="00A7130E">
        <w:rPr>
          <w:rFonts w:ascii="Times New Roman" w:hAnsi="Times New Roman" w:cs="Times New Roman"/>
          <w:i/>
          <w:sz w:val="24"/>
          <w:szCs w:val="24"/>
        </w:rPr>
        <w:t>I</w:t>
      </w:r>
      <w:r w:rsidRPr="00A7130E">
        <w:rPr>
          <w:rFonts w:ascii="Times New Roman" w:hAnsi="Times New Roman" w:cs="Times New Roman"/>
          <w:i/>
          <w:sz w:val="24"/>
          <w:szCs w:val="24"/>
          <w:vertAlign w:val="subscript"/>
        </w:rPr>
        <w:t>(</w:t>
      </w:r>
      <w:r w:rsidR="00F114EA">
        <w:rPr>
          <w:rFonts w:ascii="Times New Roman" w:hAnsi="Times New Roman" w:cs="Times New Roman"/>
          <w:i/>
          <w:sz w:val="24"/>
          <w:szCs w:val="24"/>
          <w:vertAlign w:val="subscript"/>
        </w:rPr>
        <w:t>NI</w:t>
      </w:r>
      <w:r w:rsidRPr="00A7130E">
        <w:rPr>
          <w:rFonts w:ascii="Times New Roman" w:hAnsi="Times New Roman" w:cs="Times New Roman"/>
          <w:i/>
          <w:sz w:val="24"/>
          <w:szCs w:val="24"/>
          <w:vertAlign w:val="subscript"/>
        </w:rPr>
        <w:t>&lt;0)</w:t>
      </w:r>
      <w:r>
        <w:rPr>
          <w:rFonts w:ascii="Times New Roman" w:hAnsi="Times New Roman" w:cs="Times New Roman"/>
          <w:i/>
          <w:sz w:val="24"/>
          <w:szCs w:val="24"/>
          <w:vertAlign w:val="subscript"/>
        </w:rPr>
        <w:t xml:space="preserve"> </w:t>
      </w:r>
      <w:r w:rsidRPr="008863F3">
        <w:rPr>
          <w:rFonts w:ascii="Times New Roman" w:hAnsi="Times New Roman" w:cs="Times New Roman"/>
          <w:sz w:val="24"/>
          <w:szCs w:val="24"/>
        </w:rPr>
        <w:t xml:space="preserve">is an indicator </w:t>
      </w:r>
      <w:r>
        <w:rPr>
          <w:rFonts w:ascii="Times New Roman" w:hAnsi="Times New Roman" w:cs="Times New Roman"/>
          <w:sz w:val="24"/>
          <w:szCs w:val="24"/>
        </w:rPr>
        <w:t xml:space="preserve">for loss-making firms, and </w:t>
      </w:r>
      <w:proofErr w:type="spellStart"/>
      <w:r w:rsidRPr="00A7130E">
        <w:rPr>
          <w:rFonts w:ascii="Times New Roman" w:hAnsi="Times New Roman" w:cs="Times New Roman"/>
          <w:i/>
          <w:sz w:val="24"/>
          <w:szCs w:val="24"/>
        </w:rPr>
        <w:t>LEV</w:t>
      </w:r>
      <w:r w:rsidRPr="00A7130E">
        <w:rPr>
          <w:rFonts w:ascii="Times New Roman" w:hAnsi="Times New Roman" w:cs="Times New Roman"/>
          <w:i/>
          <w:sz w:val="24"/>
          <w:szCs w:val="24"/>
          <w:vertAlign w:val="subscript"/>
        </w:rPr>
        <w:t>it</w:t>
      </w:r>
      <w:proofErr w:type="spellEnd"/>
      <w:r w:rsidRPr="008863F3">
        <w:rPr>
          <w:rFonts w:ascii="Times New Roman" w:hAnsi="Times New Roman" w:cs="Times New Roman"/>
          <w:sz w:val="24"/>
          <w:szCs w:val="24"/>
        </w:rPr>
        <w:t xml:space="preserve"> is book l</w:t>
      </w:r>
      <w:r>
        <w:rPr>
          <w:rFonts w:ascii="Times New Roman" w:hAnsi="Times New Roman" w:cs="Times New Roman"/>
          <w:sz w:val="24"/>
          <w:szCs w:val="24"/>
        </w:rPr>
        <w:t>everage. The regression is estimated in logs</w:t>
      </w:r>
      <w:r w:rsidR="00786D3F">
        <w:rPr>
          <w:rFonts w:ascii="Times New Roman" w:hAnsi="Times New Roman" w:cs="Times New Roman"/>
          <w:sz w:val="24"/>
          <w:szCs w:val="24"/>
        </w:rPr>
        <w:t xml:space="preserve">, which has two appealing theoretical features. First, the linear relation between </w:t>
      </w:r>
      <w:r w:rsidR="00E361BA">
        <w:rPr>
          <w:rFonts w:ascii="Times New Roman" w:hAnsi="Times New Roman" w:cs="Times New Roman"/>
          <w:sz w:val="24"/>
          <w:szCs w:val="24"/>
        </w:rPr>
        <w:t xml:space="preserve">log </w:t>
      </w:r>
      <w:r w:rsidR="00786D3F">
        <w:rPr>
          <w:rFonts w:ascii="Times New Roman" w:hAnsi="Times New Roman" w:cs="Times New Roman"/>
          <w:sz w:val="24"/>
          <w:szCs w:val="24"/>
        </w:rPr>
        <w:t xml:space="preserve">market values and </w:t>
      </w:r>
      <w:r w:rsidR="00E361BA">
        <w:rPr>
          <w:rFonts w:ascii="Times New Roman" w:hAnsi="Times New Roman" w:cs="Times New Roman"/>
          <w:sz w:val="24"/>
          <w:szCs w:val="24"/>
        </w:rPr>
        <w:t xml:space="preserve">log </w:t>
      </w:r>
      <w:r w:rsidR="00786D3F">
        <w:rPr>
          <w:rFonts w:ascii="Times New Roman" w:hAnsi="Times New Roman" w:cs="Times New Roman"/>
          <w:sz w:val="24"/>
          <w:szCs w:val="24"/>
        </w:rPr>
        <w:t>book values</w:t>
      </w:r>
      <w:r w:rsidR="00E361BA">
        <w:rPr>
          <w:rFonts w:ascii="Times New Roman" w:hAnsi="Times New Roman" w:cs="Times New Roman"/>
          <w:sz w:val="24"/>
          <w:szCs w:val="24"/>
        </w:rPr>
        <w:t>/</w:t>
      </w:r>
      <w:r w:rsidR="00786D3F">
        <w:rPr>
          <w:rFonts w:ascii="Times New Roman" w:hAnsi="Times New Roman" w:cs="Times New Roman"/>
          <w:sz w:val="24"/>
          <w:szCs w:val="24"/>
        </w:rPr>
        <w:t>earnings is convex in</w:t>
      </w:r>
      <w:r w:rsidR="00E361BA">
        <w:rPr>
          <w:rFonts w:ascii="Times New Roman" w:hAnsi="Times New Roman" w:cs="Times New Roman"/>
          <w:sz w:val="24"/>
          <w:szCs w:val="24"/>
        </w:rPr>
        <w:t xml:space="preserve"> their</w:t>
      </w:r>
      <w:r w:rsidR="00786D3F">
        <w:rPr>
          <w:rFonts w:ascii="Times New Roman" w:hAnsi="Times New Roman" w:cs="Times New Roman"/>
          <w:sz w:val="24"/>
          <w:szCs w:val="24"/>
        </w:rPr>
        <w:t xml:space="preserve"> levels, which corresponds to the functional form predicted by </w:t>
      </w:r>
      <w:hyperlink w:anchor="_ENREF_19" w:tooltip="Burgstahler, 1997 #1800"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AuthorYear="1"&gt;&lt;Author&gt;Burgstahler&lt;/Author&gt;&lt;Year&gt;1997&lt;/Year&gt;&lt;RecNum&gt;1800&lt;/RecNum&gt;&lt;DisplayText&gt;Burgstahler and Dichev (1997)&lt;/DisplayText&gt;&lt;record&gt;&lt;rec-number&gt;1800&lt;/rec-number&gt;&lt;foreign-keys&gt;&lt;key app="EN" db-id="a00ppf5vbz2zw4efraqp9recxrvdwwtasszf" timestamp="1687518940"&gt;1800&lt;/key&gt;&lt;/foreign-keys&gt;&lt;ref-type name="Journal Article"&gt;17&lt;/ref-type&gt;&lt;contributors&gt;&lt;authors&gt;&lt;author&gt;Burgstahler, David C.&lt;/author&gt;&lt;author&gt;Dichev, Ilia D.&lt;/author&gt;&lt;/authors&gt;&lt;/contributors&gt;&lt;titles&gt;&lt;title&gt;Earnings, adaptation and equity value&lt;/title&gt;&lt;secondary-title&gt;The Accounting Review&lt;/secondary-title&gt;&lt;/titles&gt;&lt;periodical&gt;&lt;full-title&gt;The Accounting Review&lt;/full-title&gt;&lt;/periodical&gt;&lt;pages&gt;187-215&lt;/pages&gt;&lt;volume&gt;72&lt;/volume&gt;&lt;number&gt;2&lt;/number&gt;&lt;keywords&gt;&lt;keyword&gt;MARKET prices&lt;/keyword&gt;&lt;keyword&gt;WAGES&lt;/keyword&gt;&lt;keyword&gt;DEBT-to-equity ratio&lt;/keyword&gt;&lt;keyword&gt;VALUATION&lt;/keyword&gt;&lt;keyword&gt;ASSETS (Accounting)&lt;/keyword&gt;&lt;keyword&gt;RETAINED earnings&lt;/keyword&gt;&lt;keyword&gt;EQUITY (Law)&lt;/keyword&gt;&lt;keyword&gt;Book value&lt;/keyword&gt;&lt;keyword&gt;Convexity.&lt;/keyword&gt;&lt;keyword&gt;Earnings&lt;/keyword&gt;&lt;keyword&gt;Equity valuation&lt;/keyword&gt;&lt;/keywords&gt;&lt;dates&gt;&lt;year&gt;1997&lt;/year&gt;&lt;/dates&gt;&lt;publisher&gt;American Accounting Association&lt;/publisher&gt;&lt;isbn&gt;00014826&lt;/isbn&gt;&lt;accession-num&gt;9706165831&lt;/accession-num&gt;&lt;work-type&gt;Article&lt;/work-type&gt;&lt;urls&gt;&lt;related-urls&gt;&lt;url&gt;https://search.ebscohost.com/login.aspx?direct=true&amp;amp;db=buh&amp;amp;AN=9706165831&amp;amp;site=ehost-live&lt;/url&gt;&lt;/related-urls&gt;&lt;/urls&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Burgstahler and Dichev (1997)</w:t>
        </w:r>
        <w:r w:rsidR="00A4299A">
          <w:rPr>
            <w:rFonts w:ascii="Times New Roman" w:hAnsi="Times New Roman" w:cs="Times New Roman"/>
            <w:sz w:val="24"/>
            <w:szCs w:val="24"/>
          </w:rPr>
          <w:fldChar w:fldCharType="end"/>
        </w:r>
      </w:hyperlink>
      <w:r w:rsidR="00E361BA">
        <w:rPr>
          <w:rFonts w:ascii="Times New Roman" w:hAnsi="Times New Roman" w:cs="Times New Roman"/>
          <w:sz w:val="24"/>
          <w:szCs w:val="24"/>
        </w:rPr>
        <w:t>.</w:t>
      </w:r>
      <w:r w:rsidR="007E0797">
        <w:rPr>
          <w:rFonts w:ascii="Times New Roman" w:hAnsi="Times New Roman" w:cs="Times New Roman"/>
          <w:sz w:val="24"/>
          <w:szCs w:val="24"/>
        </w:rPr>
        <w:t xml:space="preserve"> </w:t>
      </w:r>
      <w:r w:rsidR="00E361BA">
        <w:rPr>
          <w:rFonts w:ascii="Times New Roman" w:hAnsi="Times New Roman" w:cs="Times New Roman"/>
          <w:sz w:val="24"/>
          <w:szCs w:val="24"/>
        </w:rPr>
        <w:t xml:space="preserve">Second, </w:t>
      </w:r>
      <w:r w:rsidR="007E0797">
        <w:rPr>
          <w:rFonts w:ascii="Times New Roman" w:hAnsi="Times New Roman" w:cs="Times New Roman"/>
          <w:sz w:val="24"/>
          <w:szCs w:val="24"/>
        </w:rPr>
        <w:t>this</w:t>
      </w:r>
      <w:r w:rsidR="00E361BA">
        <w:rPr>
          <w:rFonts w:ascii="Times New Roman" w:hAnsi="Times New Roman" w:cs="Times New Roman"/>
          <w:sz w:val="24"/>
          <w:szCs w:val="24"/>
        </w:rPr>
        <w:t xml:space="preserve"> spe</w:t>
      </w:r>
      <w:r w:rsidR="0024409A">
        <w:rPr>
          <w:rFonts w:ascii="Times New Roman" w:hAnsi="Times New Roman" w:cs="Times New Roman"/>
          <w:sz w:val="24"/>
          <w:szCs w:val="24"/>
        </w:rPr>
        <w:t>c</w:t>
      </w:r>
      <w:r w:rsidR="00E361BA">
        <w:rPr>
          <w:rFonts w:ascii="Times New Roman" w:hAnsi="Times New Roman" w:cs="Times New Roman"/>
          <w:sz w:val="24"/>
          <w:szCs w:val="24"/>
        </w:rPr>
        <w:t>ification</w:t>
      </w:r>
      <w:r w:rsidR="007E0797">
        <w:rPr>
          <w:rFonts w:ascii="Times New Roman" w:hAnsi="Times New Roman" w:cs="Times New Roman"/>
          <w:sz w:val="24"/>
          <w:szCs w:val="24"/>
        </w:rPr>
        <w:t xml:space="preserve"> ensures that predicted market values are not negative, consistent with limited l</w:t>
      </w:r>
      <w:r w:rsidR="00F42CB9">
        <w:rPr>
          <w:rFonts w:ascii="Times New Roman" w:hAnsi="Times New Roman" w:cs="Times New Roman"/>
          <w:sz w:val="24"/>
          <w:szCs w:val="24"/>
        </w:rPr>
        <w:t>i</w:t>
      </w:r>
      <w:r w:rsidR="007E0797">
        <w:rPr>
          <w:rFonts w:ascii="Times New Roman" w:hAnsi="Times New Roman" w:cs="Times New Roman"/>
          <w:sz w:val="24"/>
          <w:szCs w:val="24"/>
        </w:rPr>
        <w:t>ability</w:t>
      </w:r>
      <w:r>
        <w:rPr>
          <w:rFonts w:ascii="Times New Roman" w:hAnsi="Times New Roman" w:cs="Times New Roman"/>
          <w:sz w:val="24"/>
          <w:szCs w:val="24"/>
        </w:rPr>
        <w:t xml:space="preserve">. Since the natural logarithm of net income is not defined for loss-making firms, </w:t>
      </w:r>
      <w:r w:rsidR="00231F05">
        <w:rPr>
          <w:rFonts w:ascii="Times New Roman" w:hAnsi="Times New Roman" w:cs="Times New Roman"/>
          <w:sz w:val="24"/>
          <w:szCs w:val="24"/>
        </w:rPr>
        <w:t>RRV use the</w:t>
      </w:r>
      <w:r>
        <w:rPr>
          <w:rFonts w:ascii="Times New Roman" w:hAnsi="Times New Roman" w:cs="Times New Roman"/>
          <w:sz w:val="24"/>
          <w:szCs w:val="24"/>
        </w:rPr>
        <w:t xml:space="preserve"> absolute value</w:t>
      </w:r>
      <w:r w:rsidR="00231F05">
        <w:rPr>
          <w:rFonts w:ascii="Times New Roman" w:hAnsi="Times New Roman" w:cs="Times New Roman"/>
          <w:sz w:val="24"/>
          <w:szCs w:val="24"/>
        </w:rPr>
        <w:t xml:space="preserve"> of net income and estimate a separate multiple for loss-making firms via the interaction term</w:t>
      </w:r>
      <w:r w:rsidR="00E20FE0">
        <w:rPr>
          <w:rFonts w:ascii="Times New Roman" w:hAnsi="Times New Roman" w:cs="Times New Roman"/>
          <w:sz w:val="24"/>
          <w:szCs w:val="24"/>
        </w:rPr>
        <w:t xml:space="preserve"> </w:t>
      </w:r>
      <w:r w:rsidR="00E20FE0">
        <w:rPr>
          <w:rFonts w:ascii="Times New Roman" w:hAnsi="Times New Roman" w:cs="Times New Roman"/>
          <w:sz w:val="24"/>
          <w:szCs w:val="24"/>
        </w:rPr>
        <w:softHyphen/>
      </w:r>
      <w:r w:rsidR="00E20FE0">
        <w:rPr>
          <w:rFonts w:ascii="Times New Roman" w:hAnsi="Times New Roman" w:cs="Times New Roman"/>
          <w:sz w:val="24"/>
          <w:szCs w:val="24"/>
        </w:rPr>
        <w:softHyphen/>
      </w:r>
      <w:r w:rsidR="00E20FE0">
        <w:rPr>
          <w:rFonts w:ascii="Times New Roman" w:hAnsi="Times New Roman" w:cs="Times New Roman"/>
          <w:sz w:val="24"/>
          <w:szCs w:val="24"/>
        </w:rPr>
        <w:softHyphen/>
      </w:r>
      <w:r w:rsidR="0011516C">
        <w:rPr>
          <w:rFonts w:ascii="Times New Roman" w:hAnsi="Times New Roman" w:cs="Times New Roman"/>
          <w:sz w:val="24"/>
          <w:szCs w:val="24"/>
        </w:rPr>
        <w:t>(thus also</w:t>
      </w:r>
      <w:r w:rsidR="00790514">
        <w:rPr>
          <w:rFonts w:ascii="Times New Roman" w:hAnsi="Times New Roman" w:cs="Times New Roman"/>
          <w:sz w:val="24"/>
          <w:szCs w:val="24"/>
        </w:rPr>
        <w:t xml:space="preserve"> </w:t>
      </w:r>
      <w:r w:rsidR="00E20FE0">
        <w:rPr>
          <w:rFonts w:ascii="Times New Roman" w:hAnsi="Times New Roman" w:cs="Times New Roman"/>
          <w:sz w:val="24"/>
          <w:szCs w:val="24"/>
        </w:rPr>
        <w:t>accounting for</w:t>
      </w:r>
      <w:r w:rsidR="00901D70">
        <w:rPr>
          <w:rFonts w:ascii="Times New Roman" w:hAnsi="Times New Roman" w:cs="Times New Roman"/>
          <w:sz w:val="24"/>
          <w:szCs w:val="24"/>
        </w:rPr>
        <w:t xml:space="preserve"> the</w:t>
      </w:r>
      <w:r w:rsidR="00CD2C05">
        <w:rPr>
          <w:rFonts w:ascii="Times New Roman" w:hAnsi="Times New Roman" w:cs="Times New Roman"/>
          <w:sz w:val="24"/>
          <w:szCs w:val="24"/>
        </w:rPr>
        <w:t xml:space="preserve"> differential</w:t>
      </w:r>
      <w:r w:rsidR="00901D70">
        <w:rPr>
          <w:rFonts w:ascii="Times New Roman" w:hAnsi="Times New Roman" w:cs="Times New Roman"/>
          <w:sz w:val="24"/>
          <w:szCs w:val="24"/>
        </w:rPr>
        <w:t xml:space="preserve"> relation between market values and earnings</w:t>
      </w:r>
      <w:r w:rsidR="0076656A">
        <w:rPr>
          <w:rFonts w:ascii="Times New Roman" w:hAnsi="Times New Roman" w:cs="Times New Roman"/>
          <w:sz w:val="24"/>
          <w:szCs w:val="24"/>
        </w:rPr>
        <w:t xml:space="preserve"> in the loss domain</w:t>
      </w:r>
      <w:r w:rsidR="0011516C">
        <w:rPr>
          <w:rFonts w:ascii="Times New Roman" w:hAnsi="Times New Roman" w:cs="Times New Roman"/>
          <w:sz w:val="24"/>
          <w:szCs w:val="24"/>
        </w:rPr>
        <w:t xml:space="preserve">, </w:t>
      </w:r>
      <w:r w:rsidR="0076656A">
        <w:rPr>
          <w:rFonts w:ascii="Times New Roman" w:hAnsi="Times New Roman" w:cs="Times New Roman"/>
          <w:sz w:val="24"/>
          <w:szCs w:val="24"/>
        </w:rPr>
        <w:t>see, e.g</w:t>
      </w:r>
      <w:r w:rsidR="00F4568A">
        <w:rPr>
          <w:rFonts w:ascii="Times New Roman" w:hAnsi="Times New Roman" w:cs="Times New Roman"/>
          <w:sz w:val="24"/>
          <w:szCs w:val="24"/>
        </w:rPr>
        <w:t>.</w:t>
      </w:r>
      <w:r w:rsidR="0076656A">
        <w:rPr>
          <w:rFonts w:ascii="Times New Roman" w:hAnsi="Times New Roman" w:cs="Times New Roman"/>
          <w:sz w:val="24"/>
          <w:szCs w:val="24"/>
        </w:rPr>
        <w:t xml:space="preserve">, </w:t>
      </w:r>
      <w:hyperlink w:anchor="_ENREF_23" w:tooltip="Collins, 1999 #1801"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AuthorYear="1"&gt;&lt;Author&gt;Collins&lt;/Author&gt;&lt;Year&gt;1999&lt;/Year&gt;&lt;RecNum&gt;1801&lt;/RecNum&gt;&lt;DisplayText&gt;Collins, Pincus, and Xie (1999)&lt;/DisplayText&gt;&lt;record&gt;&lt;rec-number&gt;1801&lt;/rec-number&gt;&lt;foreign-keys&gt;&lt;key app="EN" db-id="a00ppf5vbz2zw4efraqp9recxrvdwwtasszf" timestamp="1687527690"&gt;1801&lt;/key&gt;&lt;/foreign-keys&gt;&lt;ref-type name="Journal Article"&gt;17&lt;/ref-type&gt;&lt;contributors&gt;&lt;authors&gt;&lt;author&gt;Collins, Daniel W.&lt;/author&gt;&lt;author&gt;Pincus, Morton&lt;/author&gt;&lt;author&gt;Xie, Hong&lt;/author&gt;&lt;/authors&gt;&lt;/contributors&gt;&lt;titles&gt;&lt;title&gt;Equity Valuation and Negative Earnings: The Role of Book Value of Equity&lt;/title&gt;&lt;secondary-title&gt;The Accounting Review&lt;/secondary-title&gt;&lt;/titles&gt;&lt;periodical&gt;&lt;full-title&gt;The Accounting Review&lt;/full-title&gt;&lt;/periodical&gt;&lt;pages&gt;29-61&lt;/pages&gt;&lt;volume&gt;74&lt;/volume&gt;&lt;number&gt;1&lt;/number&gt;&lt;keywords&gt;&lt;keyword&gt;PRICE-earnings ratio&lt;/keyword&gt;&lt;keyword&gt;VALUATION&lt;/keyword&gt;&lt;keyword&gt;CORPORATE finance&lt;/keyword&gt;&lt;keyword&gt;BOOK value&lt;/keyword&gt;&lt;keyword&gt;EARNINGS forecasting&lt;/keyword&gt;&lt;keyword&gt;FINANCIAL statements&lt;/keyword&gt;&lt;keyword&gt;LIQUIDATION&lt;/keyword&gt;&lt;keyword&gt;EQUITY (Law)&lt;/keyword&gt;&lt;keyword&gt;Book value of equity.&lt;/keyword&gt;&lt;keyword&gt;Negative earnings&lt;/keyword&gt;&lt;keyword&gt;Price-earnings relation misspecification&lt;/keyword&gt;&lt;/keywords&gt;&lt;dates&gt;&lt;year&gt;1999&lt;/year&gt;&lt;/dates&gt;&lt;publisher&gt;American Accounting Association&lt;/publisher&gt;&lt;isbn&gt;00014826&lt;/isbn&gt;&lt;accession-num&gt;1694340&lt;/accession-num&gt;&lt;work-type&gt;Article&lt;/work-type&gt;&lt;urls&gt;&lt;related-urls&gt;&lt;url&gt;https://search.ebscohost.com/login.aspx?direct=true&amp;amp;db=buh&amp;amp;AN=1694340&amp;amp;site=ehost-live&lt;/url&gt;&lt;/related-urls&gt;&lt;/urls&gt;&lt;electronic-resource-num&gt;10.2308/accr.1999.74.1.29&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Collins, Pincus, and Xie (1999)</w:t>
        </w:r>
        <w:r w:rsidR="00A4299A">
          <w:rPr>
            <w:rFonts w:ascii="Times New Roman" w:hAnsi="Times New Roman" w:cs="Times New Roman"/>
            <w:sz w:val="24"/>
            <w:szCs w:val="24"/>
          </w:rPr>
          <w:fldChar w:fldCharType="end"/>
        </w:r>
      </w:hyperlink>
      <w:r w:rsidR="0076656A">
        <w:rPr>
          <w:rFonts w:ascii="Times New Roman" w:hAnsi="Times New Roman" w:cs="Times New Roman"/>
          <w:sz w:val="24"/>
          <w:szCs w:val="24"/>
        </w:rPr>
        <w:t>)</w:t>
      </w:r>
      <w:r w:rsidR="00901D70">
        <w:rPr>
          <w:rFonts w:ascii="Times New Roman" w:hAnsi="Times New Roman" w:cs="Times New Roman"/>
          <w:sz w:val="24"/>
          <w:szCs w:val="24"/>
        </w:rPr>
        <w:t>.</w:t>
      </w:r>
      <w:r w:rsidR="00231F05">
        <w:rPr>
          <w:rFonts w:ascii="Times New Roman" w:hAnsi="Times New Roman" w:cs="Times New Roman"/>
          <w:sz w:val="24"/>
          <w:szCs w:val="24"/>
        </w:rPr>
        <w:t xml:space="preserve"> </w:t>
      </w:r>
      <w:r w:rsidR="00886C68">
        <w:rPr>
          <w:rFonts w:ascii="Times New Roman" w:hAnsi="Times New Roman" w:cs="Times New Roman"/>
          <w:sz w:val="24"/>
          <w:szCs w:val="24"/>
        </w:rPr>
        <w:t>The l</w:t>
      </w:r>
      <w:r w:rsidR="00231F05">
        <w:rPr>
          <w:rFonts w:ascii="Times New Roman" w:hAnsi="Times New Roman" w:cs="Times New Roman"/>
          <w:sz w:val="24"/>
          <w:szCs w:val="24"/>
        </w:rPr>
        <w:t>everage</w:t>
      </w:r>
      <w:r w:rsidR="00886C68">
        <w:rPr>
          <w:rFonts w:ascii="Times New Roman" w:hAnsi="Times New Roman" w:cs="Times New Roman"/>
          <w:sz w:val="24"/>
          <w:szCs w:val="24"/>
        </w:rPr>
        <w:t xml:space="preserve"> term</w:t>
      </w:r>
      <w:r w:rsidR="00231F05">
        <w:rPr>
          <w:rFonts w:ascii="Times New Roman" w:hAnsi="Times New Roman" w:cs="Times New Roman"/>
          <w:sz w:val="24"/>
          <w:szCs w:val="24"/>
        </w:rPr>
        <w:t xml:space="preserve"> </w:t>
      </w:r>
      <w:r w:rsidR="00EA763A">
        <w:rPr>
          <w:rFonts w:ascii="Times New Roman" w:hAnsi="Times New Roman" w:cs="Times New Roman"/>
          <w:sz w:val="24"/>
          <w:szCs w:val="24"/>
        </w:rPr>
        <w:t>acts</w:t>
      </w:r>
      <w:r w:rsidR="00231F05">
        <w:rPr>
          <w:rFonts w:ascii="Times New Roman" w:hAnsi="Times New Roman" w:cs="Times New Roman"/>
          <w:sz w:val="24"/>
          <w:szCs w:val="24"/>
        </w:rPr>
        <w:t xml:space="preserve"> as a parsimonious </w:t>
      </w:r>
      <w:r w:rsidR="00886C68">
        <w:rPr>
          <w:rFonts w:ascii="Times New Roman" w:hAnsi="Times New Roman" w:cs="Times New Roman"/>
          <w:sz w:val="24"/>
          <w:szCs w:val="24"/>
        </w:rPr>
        <w:t xml:space="preserve">adjustment for the </w:t>
      </w:r>
      <w:r w:rsidR="00411111">
        <w:rPr>
          <w:rFonts w:ascii="Times New Roman" w:hAnsi="Times New Roman" w:cs="Times New Roman"/>
          <w:sz w:val="24"/>
          <w:szCs w:val="24"/>
        </w:rPr>
        <w:lastRenderedPageBreak/>
        <w:t>possibility</w:t>
      </w:r>
      <w:r w:rsidR="00886C68">
        <w:rPr>
          <w:rFonts w:ascii="Times New Roman" w:hAnsi="Times New Roman" w:cs="Times New Roman"/>
          <w:sz w:val="24"/>
          <w:szCs w:val="24"/>
        </w:rPr>
        <w:t xml:space="preserve"> that multiples (i.e. cost of</w:t>
      </w:r>
      <w:r w:rsidR="002242DA">
        <w:rPr>
          <w:rFonts w:ascii="Times New Roman" w:hAnsi="Times New Roman" w:cs="Times New Roman"/>
          <w:sz w:val="24"/>
          <w:szCs w:val="24"/>
        </w:rPr>
        <w:t xml:space="preserve"> equity</w:t>
      </w:r>
      <w:r w:rsidR="00886C68">
        <w:rPr>
          <w:rFonts w:ascii="Times New Roman" w:hAnsi="Times New Roman" w:cs="Times New Roman"/>
          <w:sz w:val="24"/>
          <w:szCs w:val="24"/>
        </w:rPr>
        <w:t xml:space="preserve"> capital</w:t>
      </w:r>
      <w:r w:rsidR="00811590">
        <w:rPr>
          <w:rFonts w:ascii="Times New Roman" w:hAnsi="Times New Roman" w:cs="Times New Roman"/>
          <w:sz w:val="24"/>
          <w:szCs w:val="24"/>
        </w:rPr>
        <w:t xml:space="preserve"> and growth</w:t>
      </w:r>
      <w:r w:rsidR="007E4EBB">
        <w:rPr>
          <w:rFonts w:ascii="Times New Roman" w:hAnsi="Times New Roman" w:cs="Times New Roman"/>
          <w:sz w:val="24"/>
          <w:szCs w:val="24"/>
        </w:rPr>
        <w:t xml:space="preserve"> rates</w:t>
      </w:r>
      <w:r w:rsidR="00886C68">
        <w:rPr>
          <w:rFonts w:ascii="Times New Roman" w:hAnsi="Times New Roman" w:cs="Times New Roman"/>
          <w:sz w:val="24"/>
          <w:szCs w:val="24"/>
        </w:rPr>
        <w:t>) may differ across firms with different capital structures.</w:t>
      </w:r>
      <w:r w:rsidR="0073370C">
        <w:rPr>
          <w:rFonts w:ascii="Times New Roman" w:hAnsi="Times New Roman" w:cs="Times New Roman"/>
          <w:sz w:val="24"/>
          <w:szCs w:val="24"/>
        </w:rPr>
        <w:t xml:space="preserve"> </w:t>
      </w:r>
      <w:r w:rsidR="00E15E63">
        <w:rPr>
          <w:rFonts w:ascii="Times New Roman" w:hAnsi="Times New Roman" w:cs="Times New Roman"/>
          <w:sz w:val="24"/>
          <w:szCs w:val="24"/>
        </w:rPr>
        <w:t>Overall</w:t>
      </w:r>
      <w:r w:rsidR="0073370C">
        <w:rPr>
          <w:rFonts w:ascii="Times New Roman" w:hAnsi="Times New Roman" w:cs="Times New Roman"/>
          <w:sz w:val="24"/>
          <w:szCs w:val="24"/>
        </w:rPr>
        <w:t xml:space="preserve">, </w:t>
      </w:r>
      <w:r w:rsidR="00E15E63">
        <w:rPr>
          <w:rFonts w:ascii="Times New Roman" w:hAnsi="Times New Roman" w:cs="Times New Roman"/>
          <w:sz w:val="24"/>
          <w:szCs w:val="24"/>
        </w:rPr>
        <w:t xml:space="preserve">the </w:t>
      </w:r>
      <w:r w:rsidR="0073370C">
        <w:rPr>
          <w:rFonts w:ascii="Times New Roman" w:hAnsi="Times New Roman" w:cs="Times New Roman"/>
          <w:sz w:val="24"/>
          <w:szCs w:val="24"/>
        </w:rPr>
        <w:t xml:space="preserve">coefficients </w:t>
      </w:r>
      <w:r w:rsidR="0073370C" w:rsidRPr="00051700">
        <w:rPr>
          <w:rFonts w:ascii="Cambria Math" w:hAnsi="Cambria Math" w:cs="Times New Roman"/>
          <w:i/>
          <w:sz w:val="24"/>
          <w:szCs w:val="24"/>
        </w:rPr>
        <w:t>α</w:t>
      </w:r>
      <w:r w:rsidR="0073370C" w:rsidRPr="00051700">
        <w:rPr>
          <w:rFonts w:ascii="Cambria Math" w:hAnsi="Cambria Math" w:cs="Times New Roman"/>
          <w:i/>
          <w:sz w:val="24"/>
          <w:szCs w:val="24"/>
          <w:vertAlign w:val="subscript"/>
        </w:rPr>
        <w:t>0jt</w:t>
      </w:r>
      <w:r w:rsidR="0073370C">
        <w:rPr>
          <w:rFonts w:ascii="Cambria Math" w:hAnsi="Cambria Math" w:cs="Times New Roman"/>
          <w:i/>
          <w:sz w:val="24"/>
          <w:szCs w:val="24"/>
          <w:vertAlign w:val="subscript"/>
        </w:rPr>
        <w:t xml:space="preserve"> </w:t>
      </w:r>
      <w:r w:rsidR="0073370C" w:rsidRPr="0073370C">
        <w:rPr>
          <w:rFonts w:ascii="Cambria Math" w:hAnsi="Cambria Math" w:cs="Times New Roman"/>
          <w:i/>
          <w:sz w:val="24"/>
          <w:szCs w:val="24"/>
        </w:rPr>
        <w:t xml:space="preserve">– </w:t>
      </w:r>
      <w:r w:rsidR="0073370C" w:rsidRPr="00051700">
        <w:rPr>
          <w:rFonts w:ascii="Cambria Math" w:hAnsi="Cambria Math" w:cs="Times New Roman"/>
          <w:i/>
          <w:sz w:val="24"/>
          <w:szCs w:val="24"/>
        </w:rPr>
        <w:t>α</w:t>
      </w:r>
      <w:r w:rsidR="0073370C" w:rsidRPr="0073370C">
        <w:rPr>
          <w:rFonts w:ascii="Cambria Math" w:hAnsi="Cambria Math" w:cs="Times New Roman"/>
          <w:i/>
          <w:sz w:val="24"/>
          <w:szCs w:val="24"/>
          <w:vertAlign w:val="subscript"/>
        </w:rPr>
        <w:t>4</w:t>
      </w:r>
      <w:r w:rsidR="0073370C" w:rsidRPr="00051700">
        <w:rPr>
          <w:rFonts w:ascii="Cambria Math" w:hAnsi="Cambria Math" w:cs="Times New Roman"/>
          <w:i/>
          <w:sz w:val="24"/>
          <w:szCs w:val="24"/>
          <w:vertAlign w:val="subscript"/>
        </w:rPr>
        <w:t>jt</w:t>
      </w:r>
      <w:r w:rsidR="00886C68" w:rsidRPr="0073370C">
        <w:rPr>
          <w:rFonts w:ascii="Cambria Math" w:hAnsi="Cambria Math" w:cs="Times New Roman"/>
          <w:sz w:val="24"/>
          <w:szCs w:val="24"/>
        </w:rPr>
        <w:t xml:space="preserve"> </w:t>
      </w:r>
      <w:r w:rsidR="0073370C">
        <w:rPr>
          <w:rFonts w:ascii="Times New Roman" w:hAnsi="Times New Roman" w:cs="Times New Roman"/>
          <w:sz w:val="24"/>
          <w:szCs w:val="24"/>
        </w:rPr>
        <w:t>represent</w:t>
      </w:r>
      <w:r w:rsidR="00886C68">
        <w:rPr>
          <w:rFonts w:ascii="Times New Roman" w:hAnsi="Times New Roman" w:cs="Times New Roman"/>
          <w:sz w:val="24"/>
          <w:szCs w:val="24"/>
        </w:rPr>
        <w:t xml:space="preserve"> industry-</w:t>
      </w:r>
      <w:r w:rsidR="00745738">
        <w:rPr>
          <w:rFonts w:ascii="Times New Roman" w:hAnsi="Times New Roman" w:cs="Times New Roman"/>
          <w:sz w:val="24"/>
          <w:szCs w:val="24"/>
        </w:rPr>
        <w:t xml:space="preserve">year </w:t>
      </w:r>
      <w:r w:rsidR="00886C68">
        <w:rPr>
          <w:rFonts w:ascii="Times New Roman" w:hAnsi="Times New Roman" w:cs="Times New Roman"/>
          <w:sz w:val="24"/>
          <w:szCs w:val="24"/>
        </w:rPr>
        <w:t>valuation multiples</w:t>
      </w:r>
      <w:r w:rsidR="0073370C">
        <w:rPr>
          <w:rFonts w:ascii="Times New Roman" w:hAnsi="Times New Roman" w:cs="Times New Roman"/>
          <w:sz w:val="24"/>
          <w:szCs w:val="24"/>
        </w:rPr>
        <w:t xml:space="preserve"> rooted in the residual income valuation model.</w:t>
      </w:r>
      <w:r w:rsidR="00681D57">
        <w:rPr>
          <w:rStyle w:val="FootnoteReference"/>
          <w:rFonts w:ascii="Times New Roman" w:hAnsi="Times New Roman" w:cs="Times New Roman"/>
          <w:sz w:val="24"/>
          <w:szCs w:val="24"/>
        </w:rPr>
        <w:footnoteReference w:id="9"/>
      </w:r>
      <w:r w:rsidR="0073370C">
        <w:rPr>
          <w:rFonts w:ascii="Times New Roman" w:hAnsi="Times New Roman" w:cs="Times New Roman"/>
          <w:sz w:val="24"/>
          <w:szCs w:val="24"/>
        </w:rPr>
        <w:t xml:space="preserve"> </w:t>
      </w:r>
      <w:r w:rsidR="0060293E">
        <w:rPr>
          <w:rFonts w:ascii="Times New Roman" w:hAnsi="Times New Roman" w:cs="Times New Roman"/>
          <w:sz w:val="24"/>
          <w:szCs w:val="24"/>
        </w:rPr>
        <w:t>The fitted value from eq. (</w:t>
      </w:r>
      <w:r w:rsidR="00EA763A">
        <w:rPr>
          <w:rFonts w:ascii="Times New Roman" w:hAnsi="Times New Roman" w:cs="Times New Roman"/>
          <w:sz w:val="24"/>
          <w:szCs w:val="24"/>
        </w:rPr>
        <w:t>5</w:t>
      </w:r>
      <w:r w:rsidR="0060293E">
        <w:rPr>
          <w:rFonts w:ascii="Times New Roman" w:hAnsi="Times New Roman" w:cs="Times New Roman"/>
          <w:sz w:val="24"/>
          <w:szCs w:val="24"/>
        </w:rPr>
        <w:t>)</w:t>
      </w:r>
      <w:r w:rsidR="00767328">
        <w:rPr>
          <w:rFonts w:ascii="Times New Roman" w:hAnsi="Times New Roman" w:cs="Times New Roman"/>
          <w:sz w:val="24"/>
          <w:szCs w:val="24"/>
        </w:rPr>
        <w:t xml:space="preserve"> estimated</w:t>
      </w:r>
      <w:r w:rsidR="0060293E">
        <w:rPr>
          <w:rFonts w:ascii="Times New Roman" w:hAnsi="Times New Roman" w:cs="Times New Roman"/>
          <w:sz w:val="24"/>
          <w:szCs w:val="24"/>
        </w:rPr>
        <w:t xml:space="preserve"> using OLS is the expected log market equity</w:t>
      </w:r>
      <w:r w:rsidR="00EA763A">
        <w:rPr>
          <w:rFonts w:ascii="Times New Roman" w:hAnsi="Times New Roman" w:cs="Times New Roman"/>
          <w:sz w:val="24"/>
          <w:szCs w:val="24"/>
        </w:rPr>
        <w:t>,</w:t>
      </w:r>
      <w:r w:rsidR="0060293E">
        <w:rPr>
          <w:rFonts w:ascii="Times New Roman" w:hAnsi="Times New Roman" w:cs="Times New Roman"/>
          <w:sz w:val="24"/>
          <w:szCs w:val="24"/>
        </w:rPr>
        <w:t xml:space="preserve"> denoted as </w:t>
      </w:r>
      <w:r w:rsidR="0060293E" w:rsidRPr="003D1061">
        <w:rPr>
          <w:rFonts w:ascii="Times New Roman" w:hAnsi="Times New Roman" w:cs="Times New Roman"/>
          <w:i/>
          <w:sz w:val="24"/>
          <w:szCs w:val="24"/>
        </w:rPr>
        <w:t>v</w:t>
      </w:r>
      <w:r w:rsidR="0060293E">
        <w:rPr>
          <w:rFonts w:ascii="Times New Roman" w:hAnsi="Times New Roman" w:cs="Times New Roman"/>
          <w:sz w:val="24"/>
          <w:szCs w:val="24"/>
        </w:rPr>
        <w:t xml:space="preserve">. </w:t>
      </w:r>
    </w:p>
    <w:p w14:paraId="7AA9C34B" w14:textId="4D4175CF" w:rsidR="00F553E7" w:rsidRDefault="007E7284" w:rsidP="001C5B78">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We make one modification to the valuation model in</w:t>
      </w:r>
      <w:r w:rsidR="008D0727">
        <w:rPr>
          <w:rFonts w:ascii="Times New Roman" w:hAnsi="Times New Roman" w:cs="Times New Roman"/>
          <w:sz w:val="24"/>
          <w:szCs w:val="24"/>
        </w:rPr>
        <w:t xml:space="preserve"> eq.</w:t>
      </w:r>
      <w:r>
        <w:rPr>
          <w:rFonts w:ascii="Times New Roman" w:hAnsi="Times New Roman" w:cs="Times New Roman"/>
          <w:sz w:val="24"/>
          <w:szCs w:val="24"/>
        </w:rPr>
        <w:t xml:space="preserve"> (</w:t>
      </w:r>
      <w:r w:rsidR="00EA763A">
        <w:rPr>
          <w:rFonts w:ascii="Times New Roman" w:hAnsi="Times New Roman" w:cs="Times New Roman"/>
          <w:sz w:val="24"/>
          <w:szCs w:val="24"/>
        </w:rPr>
        <w:t>5</w:t>
      </w:r>
      <w:r>
        <w:rPr>
          <w:rFonts w:ascii="Times New Roman" w:hAnsi="Times New Roman" w:cs="Times New Roman"/>
          <w:sz w:val="24"/>
          <w:szCs w:val="24"/>
        </w:rPr>
        <w:t>)</w:t>
      </w:r>
      <w:r w:rsidR="0069412B">
        <w:rPr>
          <w:rFonts w:ascii="Times New Roman" w:hAnsi="Times New Roman" w:cs="Times New Roman"/>
          <w:sz w:val="24"/>
          <w:szCs w:val="24"/>
        </w:rPr>
        <w:t xml:space="preserve">, </w:t>
      </w:r>
      <w:r>
        <w:rPr>
          <w:rFonts w:ascii="Times New Roman" w:hAnsi="Times New Roman" w:cs="Times New Roman"/>
          <w:sz w:val="24"/>
          <w:szCs w:val="24"/>
        </w:rPr>
        <w:t>motivated by the rise in the importance of intangible</w:t>
      </w:r>
      <w:r w:rsidR="0069412B">
        <w:rPr>
          <w:rFonts w:ascii="Times New Roman" w:hAnsi="Times New Roman" w:cs="Times New Roman"/>
          <w:sz w:val="24"/>
          <w:szCs w:val="24"/>
        </w:rPr>
        <w:t xml:space="preserve"> assets</w:t>
      </w:r>
      <w:r>
        <w:rPr>
          <w:rFonts w:ascii="Times New Roman" w:hAnsi="Times New Roman" w:cs="Times New Roman"/>
          <w:sz w:val="24"/>
          <w:szCs w:val="24"/>
        </w:rPr>
        <w:t xml:space="preserve"> over the last decades (see, e.g.,</w:t>
      </w:r>
      <w:r w:rsidR="00F213F1">
        <w:rPr>
          <w:rFonts w:ascii="Times New Roman" w:hAnsi="Times New Roman" w:cs="Times New Roman"/>
          <w:sz w:val="24"/>
          <w:szCs w:val="24"/>
        </w:rPr>
        <w:t xml:space="preserve"> </w:t>
      </w:r>
      <w:hyperlink w:anchor="_ENREF_22" w:tooltip="Collins, 1997 #1820"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AuthorYear="1"&gt;&lt;Author&gt;Collins&lt;/Author&gt;&lt;Year&gt;1997&lt;/Year&gt;&lt;RecNum&gt;1820&lt;/RecNum&gt;&lt;DisplayText&gt;Collins et al. (1997)&lt;/DisplayText&gt;&lt;record&gt;&lt;rec-number&gt;1820&lt;/rec-number&gt;&lt;foreign-keys&gt;&lt;key app="EN" db-id="a00ppf5vbz2zw4efraqp9recxrvdwwtasszf" timestamp="1688136771"&gt;1820&lt;/key&gt;&lt;/foreign-keys&gt;&lt;ref-type name="Journal Article"&gt;17&lt;/ref-type&gt;&lt;contributors&gt;&lt;authors&gt;&lt;author&gt;Collins, Daniel W.&lt;/author&gt;&lt;author&gt;Maydew, Edward L.&lt;/author&gt;&lt;author&gt;Weiss, Ira S.&lt;/author&gt;&lt;/authors&gt;&lt;/contributors&gt;&lt;titles&gt;&lt;title&gt;Changes in the value-relevance of earnings and book values over the past forty years&lt;/title&gt;&lt;secondary-title&gt;Journal of Accounting and Economics&lt;/secondary-title&gt;&lt;/titles&gt;&lt;periodical&gt;&lt;full-title&gt;Journal of Accounting and Economics&lt;/full-title&gt;&lt;/periodical&gt;&lt;pages&gt;39-67&lt;/pages&gt;&lt;volume&gt;24&lt;/volume&gt;&lt;number&gt;1&lt;/number&gt;&lt;keywords&gt;&lt;keyword&gt;Capital markets&lt;/keyword&gt;&lt;keyword&gt;Financial reporting&lt;/keyword&gt;&lt;/keywords&gt;&lt;dates&gt;&lt;year&gt;1997&lt;/year&gt;&lt;pub-dates&gt;&lt;date&gt;1997/12/01/&lt;/date&gt;&lt;/pub-dates&gt;&lt;/dates&gt;&lt;isbn&gt;0165-4101&lt;/isbn&gt;&lt;urls&gt;&lt;related-urls&gt;&lt;url&gt;https://www.sciencedirect.com/science/article/pii/S0165410197000153&lt;/url&gt;&lt;/related-urls&gt;&lt;/urls&gt;&lt;electronic-resource-num&gt;https://doi.org/10.1016/S0165-4101(97)00015-3&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Collins et al. (1997)</w:t>
        </w:r>
        <w:r w:rsidR="00A4299A">
          <w:rPr>
            <w:rFonts w:ascii="Times New Roman" w:hAnsi="Times New Roman" w:cs="Times New Roman"/>
            <w:sz w:val="24"/>
            <w:szCs w:val="24"/>
          </w:rPr>
          <w:fldChar w:fldCharType="end"/>
        </w:r>
      </w:hyperlink>
      <w:r w:rsidR="00F213F1">
        <w:rPr>
          <w:rFonts w:ascii="Times New Roman" w:hAnsi="Times New Roman" w:cs="Times New Roman"/>
          <w:sz w:val="24"/>
          <w:szCs w:val="24"/>
        </w:rPr>
        <w:t>,</w:t>
      </w:r>
      <w:r>
        <w:rPr>
          <w:rFonts w:ascii="Times New Roman" w:hAnsi="Times New Roman" w:cs="Times New Roman"/>
          <w:sz w:val="24"/>
          <w:szCs w:val="24"/>
        </w:rPr>
        <w:t xml:space="preserve"> </w:t>
      </w:r>
      <w:hyperlink w:anchor="_ENREF_12" w:tooltip="Barth, 2023 #179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AuthorYear="1"&gt;&lt;Author&gt;Barth&lt;/Author&gt;&lt;Year&gt;2023&lt;/Year&gt;&lt;RecNum&gt;1797&lt;/RecNum&gt;&lt;DisplayText&gt;Barth et al. (2023)&lt;/DisplayText&gt;&lt;record&gt;&lt;rec-number&gt;1797&lt;/rec-number&gt;&lt;foreign-keys&gt;&lt;key app="EN" db-id="a00ppf5vbz2zw4efraqp9recxrvdwwtasszf" timestamp="1687432775"&gt;1797&lt;/key&gt;&lt;/foreign-keys&gt;&lt;ref-type name="Journal Article"&gt;17&lt;/ref-type&gt;&lt;contributors&gt;&lt;authors&gt;&lt;author&gt;Barth, Mary E.&lt;/author&gt;&lt;author&gt;Li, Ken&lt;/author&gt;&lt;author&gt;McClure, Charles G.&lt;/author&gt;&lt;/authors&gt;&lt;/contributors&gt;&lt;titles&gt;&lt;title&gt;Evolution in Value Relevance of Accounting Information&lt;/title&gt;&lt;secondary-title&gt;The Accounting Review&lt;/secondary-title&gt;&lt;/titles&gt;&lt;periodical&gt;&lt;full-title&gt;The Accounting Review&lt;/full-title&gt;&lt;/periodical&gt;&lt;pages&gt;1-28&lt;/pages&gt;&lt;volume&gt;98&lt;/volume&gt;&lt;number&gt;1&lt;/number&gt;&lt;dates&gt;&lt;year&gt;2023&lt;/year&gt;&lt;/dates&gt;&lt;isbn&gt;0001-4826&lt;/isbn&gt;&lt;urls&gt;&lt;related-urls&gt;&lt;url&gt;https://doi.org/10.2308/TAR-2019-0521&lt;/url&gt;&lt;/related-urls&gt;&lt;/urls&gt;&lt;electronic-resource-num&gt;10.2308/tar-2019-0521&lt;/electronic-resource-num&gt;&lt;access-date&gt;6/22/2023&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Barth et al. (2023)</w:t>
        </w:r>
        <w:r w:rsidR="00A4299A">
          <w:rPr>
            <w:rFonts w:ascii="Times New Roman" w:hAnsi="Times New Roman" w:cs="Times New Roman"/>
            <w:sz w:val="24"/>
            <w:szCs w:val="24"/>
          </w:rPr>
          <w:fldChar w:fldCharType="end"/>
        </w:r>
      </w:hyperlink>
      <w:r>
        <w:rPr>
          <w:rFonts w:ascii="Times New Roman" w:hAnsi="Times New Roman" w:cs="Times New Roman"/>
          <w:sz w:val="24"/>
          <w:szCs w:val="24"/>
        </w:rPr>
        <w:t>)</w:t>
      </w:r>
      <w:r w:rsidR="00912D0B">
        <w:rPr>
          <w:rFonts w:ascii="Times New Roman" w:hAnsi="Times New Roman" w:cs="Times New Roman"/>
          <w:sz w:val="24"/>
          <w:szCs w:val="24"/>
        </w:rPr>
        <w:t>.</w:t>
      </w:r>
      <w:r>
        <w:rPr>
          <w:rFonts w:ascii="Times New Roman" w:hAnsi="Times New Roman" w:cs="Times New Roman"/>
          <w:sz w:val="24"/>
          <w:szCs w:val="24"/>
        </w:rPr>
        <w:t xml:space="preserve"> It is well-</w:t>
      </w:r>
      <w:r w:rsidR="004E5A30">
        <w:rPr>
          <w:rFonts w:ascii="Times New Roman" w:hAnsi="Times New Roman" w:cs="Times New Roman"/>
          <w:sz w:val="24"/>
          <w:szCs w:val="24"/>
        </w:rPr>
        <w:t>understood</w:t>
      </w:r>
      <w:r>
        <w:rPr>
          <w:rFonts w:ascii="Times New Roman" w:hAnsi="Times New Roman" w:cs="Times New Roman"/>
          <w:sz w:val="24"/>
          <w:szCs w:val="24"/>
        </w:rPr>
        <w:t xml:space="preserve"> that</w:t>
      </w:r>
      <w:r w:rsidR="004E5A30">
        <w:rPr>
          <w:rFonts w:ascii="Times New Roman" w:hAnsi="Times New Roman" w:cs="Times New Roman"/>
          <w:sz w:val="24"/>
          <w:szCs w:val="24"/>
        </w:rPr>
        <w:t xml:space="preserve"> accounting</w:t>
      </w:r>
      <w:r>
        <w:rPr>
          <w:rFonts w:ascii="Times New Roman" w:hAnsi="Times New Roman" w:cs="Times New Roman"/>
          <w:sz w:val="24"/>
          <w:szCs w:val="24"/>
        </w:rPr>
        <w:t xml:space="preserve"> </w:t>
      </w:r>
      <w:r w:rsidR="004E5A30">
        <w:rPr>
          <w:rFonts w:ascii="Times New Roman" w:hAnsi="Times New Roman" w:cs="Times New Roman"/>
          <w:sz w:val="24"/>
          <w:szCs w:val="24"/>
        </w:rPr>
        <w:t>book values</w:t>
      </w:r>
      <w:r>
        <w:rPr>
          <w:rFonts w:ascii="Times New Roman" w:hAnsi="Times New Roman" w:cs="Times New Roman"/>
          <w:sz w:val="24"/>
          <w:szCs w:val="24"/>
        </w:rPr>
        <w:t xml:space="preserve"> exclude value-relevant intangible assets such as R&amp;D capital. At the same time, immediate expensing of R&amp;D depresses the reported earnings of R&amp;D-intensive firms</w:t>
      </w:r>
      <w:r w:rsidR="001930C4">
        <w:rPr>
          <w:rFonts w:ascii="Times New Roman" w:hAnsi="Times New Roman" w:cs="Times New Roman"/>
          <w:sz w:val="24"/>
          <w:szCs w:val="24"/>
        </w:rPr>
        <w:t xml:space="preserve">, which further distorts </w:t>
      </w:r>
      <w:r w:rsidR="00FA6DB3">
        <w:rPr>
          <w:rFonts w:ascii="Times New Roman" w:hAnsi="Times New Roman" w:cs="Times New Roman"/>
          <w:sz w:val="24"/>
          <w:szCs w:val="24"/>
        </w:rPr>
        <w:t>comparability of accounting fundamentals</w:t>
      </w:r>
      <w:r w:rsidR="001930C4">
        <w:rPr>
          <w:rFonts w:ascii="Times New Roman" w:hAnsi="Times New Roman" w:cs="Times New Roman"/>
          <w:sz w:val="24"/>
          <w:szCs w:val="24"/>
        </w:rPr>
        <w:t>.</w:t>
      </w:r>
      <w:r w:rsidR="00D607F2">
        <w:rPr>
          <w:rFonts w:ascii="Times New Roman" w:hAnsi="Times New Roman" w:cs="Times New Roman"/>
          <w:sz w:val="24"/>
          <w:szCs w:val="24"/>
        </w:rPr>
        <w:t xml:space="preserve"> </w:t>
      </w:r>
      <w:r w:rsidR="0030734E">
        <w:rPr>
          <w:rFonts w:ascii="Times New Roman" w:hAnsi="Times New Roman" w:cs="Times New Roman"/>
          <w:sz w:val="24"/>
          <w:szCs w:val="24"/>
        </w:rPr>
        <w:t xml:space="preserve">To </w:t>
      </w:r>
      <w:r w:rsidR="00F110C6">
        <w:rPr>
          <w:rFonts w:ascii="Times New Roman" w:hAnsi="Times New Roman" w:cs="Times New Roman"/>
          <w:sz w:val="24"/>
          <w:szCs w:val="24"/>
        </w:rPr>
        <w:t xml:space="preserve">enhance </w:t>
      </w:r>
      <w:r>
        <w:rPr>
          <w:rFonts w:ascii="Times New Roman" w:hAnsi="Times New Roman" w:cs="Times New Roman"/>
          <w:sz w:val="24"/>
          <w:szCs w:val="24"/>
        </w:rPr>
        <w:t>cross-firm comparability</w:t>
      </w:r>
      <w:r w:rsidR="00FA6DB3">
        <w:rPr>
          <w:rFonts w:ascii="Times New Roman" w:hAnsi="Times New Roman" w:cs="Times New Roman"/>
          <w:sz w:val="24"/>
          <w:szCs w:val="24"/>
        </w:rPr>
        <w:t xml:space="preserve"> of book values and earnings</w:t>
      </w:r>
      <w:r w:rsidR="0030734E">
        <w:rPr>
          <w:rFonts w:ascii="Times New Roman" w:hAnsi="Times New Roman" w:cs="Times New Roman"/>
          <w:sz w:val="24"/>
          <w:szCs w:val="24"/>
        </w:rPr>
        <w:t xml:space="preserve">, </w:t>
      </w:r>
      <w:r w:rsidR="00DE4116">
        <w:rPr>
          <w:rFonts w:ascii="Times New Roman" w:hAnsi="Times New Roman" w:cs="Times New Roman"/>
          <w:sz w:val="24"/>
          <w:szCs w:val="24"/>
        </w:rPr>
        <w:t xml:space="preserve">we </w:t>
      </w:r>
      <w:r w:rsidR="003405B2">
        <w:rPr>
          <w:rFonts w:ascii="Times New Roman" w:hAnsi="Times New Roman" w:cs="Times New Roman"/>
          <w:sz w:val="24"/>
          <w:szCs w:val="24"/>
        </w:rPr>
        <w:t xml:space="preserve">include </w:t>
      </w:r>
      <w:r w:rsidR="00E83448">
        <w:rPr>
          <w:rFonts w:ascii="Times New Roman" w:hAnsi="Times New Roman" w:cs="Times New Roman"/>
          <w:sz w:val="24"/>
          <w:szCs w:val="24"/>
        </w:rPr>
        <w:t>capitalized R&amp;D</w:t>
      </w:r>
      <w:r w:rsidR="00DE4116">
        <w:rPr>
          <w:rFonts w:ascii="Times New Roman" w:hAnsi="Times New Roman" w:cs="Times New Roman"/>
          <w:sz w:val="24"/>
          <w:szCs w:val="24"/>
        </w:rPr>
        <w:t xml:space="preserve"> as an </w:t>
      </w:r>
      <w:r w:rsidR="00CF017B">
        <w:rPr>
          <w:rFonts w:ascii="Times New Roman" w:hAnsi="Times New Roman" w:cs="Times New Roman"/>
          <w:sz w:val="24"/>
          <w:szCs w:val="24"/>
        </w:rPr>
        <w:t>additional valuation model predictor</w:t>
      </w:r>
      <w:r w:rsidR="0030734E">
        <w:rPr>
          <w:rFonts w:ascii="Times New Roman" w:hAnsi="Times New Roman" w:cs="Times New Roman"/>
          <w:sz w:val="24"/>
          <w:szCs w:val="24"/>
        </w:rPr>
        <w:t xml:space="preserve"> and adjust earnings accordingly</w:t>
      </w:r>
      <w:r w:rsidR="00DE4116">
        <w:rPr>
          <w:rFonts w:ascii="Times New Roman" w:hAnsi="Times New Roman" w:cs="Times New Roman"/>
          <w:sz w:val="24"/>
          <w:szCs w:val="24"/>
        </w:rPr>
        <w:t xml:space="preserve">. </w:t>
      </w:r>
      <w:r w:rsidR="0030734E">
        <w:rPr>
          <w:rFonts w:ascii="Times New Roman" w:hAnsi="Times New Roman" w:cs="Times New Roman"/>
          <w:sz w:val="24"/>
          <w:szCs w:val="24"/>
        </w:rPr>
        <w:t>W</w:t>
      </w:r>
      <w:r w:rsidR="003405B2">
        <w:rPr>
          <w:rFonts w:ascii="Times New Roman" w:hAnsi="Times New Roman" w:cs="Times New Roman"/>
          <w:sz w:val="24"/>
          <w:szCs w:val="24"/>
        </w:rPr>
        <w:t xml:space="preserve">e do not combine book equity and R&amp;D capital into one item, </w:t>
      </w:r>
      <w:r w:rsidR="00E83448">
        <w:rPr>
          <w:rFonts w:ascii="Times New Roman" w:hAnsi="Times New Roman" w:cs="Times New Roman"/>
          <w:sz w:val="24"/>
          <w:szCs w:val="24"/>
        </w:rPr>
        <w:t>to</w:t>
      </w:r>
      <w:r w:rsidR="00DE4116">
        <w:rPr>
          <w:rFonts w:ascii="Times New Roman" w:hAnsi="Times New Roman" w:cs="Times New Roman"/>
          <w:sz w:val="24"/>
          <w:szCs w:val="24"/>
        </w:rPr>
        <w:t xml:space="preserve"> allow for the possibility that </w:t>
      </w:r>
      <w:r w:rsidR="00E83448">
        <w:rPr>
          <w:rFonts w:ascii="Times New Roman" w:hAnsi="Times New Roman" w:cs="Times New Roman"/>
          <w:sz w:val="24"/>
          <w:szCs w:val="24"/>
        </w:rPr>
        <w:t>the two types of</w:t>
      </w:r>
      <w:r w:rsidR="003405B2">
        <w:rPr>
          <w:rFonts w:ascii="Times New Roman" w:hAnsi="Times New Roman" w:cs="Times New Roman"/>
          <w:sz w:val="24"/>
          <w:szCs w:val="24"/>
        </w:rPr>
        <w:t xml:space="preserve"> assets </w:t>
      </w:r>
      <w:r w:rsidR="00FC159C">
        <w:rPr>
          <w:rFonts w:ascii="Times New Roman" w:hAnsi="Times New Roman" w:cs="Times New Roman"/>
          <w:sz w:val="24"/>
          <w:szCs w:val="24"/>
        </w:rPr>
        <w:t>attract</w:t>
      </w:r>
      <w:r w:rsidR="003405B2">
        <w:rPr>
          <w:rFonts w:ascii="Times New Roman" w:hAnsi="Times New Roman" w:cs="Times New Roman"/>
          <w:sz w:val="24"/>
          <w:szCs w:val="24"/>
        </w:rPr>
        <w:t xml:space="preserve"> different multiples</w:t>
      </w:r>
      <w:r w:rsidR="00DE4116">
        <w:rPr>
          <w:rFonts w:ascii="Times New Roman" w:hAnsi="Times New Roman" w:cs="Times New Roman"/>
          <w:sz w:val="24"/>
          <w:szCs w:val="24"/>
        </w:rPr>
        <w:t>.</w:t>
      </w:r>
      <w:r w:rsidR="00402EF9">
        <w:rPr>
          <w:rStyle w:val="FootnoteReference"/>
          <w:rFonts w:ascii="Times New Roman" w:hAnsi="Times New Roman" w:cs="Times New Roman"/>
          <w:sz w:val="24"/>
          <w:szCs w:val="24"/>
        </w:rPr>
        <w:footnoteReference w:id="10"/>
      </w:r>
      <w:r w:rsidR="00DE4116">
        <w:rPr>
          <w:rFonts w:ascii="Times New Roman" w:hAnsi="Times New Roman" w:cs="Times New Roman"/>
          <w:sz w:val="24"/>
          <w:szCs w:val="24"/>
        </w:rPr>
        <w:t xml:space="preserve"> To compute</w:t>
      </w:r>
      <w:r w:rsidR="003405B2">
        <w:rPr>
          <w:rFonts w:ascii="Times New Roman" w:hAnsi="Times New Roman" w:cs="Times New Roman"/>
          <w:sz w:val="24"/>
          <w:szCs w:val="24"/>
        </w:rPr>
        <w:t xml:space="preserve"> the value of</w:t>
      </w:r>
      <w:r w:rsidR="00DE4116">
        <w:rPr>
          <w:rFonts w:ascii="Times New Roman" w:hAnsi="Times New Roman" w:cs="Times New Roman"/>
          <w:sz w:val="24"/>
          <w:szCs w:val="24"/>
        </w:rPr>
        <w:t xml:space="preserve"> R&amp;D </w:t>
      </w:r>
      <w:r w:rsidR="00E83448">
        <w:rPr>
          <w:rFonts w:ascii="Times New Roman" w:hAnsi="Times New Roman" w:cs="Times New Roman"/>
          <w:sz w:val="24"/>
          <w:szCs w:val="24"/>
        </w:rPr>
        <w:t>capital</w:t>
      </w:r>
      <w:r w:rsidR="00DE4116">
        <w:rPr>
          <w:rFonts w:ascii="Times New Roman" w:hAnsi="Times New Roman" w:cs="Times New Roman"/>
          <w:sz w:val="24"/>
          <w:szCs w:val="24"/>
        </w:rPr>
        <w:t xml:space="preserve">, we follow the approach in </w:t>
      </w:r>
      <w:hyperlink w:anchor="_ENREF_20" w:tooltip="Chan, 2001 #412"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AuthorYear="1"&gt;&lt;Author&gt;Chan&lt;/Author&gt;&lt;Year&gt;2001&lt;/Year&gt;&lt;RecNum&gt;412&lt;/RecNum&gt;&lt;DisplayText&gt;Chan, Lakonishok, and Sougiannis (2001)&lt;/DisplayText&gt;&lt;record&gt;&lt;rec-number&gt;412&lt;/rec-number&gt;&lt;foreign-keys&gt;&lt;key app="EN" db-id="a00ppf5vbz2zw4efraqp9recxrvdwwtasszf" timestamp="1636055769"&gt;412&lt;/key&gt;&lt;/foreign-keys&gt;&lt;ref-type name="Journal Article"&gt;17&lt;/ref-type&gt;&lt;contributors&gt;&lt;authors&gt;&lt;author&gt;Chan, Louis K. C.&lt;/author&gt;&lt;author&gt;Lakonishok, Josef&lt;/author&gt;&lt;author&gt;Sougiannis, Theodore&lt;/author&gt;&lt;/authors&gt;&lt;/contributors&gt;&lt;titles&gt;&lt;title&gt;The Stock Market Valuation of Research and Development Expenditures&lt;/title&gt;&lt;secondary-title&gt;Journal of Finance&lt;/secondary-title&gt;&lt;/titles&gt;&lt;periodical&gt;&lt;full-title&gt;Journal of FInance&lt;/full-title&gt;&lt;/periodical&gt;&lt;pages&gt;2431-2456&lt;/pages&gt;&lt;volume&gt;56&lt;/volume&gt;&lt;number&gt;6&lt;/number&gt;&lt;keywords&gt;&lt;keyword&gt;INDUSTRIAL research&lt;/keyword&gt;&lt;keyword&gt;STOCK exchanges&lt;/keyword&gt;&lt;keyword&gt;INTANGIBLE property&lt;/keyword&gt;&lt;keyword&gt;ACCOUNTING&lt;/keyword&gt;&lt;keyword&gt;VALUATION&lt;/keyword&gt;&lt;keyword&gt;RESEARCH &amp;amp; development&lt;/keyword&gt;&lt;keyword&gt;ASSETS (Accounting)&lt;/keyword&gt;&lt;keyword&gt;BUSINESS enterprises -- Finance&lt;/keyword&gt;&lt;keyword&gt;STOCKS (Finance) -- Prices&lt;/keyword&gt;&lt;keyword&gt;SECURITIES markets&lt;/keyword&gt;&lt;keyword&gt;VOLATILITY (Finance)&lt;/keyword&gt;&lt;keyword&gt;RATE of return&lt;/keyword&gt;&lt;keyword&gt;CORPORATIONS -- Valuation&lt;/keyword&gt;&lt;/keywords&gt;&lt;dates&gt;&lt;year&gt;2001&lt;/year&gt;&lt;/dates&gt;&lt;publisher&gt;Wiley-Blackwell&lt;/publisher&gt;&lt;isbn&gt;00221082&lt;/isbn&gt;&lt;accession-num&gt;5528860&lt;/accession-num&gt;&lt;work-type&gt;Article&lt;/work-type&gt;&lt;urls&gt;&lt;related-urls&gt;&lt;url&gt;http://search.ebscohost.com/login.aspx?direct=true&amp;amp;db=bth&amp;amp;AN=5528860&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Chan, Lakonishok, and Sougiannis (2001)</w:t>
        </w:r>
        <w:r w:rsidR="00A4299A">
          <w:rPr>
            <w:rFonts w:ascii="Times New Roman" w:hAnsi="Times New Roman" w:cs="Times New Roman"/>
            <w:sz w:val="24"/>
            <w:szCs w:val="24"/>
          </w:rPr>
          <w:fldChar w:fldCharType="end"/>
        </w:r>
      </w:hyperlink>
      <w:r w:rsidR="00906FFE">
        <w:rPr>
          <w:rFonts w:ascii="Times New Roman" w:hAnsi="Times New Roman" w:cs="Times New Roman"/>
          <w:sz w:val="24"/>
          <w:szCs w:val="24"/>
        </w:rPr>
        <w:t xml:space="preserve">. In </w:t>
      </w:r>
      <w:r w:rsidR="000C5F4C">
        <w:rPr>
          <w:rFonts w:ascii="Times New Roman" w:hAnsi="Times New Roman" w:cs="Times New Roman"/>
          <w:sz w:val="24"/>
          <w:szCs w:val="24"/>
        </w:rPr>
        <w:t>particular</w:t>
      </w:r>
      <w:r w:rsidR="00906FFE">
        <w:rPr>
          <w:rFonts w:ascii="Times New Roman" w:hAnsi="Times New Roman" w:cs="Times New Roman"/>
          <w:sz w:val="24"/>
          <w:szCs w:val="24"/>
        </w:rPr>
        <w:t xml:space="preserve">, </w:t>
      </w:r>
      <w:r w:rsidR="00CC6922">
        <w:rPr>
          <w:rFonts w:ascii="Times New Roman" w:hAnsi="Times New Roman" w:cs="Times New Roman"/>
          <w:sz w:val="24"/>
          <w:szCs w:val="24"/>
        </w:rPr>
        <w:t xml:space="preserve">we capitalize yearly </w:t>
      </w:r>
      <w:r w:rsidR="00906FFE">
        <w:rPr>
          <w:rFonts w:ascii="Times New Roman" w:hAnsi="Times New Roman" w:cs="Times New Roman"/>
          <w:sz w:val="24"/>
          <w:szCs w:val="24"/>
        </w:rPr>
        <w:t xml:space="preserve">R&amp;D expenditures </w:t>
      </w:r>
      <w:r w:rsidR="000C5F4C">
        <w:rPr>
          <w:rFonts w:ascii="Times New Roman" w:hAnsi="Times New Roman" w:cs="Times New Roman"/>
          <w:sz w:val="24"/>
          <w:szCs w:val="24"/>
        </w:rPr>
        <w:t>under the assumption of</w:t>
      </w:r>
      <w:r w:rsidR="00906FFE">
        <w:rPr>
          <w:rFonts w:ascii="Times New Roman" w:hAnsi="Times New Roman" w:cs="Times New Roman"/>
          <w:sz w:val="24"/>
          <w:szCs w:val="24"/>
        </w:rPr>
        <w:t xml:space="preserve"> a </w:t>
      </w:r>
      <w:r w:rsidR="00CC6922">
        <w:rPr>
          <w:rFonts w:ascii="Times New Roman" w:hAnsi="Times New Roman" w:cs="Times New Roman"/>
          <w:sz w:val="24"/>
          <w:szCs w:val="24"/>
        </w:rPr>
        <w:t xml:space="preserve">5-year </w:t>
      </w:r>
      <w:r w:rsidR="00906FFE">
        <w:rPr>
          <w:rFonts w:ascii="Times New Roman" w:hAnsi="Times New Roman" w:cs="Times New Roman"/>
          <w:sz w:val="24"/>
          <w:szCs w:val="24"/>
        </w:rPr>
        <w:t xml:space="preserve">useful life </w:t>
      </w:r>
      <w:r w:rsidR="000C5F4C">
        <w:rPr>
          <w:rFonts w:ascii="Times New Roman" w:hAnsi="Times New Roman" w:cs="Times New Roman"/>
          <w:sz w:val="24"/>
          <w:szCs w:val="24"/>
        </w:rPr>
        <w:t>and a</w:t>
      </w:r>
      <w:r w:rsidR="00906FFE">
        <w:rPr>
          <w:rFonts w:ascii="Times New Roman" w:hAnsi="Times New Roman" w:cs="Times New Roman"/>
          <w:sz w:val="24"/>
          <w:szCs w:val="24"/>
        </w:rPr>
        <w:t xml:space="preserve"> straight-line </w:t>
      </w:r>
      <w:r w:rsidR="003405B2">
        <w:rPr>
          <w:rFonts w:ascii="Times New Roman" w:hAnsi="Times New Roman" w:cs="Times New Roman"/>
          <w:sz w:val="24"/>
          <w:szCs w:val="24"/>
        </w:rPr>
        <w:t>amortization</w:t>
      </w:r>
      <w:r w:rsidR="00906FFE">
        <w:rPr>
          <w:rFonts w:ascii="Times New Roman" w:hAnsi="Times New Roman" w:cs="Times New Roman"/>
          <w:sz w:val="24"/>
          <w:szCs w:val="24"/>
        </w:rPr>
        <w:t xml:space="preserve"> rate of 20%.</w:t>
      </w:r>
      <w:r w:rsidR="004E380B">
        <w:rPr>
          <w:rStyle w:val="FootnoteReference"/>
          <w:rFonts w:ascii="Times New Roman" w:hAnsi="Times New Roman" w:cs="Times New Roman"/>
          <w:sz w:val="24"/>
          <w:szCs w:val="24"/>
        </w:rPr>
        <w:footnoteReference w:id="11"/>
      </w:r>
      <w:r w:rsidR="00DE4116">
        <w:rPr>
          <w:rFonts w:ascii="Times New Roman" w:hAnsi="Times New Roman" w:cs="Times New Roman"/>
          <w:sz w:val="24"/>
          <w:szCs w:val="24"/>
        </w:rPr>
        <w:t xml:space="preserve"> </w:t>
      </w:r>
      <w:r w:rsidR="00DC0D09">
        <w:rPr>
          <w:rFonts w:ascii="Times New Roman" w:hAnsi="Times New Roman" w:cs="Times New Roman"/>
          <w:sz w:val="24"/>
          <w:szCs w:val="24"/>
        </w:rPr>
        <w:t>We adjust e</w:t>
      </w:r>
      <w:r w:rsidR="00906FFE">
        <w:rPr>
          <w:rFonts w:ascii="Times New Roman" w:hAnsi="Times New Roman" w:cs="Times New Roman"/>
          <w:sz w:val="24"/>
          <w:szCs w:val="24"/>
        </w:rPr>
        <w:t>arnings</w:t>
      </w:r>
      <w:r w:rsidR="0030734E">
        <w:rPr>
          <w:rFonts w:ascii="Times New Roman" w:hAnsi="Times New Roman" w:cs="Times New Roman"/>
          <w:sz w:val="24"/>
          <w:szCs w:val="24"/>
        </w:rPr>
        <w:t xml:space="preserve"> </w:t>
      </w:r>
      <w:r w:rsidR="00906FFE">
        <w:rPr>
          <w:rFonts w:ascii="Times New Roman" w:hAnsi="Times New Roman" w:cs="Times New Roman"/>
          <w:sz w:val="24"/>
          <w:szCs w:val="24"/>
        </w:rPr>
        <w:t>by adding back</w:t>
      </w:r>
      <w:r w:rsidR="004401AD">
        <w:rPr>
          <w:rFonts w:ascii="Times New Roman" w:hAnsi="Times New Roman" w:cs="Times New Roman"/>
          <w:sz w:val="24"/>
          <w:szCs w:val="24"/>
        </w:rPr>
        <w:t xml:space="preserve"> the</w:t>
      </w:r>
      <w:r w:rsidR="00906FFE">
        <w:rPr>
          <w:rFonts w:ascii="Times New Roman" w:hAnsi="Times New Roman" w:cs="Times New Roman"/>
          <w:sz w:val="24"/>
          <w:szCs w:val="24"/>
        </w:rPr>
        <w:t xml:space="preserve"> R&amp;D expense</w:t>
      </w:r>
      <w:r w:rsidR="003405B2">
        <w:rPr>
          <w:rFonts w:ascii="Times New Roman" w:hAnsi="Times New Roman" w:cs="Times New Roman"/>
          <w:sz w:val="24"/>
          <w:szCs w:val="24"/>
        </w:rPr>
        <w:t xml:space="preserve"> and subtracting amortization</w:t>
      </w:r>
      <w:r w:rsidR="00906FFE">
        <w:rPr>
          <w:rFonts w:ascii="Times New Roman" w:hAnsi="Times New Roman" w:cs="Times New Roman"/>
          <w:sz w:val="24"/>
          <w:szCs w:val="24"/>
        </w:rPr>
        <w:t xml:space="preserve"> applicable to that particular year.</w:t>
      </w:r>
      <w:r w:rsidR="00AB32A7">
        <w:rPr>
          <w:rFonts w:ascii="Times New Roman" w:hAnsi="Times New Roman" w:cs="Times New Roman"/>
          <w:sz w:val="24"/>
          <w:szCs w:val="24"/>
        </w:rPr>
        <w:t xml:space="preserve"> </w:t>
      </w:r>
      <w:r w:rsidR="00F553E7">
        <w:rPr>
          <w:rFonts w:ascii="Times New Roman" w:hAnsi="Times New Roman" w:cs="Times New Roman"/>
          <w:sz w:val="24"/>
          <w:szCs w:val="24"/>
        </w:rPr>
        <w:t>The valuation model we estimate is therefore:</w:t>
      </w:r>
    </w:p>
    <w:p w14:paraId="5DB6029D" w14:textId="1BDA3E49" w:rsidR="00F553E7" w:rsidRDefault="00F553E7" w:rsidP="001C5B78">
      <w:pPr>
        <w:spacing w:line="480" w:lineRule="auto"/>
        <w:jc w:val="right"/>
        <w:rPr>
          <w:rFonts w:ascii="Times New Roman" w:hAnsi="Times New Roman" w:cs="Times New Roman"/>
          <w:sz w:val="24"/>
          <w:szCs w:val="24"/>
        </w:rPr>
      </w:pPr>
      <w:proofErr w:type="spellStart"/>
      <w:r w:rsidRPr="00051700">
        <w:rPr>
          <w:rFonts w:ascii="Cambria Math" w:hAnsi="Cambria Math" w:cs="Times New Roman"/>
          <w:i/>
          <w:sz w:val="24"/>
          <w:szCs w:val="24"/>
        </w:rPr>
        <w:lastRenderedPageBreak/>
        <w:t>m</w:t>
      </w:r>
      <w:r w:rsidRPr="00051700">
        <w:rPr>
          <w:rFonts w:ascii="Cambria Math" w:hAnsi="Cambria Math" w:cs="Times New Roman"/>
          <w:i/>
          <w:sz w:val="24"/>
          <w:szCs w:val="24"/>
          <w:vertAlign w:val="subscript"/>
        </w:rPr>
        <w:t>it</w:t>
      </w:r>
      <w:proofErr w:type="spellEnd"/>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0jt</w:t>
      </w:r>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1jt</w:t>
      </w:r>
      <w:r w:rsidRPr="00051700">
        <w:rPr>
          <w:rFonts w:ascii="Cambria Math" w:hAnsi="Cambria Math" w:cs="Times New Roman"/>
          <w:i/>
          <w:sz w:val="24"/>
          <w:szCs w:val="24"/>
        </w:rPr>
        <w:t>b</w:t>
      </w:r>
      <w:r w:rsidRPr="00051700">
        <w:rPr>
          <w:rFonts w:ascii="Cambria Math" w:hAnsi="Cambria Math" w:cs="Times New Roman"/>
          <w:i/>
          <w:sz w:val="24"/>
          <w:szCs w:val="24"/>
          <w:vertAlign w:val="subscript"/>
        </w:rPr>
        <w:t xml:space="preserve">it </w:t>
      </w:r>
      <w:r w:rsidRPr="00051700">
        <w:rPr>
          <w:rFonts w:ascii="Cambria Math" w:hAnsi="Cambria Math" w:cs="Times New Roman"/>
          <w:i/>
          <w:sz w:val="24"/>
          <w:szCs w:val="24"/>
        </w:rPr>
        <w:t>+ α</w:t>
      </w:r>
      <w:r w:rsidRPr="00051700">
        <w:rPr>
          <w:rFonts w:ascii="Cambria Math" w:hAnsi="Cambria Math" w:cs="Times New Roman"/>
          <w:i/>
          <w:sz w:val="24"/>
          <w:szCs w:val="24"/>
          <w:vertAlign w:val="subscript"/>
        </w:rPr>
        <w:t>2jt</w:t>
      </w:r>
      <w:r w:rsidR="00924BE1">
        <w:rPr>
          <w:rFonts w:ascii="Cambria Math" w:hAnsi="Cambria Math" w:cs="Times New Roman"/>
          <w:i/>
          <w:sz w:val="24"/>
          <w:szCs w:val="24"/>
          <w:vertAlign w:val="subscript"/>
        </w:rPr>
        <w:t xml:space="preserve"> </w:t>
      </w:r>
      <w:r w:rsidR="00924BE1" w:rsidRPr="00924BE1">
        <w:rPr>
          <w:rFonts w:ascii="Cambria Math" w:hAnsi="Cambria Math" w:cs="Times New Roman"/>
          <w:sz w:val="24"/>
          <w:szCs w:val="24"/>
        </w:rPr>
        <w:t>|</w:t>
      </w:r>
      <w:proofErr w:type="spellStart"/>
      <w:r>
        <w:rPr>
          <w:rFonts w:ascii="Cambria Math" w:hAnsi="Cambria Math" w:cs="Times New Roman"/>
          <w:i/>
          <w:sz w:val="24"/>
          <w:szCs w:val="24"/>
        </w:rPr>
        <w:t>earn</w:t>
      </w:r>
      <w:r w:rsidRPr="00051700">
        <w:rPr>
          <w:rFonts w:ascii="Cambria Math" w:hAnsi="Cambria Math" w:cs="Times New Roman"/>
          <w:i/>
          <w:sz w:val="24"/>
          <w:szCs w:val="24"/>
          <w:vertAlign w:val="subscript"/>
        </w:rPr>
        <w:t>it</w:t>
      </w:r>
      <w:proofErr w:type="spellEnd"/>
      <w:r w:rsidR="00924BE1" w:rsidRPr="00924BE1">
        <w:rPr>
          <w:rFonts w:ascii="Cambria Math" w:hAnsi="Cambria Math" w:cs="Times New Roman"/>
          <w:sz w:val="24"/>
          <w:szCs w:val="24"/>
        </w:rPr>
        <w:t>|</w:t>
      </w:r>
      <w:r w:rsidRPr="00051700">
        <w:rPr>
          <w:rFonts w:ascii="Cambria Math" w:hAnsi="Cambria Math" w:cs="Times New Roman"/>
          <w:i/>
          <w:sz w:val="24"/>
          <w:szCs w:val="24"/>
        </w:rPr>
        <w:t>+ α</w:t>
      </w:r>
      <w:r w:rsidRPr="00051700">
        <w:rPr>
          <w:rFonts w:ascii="Cambria Math" w:hAnsi="Cambria Math" w:cs="Times New Roman"/>
          <w:i/>
          <w:sz w:val="24"/>
          <w:szCs w:val="24"/>
          <w:vertAlign w:val="subscript"/>
        </w:rPr>
        <w:t>3jt</w:t>
      </w:r>
      <w:r w:rsidRPr="00051700">
        <w:rPr>
          <w:rFonts w:ascii="Cambria Math" w:hAnsi="Cambria Math" w:cs="Times New Roman"/>
          <w:i/>
          <w:sz w:val="24"/>
          <w:szCs w:val="24"/>
        </w:rPr>
        <w:t>I</w:t>
      </w:r>
      <w:r w:rsidRPr="00051700">
        <w:rPr>
          <w:rFonts w:ascii="Cambria Math" w:hAnsi="Cambria Math" w:cs="Times New Roman"/>
          <w:i/>
          <w:sz w:val="24"/>
          <w:szCs w:val="24"/>
          <w:vertAlign w:val="subscript"/>
        </w:rPr>
        <w:t>(</w:t>
      </w:r>
      <w:r>
        <w:rPr>
          <w:rFonts w:ascii="Cambria Math" w:hAnsi="Cambria Math" w:cs="Times New Roman"/>
          <w:i/>
          <w:sz w:val="24"/>
          <w:szCs w:val="24"/>
          <w:vertAlign w:val="subscript"/>
        </w:rPr>
        <w:t>EARN</w:t>
      </w:r>
      <w:r w:rsidRPr="00051700">
        <w:rPr>
          <w:rFonts w:ascii="Cambria Math" w:hAnsi="Cambria Math" w:cs="Times New Roman"/>
          <w:i/>
          <w:sz w:val="24"/>
          <w:szCs w:val="24"/>
          <w:vertAlign w:val="subscript"/>
        </w:rPr>
        <w:t>&lt;0)</w:t>
      </w:r>
      <w:r w:rsidRPr="00767CA3">
        <w:rPr>
          <w:rFonts w:ascii="Cambria Math" w:hAnsi="Cambria Math" w:cs="Times New Roman"/>
          <w:sz w:val="24"/>
          <w:szCs w:val="24"/>
        </w:rPr>
        <w:t>×</w:t>
      </w:r>
      <w:r w:rsidR="00924BE1" w:rsidRPr="00924BE1">
        <w:rPr>
          <w:rFonts w:ascii="Cambria Math" w:hAnsi="Cambria Math" w:cs="Times New Roman"/>
          <w:sz w:val="24"/>
          <w:szCs w:val="24"/>
        </w:rPr>
        <w:t>|</w:t>
      </w:r>
      <w:proofErr w:type="spellStart"/>
      <w:r>
        <w:rPr>
          <w:rFonts w:ascii="Cambria Math" w:hAnsi="Cambria Math" w:cs="Times New Roman"/>
          <w:i/>
          <w:sz w:val="24"/>
          <w:szCs w:val="24"/>
        </w:rPr>
        <w:t>earn</w:t>
      </w:r>
      <w:r w:rsidRPr="00051700">
        <w:rPr>
          <w:rFonts w:ascii="Cambria Math" w:hAnsi="Cambria Math" w:cs="Times New Roman"/>
          <w:i/>
          <w:sz w:val="24"/>
          <w:szCs w:val="24"/>
          <w:vertAlign w:val="subscript"/>
        </w:rPr>
        <w:t>it</w:t>
      </w:r>
      <w:proofErr w:type="spellEnd"/>
      <w:r w:rsidR="00924BE1" w:rsidRPr="00924BE1">
        <w:rPr>
          <w:rFonts w:ascii="Cambria Math" w:hAnsi="Cambria Math" w:cs="Times New Roman"/>
          <w:sz w:val="24"/>
          <w:szCs w:val="24"/>
        </w:rPr>
        <w:t>|</w:t>
      </w:r>
      <w:r w:rsidRPr="00051700">
        <w:rPr>
          <w:rFonts w:ascii="Cambria Math" w:hAnsi="Cambria Math" w:cs="Times New Roman"/>
          <w:i/>
          <w:sz w:val="24"/>
          <w:szCs w:val="24"/>
        </w:rPr>
        <w:t xml:space="preserve"> + α</w:t>
      </w:r>
      <w:r w:rsidRPr="00051700">
        <w:rPr>
          <w:rFonts w:ascii="Cambria Math" w:hAnsi="Cambria Math" w:cs="Times New Roman"/>
          <w:i/>
          <w:sz w:val="24"/>
          <w:szCs w:val="24"/>
          <w:vertAlign w:val="subscript"/>
        </w:rPr>
        <w:t>4jt</w:t>
      </w:r>
      <w:r w:rsidRPr="00051700">
        <w:rPr>
          <w:rFonts w:ascii="Cambria Math" w:hAnsi="Cambria Math" w:cs="Times New Roman"/>
          <w:i/>
          <w:sz w:val="24"/>
          <w:szCs w:val="24"/>
        </w:rPr>
        <w:t>LEV</w:t>
      </w:r>
      <w:r w:rsidRPr="00051700">
        <w:rPr>
          <w:rFonts w:ascii="Cambria Math" w:hAnsi="Cambria Math" w:cs="Times New Roman"/>
          <w:i/>
          <w:sz w:val="24"/>
          <w:szCs w:val="24"/>
          <w:vertAlign w:val="subscript"/>
        </w:rPr>
        <w:t>it</w:t>
      </w:r>
      <w:r w:rsidRPr="00051700">
        <w:rPr>
          <w:rFonts w:ascii="Cambria Math" w:hAnsi="Cambria Math" w:cs="Times New Roman"/>
          <w:i/>
          <w:sz w:val="24"/>
          <w:szCs w:val="24"/>
        </w:rPr>
        <w:t xml:space="preserve"> +</w:t>
      </w:r>
      <w:r w:rsidRPr="00F553E7">
        <w:rPr>
          <w:rFonts w:ascii="Cambria Math" w:hAnsi="Cambria Math" w:cs="Times New Roman"/>
          <w:i/>
          <w:sz w:val="24"/>
          <w:szCs w:val="24"/>
        </w:rPr>
        <w:t xml:space="preserve"> </w:t>
      </w:r>
      <w:r w:rsidRPr="00051700">
        <w:rPr>
          <w:rFonts w:ascii="Cambria Math" w:hAnsi="Cambria Math" w:cs="Times New Roman"/>
          <w:i/>
          <w:sz w:val="24"/>
          <w:szCs w:val="24"/>
        </w:rPr>
        <w:t>α</w:t>
      </w:r>
      <w:r>
        <w:rPr>
          <w:rFonts w:ascii="Cambria Math" w:hAnsi="Cambria Math" w:cs="Times New Roman"/>
          <w:i/>
          <w:sz w:val="24"/>
          <w:szCs w:val="24"/>
          <w:vertAlign w:val="subscript"/>
        </w:rPr>
        <w:t>5</w:t>
      </w:r>
      <w:r w:rsidRPr="00051700">
        <w:rPr>
          <w:rFonts w:ascii="Cambria Math" w:hAnsi="Cambria Math" w:cs="Times New Roman"/>
          <w:i/>
          <w:sz w:val="24"/>
          <w:szCs w:val="24"/>
          <w:vertAlign w:val="subscript"/>
        </w:rPr>
        <w:t>jt</w:t>
      </w:r>
      <w:r>
        <w:rPr>
          <w:rFonts w:ascii="Cambria Math" w:hAnsi="Cambria Math" w:cs="Times New Roman"/>
          <w:i/>
          <w:sz w:val="24"/>
          <w:szCs w:val="24"/>
        </w:rPr>
        <w:t>rd</w:t>
      </w:r>
      <w:r w:rsidRPr="00051700">
        <w:rPr>
          <w:rFonts w:ascii="Cambria Math" w:hAnsi="Cambria Math" w:cs="Times New Roman"/>
          <w:i/>
          <w:sz w:val="24"/>
          <w:szCs w:val="24"/>
          <w:vertAlign w:val="subscript"/>
        </w:rPr>
        <w:t>it</w:t>
      </w:r>
      <w:r>
        <w:rPr>
          <w:rFonts w:ascii="Cambria Math" w:hAnsi="Cambria Math" w:cs="Times New Roman"/>
          <w:i/>
          <w:sz w:val="24"/>
          <w:szCs w:val="24"/>
        </w:rPr>
        <w:t xml:space="preserve"> </w:t>
      </w:r>
      <w:r w:rsidRPr="00051700">
        <w:rPr>
          <w:rFonts w:ascii="Cambria Math" w:hAnsi="Cambria Math" w:cs="Times New Roman"/>
          <w:i/>
          <w:sz w:val="24"/>
          <w:szCs w:val="24"/>
        </w:rPr>
        <w:t xml:space="preserve">+ </w:t>
      </w:r>
      <w:proofErr w:type="spellStart"/>
      <w:r w:rsidRPr="00051700">
        <w:rPr>
          <w:rFonts w:ascii="Cambria Math" w:hAnsi="Cambria Math" w:cs="Times New Roman"/>
          <w:i/>
          <w:sz w:val="24"/>
          <w:szCs w:val="24"/>
        </w:rPr>
        <w:t>ε</w:t>
      </w:r>
      <w:r w:rsidRPr="00051700">
        <w:rPr>
          <w:rFonts w:ascii="Cambria Math" w:hAnsi="Cambria Math" w:cs="Times New Roman"/>
          <w:i/>
          <w:sz w:val="24"/>
          <w:szCs w:val="24"/>
          <w:vertAlign w:val="subscript"/>
        </w:rPr>
        <w:t>it</w:t>
      </w:r>
      <w:proofErr w:type="spellEnd"/>
      <w:r w:rsidRPr="00051700">
        <w:rPr>
          <w:rFonts w:ascii="Cambria Math" w:hAnsi="Cambria Math" w:cs="Times New Roman"/>
          <w:i/>
          <w:sz w:val="24"/>
          <w:szCs w:val="24"/>
        </w:rPr>
        <w:t>,</w:t>
      </w:r>
      <w:r>
        <w:rPr>
          <w:rFonts w:ascii="Times New Roman" w:hAnsi="Times New Roman" w:cs="Times New Roman"/>
          <w:i/>
          <w:sz w:val="24"/>
          <w:szCs w:val="24"/>
        </w:rPr>
        <w:t xml:space="preserve">     </w:t>
      </w:r>
      <w:r w:rsidRPr="00EF1703">
        <w:rPr>
          <w:rFonts w:ascii="Times New Roman" w:hAnsi="Times New Roman" w:cs="Times New Roman"/>
          <w:sz w:val="24"/>
          <w:szCs w:val="24"/>
        </w:rPr>
        <w:t>(</w:t>
      </w:r>
      <w:r w:rsidR="00EA763A">
        <w:rPr>
          <w:rFonts w:ascii="Times New Roman" w:hAnsi="Times New Roman" w:cs="Times New Roman"/>
          <w:sz w:val="24"/>
          <w:szCs w:val="24"/>
        </w:rPr>
        <w:t>6</w:t>
      </w:r>
      <w:r w:rsidRPr="00EF1703">
        <w:rPr>
          <w:rFonts w:ascii="Times New Roman" w:hAnsi="Times New Roman" w:cs="Times New Roman"/>
          <w:sz w:val="24"/>
          <w:szCs w:val="24"/>
        </w:rPr>
        <w:t>)</w:t>
      </w:r>
    </w:p>
    <w:p w14:paraId="2A8F304E" w14:textId="669ABCBC" w:rsidR="00116385" w:rsidRDefault="00F553E7" w:rsidP="00C1210B">
      <w:p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where </w:t>
      </w:r>
      <w:r w:rsidR="00924BE1" w:rsidRPr="00924BE1">
        <w:rPr>
          <w:rFonts w:ascii="Cambria Math" w:hAnsi="Cambria Math" w:cs="Times New Roman"/>
          <w:sz w:val="24"/>
          <w:szCs w:val="24"/>
        </w:rPr>
        <w:t>|</w:t>
      </w:r>
      <w:proofErr w:type="spellStart"/>
      <w:r>
        <w:rPr>
          <w:rFonts w:ascii="Cambria Math" w:hAnsi="Cambria Math" w:cs="Times New Roman"/>
          <w:i/>
          <w:sz w:val="24"/>
          <w:szCs w:val="24"/>
        </w:rPr>
        <w:t>earn</w:t>
      </w:r>
      <w:r w:rsidR="00023386" w:rsidRPr="00023386">
        <w:rPr>
          <w:rFonts w:ascii="Cambria Math" w:hAnsi="Cambria Math" w:cs="Times New Roman"/>
          <w:i/>
          <w:sz w:val="24"/>
          <w:szCs w:val="24"/>
          <w:vertAlign w:val="subscript"/>
        </w:rPr>
        <w:t>it</w:t>
      </w:r>
      <w:proofErr w:type="spellEnd"/>
      <w:r w:rsidR="005340EB">
        <w:rPr>
          <w:rFonts w:ascii="Cambria Math" w:hAnsi="Cambria Math" w:cs="Times New Roman"/>
          <w:i/>
          <w:sz w:val="24"/>
          <w:szCs w:val="24"/>
          <w:vertAlign w:val="superscript"/>
        </w:rPr>
        <w:t xml:space="preserve"> </w:t>
      </w:r>
      <w:r w:rsidR="00924BE1" w:rsidRPr="00924BE1">
        <w:rPr>
          <w:rFonts w:ascii="Cambria Math" w:hAnsi="Cambria Math" w:cs="Times New Roman"/>
          <w:sz w:val="24"/>
          <w:szCs w:val="24"/>
        </w:rPr>
        <w:t>|</w:t>
      </w:r>
      <w:r w:rsidR="005340EB">
        <w:rPr>
          <w:rFonts w:ascii="Cambria Math" w:hAnsi="Cambria Math" w:cs="Times New Roman"/>
          <w:i/>
          <w:sz w:val="24"/>
          <w:szCs w:val="24"/>
          <w:vertAlign w:val="superscript"/>
        </w:rPr>
        <w:t xml:space="preserve"> </w:t>
      </w:r>
      <w:r>
        <w:rPr>
          <w:rFonts w:ascii="Times New Roman" w:hAnsi="Times New Roman" w:cs="Times New Roman"/>
          <w:sz w:val="24"/>
          <w:szCs w:val="24"/>
        </w:rPr>
        <w:t>is</w:t>
      </w:r>
      <w:r w:rsidR="00023386">
        <w:rPr>
          <w:rFonts w:ascii="Times New Roman" w:hAnsi="Times New Roman" w:cs="Times New Roman"/>
          <w:sz w:val="24"/>
          <w:szCs w:val="24"/>
        </w:rPr>
        <w:t xml:space="preserve"> the log of absolute adjusted earnings, </w:t>
      </w:r>
      <w:proofErr w:type="spellStart"/>
      <w:r w:rsidR="00023386">
        <w:rPr>
          <w:rFonts w:ascii="Cambria Math" w:hAnsi="Cambria Math" w:cs="Times New Roman"/>
          <w:i/>
          <w:sz w:val="24"/>
          <w:szCs w:val="24"/>
        </w:rPr>
        <w:t>rd</w:t>
      </w:r>
      <w:r w:rsidR="00023386" w:rsidRPr="00051700">
        <w:rPr>
          <w:rFonts w:ascii="Cambria Math" w:hAnsi="Cambria Math" w:cs="Times New Roman"/>
          <w:i/>
          <w:sz w:val="24"/>
          <w:szCs w:val="24"/>
          <w:vertAlign w:val="subscript"/>
        </w:rPr>
        <w:t>it</w:t>
      </w:r>
      <w:proofErr w:type="spellEnd"/>
      <w:r w:rsidR="00023386">
        <w:rPr>
          <w:rFonts w:ascii="Cambria Math" w:hAnsi="Cambria Math" w:cs="Times New Roman"/>
          <w:sz w:val="24"/>
          <w:szCs w:val="24"/>
          <w:vertAlign w:val="subscript"/>
        </w:rPr>
        <w:t xml:space="preserve"> </w:t>
      </w:r>
      <w:r w:rsidR="00023386" w:rsidRPr="00023386">
        <w:rPr>
          <w:rFonts w:ascii="Times New Roman" w:hAnsi="Times New Roman" w:cs="Times New Roman"/>
          <w:sz w:val="24"/>
          <w:szCs w:val="24"/>
        </w:rPr>
        <w:t xml:space="preserve"> is the log of capitalized R&amp;D</w:t>
      </w:r>
      <w:r w:rsidR="00D3340C">
        <w:rPr>
          <w:rFonts w:ascii="Times New Roman" w:hAnsi="Times New Roman" w:cs="Times New Roman"/>
          <w:sz w:val="24"/>
          <w:szCs w:val="24"/>
        </w:rPr>
        <w:t xml:space="preserve"> (equal to zero for firms with no R&amp;D capital)</w:t>
      </w:r>
      <w:r w:rsidR="00023386">
        <w:rPr>
          <w:rFonts w:ascii="Times New Roman" w:hAnsi="Times New Roman" w:cs="Times New Roman"/>
          <w:sz w:val="24"/>
          <w:szCs w:val="24"/>
        </w:rPr>
        <w:t>, and all other variables are as defined above.</w:t>
      </w:r>
      <w:r w:rsidR="00864632">
        <w:rPr>
          <w:rStyle w:val="FootnoteReference"/>
          <w:rFonts w:ascii="Times New Roman" w:hAnsi="Times New Roman" w:cs="Times New Roman"/>
          <w:sz w:val="24"/>
          <w:szCs w:val="24"/>
        </w:rPr>
        <w:footnoteReference w:id="12"/>
      </w:r>
      <w:r w:rsidR="00023386">
        <w:rPr>
          <w:rFonts w:ascii="Times New Roman" w:hAnsi="Times New Roman" w:cs="Times New Roman"/>
          <w:sz w:val="24"/>
          <w:szCs w:val="24"/>
        </w:rPr>
        <w:t xml:space="preserve"> </w:t>
      </w:r>
      <w:r w:rsidR="00AB32A7">
        <w:rPr>
          <w:rFonts w:ascii="Times New Roman" w:hAnsi="Times New Roman" w:cs="Times New Roman"/>
          <w:sz w:val="24"/>
          <w:szCs w:val="24"/>
        </w:rPr>
        <w:t>We make a number of additional refin</w:t>
      </w:r>
      <w:r w:rsidR="00C2717F">
        <w:rPr>
          <w:rFonts w:ascii="Times New Roman" w:hAnsi="Times New Roman" w:cs="Times New Roman"/>
          <w:sz w:val="24"/>
          <w:szCs w:val="24"/>
        </w:rPr>
        <w:t xml:space="preserve">ements to our measurement of </w:t>
      </w:r>
      <w:r w:rsidR="00023386">
        <w:rPr>
          <w:rFonts w:ascii="Times New Roman" w:hAnsi="Times New Roman" w:cs="Times New Roman"/>
          <w:sz w:val="24"/>
          <w:szCs w:val="24"/>
        </w:rPr>
        <w:t>the</w:t>
      </w:r>
      <w:r w:rsidR="00AB32A7">
        <w:rPr>
          <w:rFonts w:ascii="Times New Roman" w:hAnsi="Times New Roman" w:cs="Times New Roman"/>
          <w:sz w:val="24"/>
          <w:szCs w:val="24"/>
        </w:rPr>
        <w:t xml:space="preserve"> valuation model inputs</w:t>
      </w:r>
      <w:r w:rsidR="00023386">
        <w:rPr>
          <w:rFonts w:ascii="Times New Roman" w:hAnsi="Times New Roman" w:cs="Times New Roman"/>
          <w:sz w:val="24"/>
          <w:szCs w:val="24"/>
        </w:rPr>
        <w:t xml:space="preserve"> relative to RRV and GK</w:t>
      </w:r>
      <w:r w:rsidR="00AB32A7">
        <w:rPr>
          <w:rFonts w:ascii="Times New Roman" w:hAnsi="Times New Roman" w:cs="Times New Roman"/>
          <w:sz w:val="24"/>
          <w:szCs w:val="24"/>
        </w:rPr>
        <w:t xml:space="preserve">, discussed </w:t>
      </w:r>
      <w:r w:rsidR="0071393F">
        <w:rPr>
          <w:rFonts w:ascii="Times New Roman" w:hAnsi="Times New Roman" w:cs="Times New Roman"/>
          <w:sz w:val="24"/>
          <w:szCs w:val="24"/>
        </w:rPr>
        <w:t>further</w:t>
      </w:r>
      <w:r w:rsidR="00AB32A7">
        <w:rPr>
          <w:rFonts w:ascii="Times New Roman" w:hAnsi="Times New Roman" w:cs="Times New Roman"/>
          <w:sz w:val="24"/>
          <w:szCs w:val="24"/>
        </w:rPr>
        <w:t xml:space="preserve"> below.</w:t>
      </w:r>
      <w:r w:rsidR="00C962E3">
        <w:rPr>
          <w:rFonts w:ascii="Times New Roman" w:hAnsi="Times New Roman" w:cs="Times New Roman"/>
          <w:sz w:val="24"/>
          <w:szCs w:val="24"/>
        </w:rPr>
        <w:t xml:space="preserve"> </w:t>
      </w:r>
      <w:r w:rsidR="009912C8">
        <w:rPr>
          <w:rFonts w:ascii="Times New Roman" w:hAnsi="Times New Roman" w:cs="Times New Roman"/>
          <w:sz w:val="24"/>
          <w:szCs w:val="24"/>
        </w:rPr>
        <w:t>Detailed</w:t>
      </w:r>
      <w:r w:rsidR="00C962E3">
        <w:rPr>
          <w:rFonts w:ascii="Times New Roman" w:hAnsi="Times New Roman" w:cs="Times New Roman"/>
          <w:sz w:val="24"/>
          <w:szCs w:val="24"/>
        </w:rPr>
        <w:t xml:space="preserve"> variable definitions are in the</w:t>
      </w:r>
      <w:r w:rsidR="0030742B">
        <w:rPr>
          <w:rFonts w:ascii="Times New Roman" w:hAnsi="Times New Roman" w:cs="Times New Roman"/>
          <w:sz w:val="24"/>
          <w:szCs w:val="24"/>
        </w:rPr>
        <w:t xml:space="preserve"> </w:t>
      </w:r>
      <w:r w:rsidR="00C962E3">
        <w:rPr>
          <w:rFonts w:ascii="Times New Roman" w:hAnsi="Times New Roman" w:cs="Times New Roman"/>
          <w:sz w:val="24"/>
          <w:szCs w:val="24"/>
        </w:rPr>
        <w:t xml:space="preserve">Appendix. </w:t>
      </w:r>
    </w:p>
    <w:p w14:paraId="06D2537B" w14:textId="389B7163" w:rsidR="0045584E" w:rsidRPr="00BB09AC" w:rsidRDefault="00696174" w:rsidP="00C1210B">
      <w:pPr>
        <w:spacing w:before="120" w:after="0" w:line="480" w:lineRule="auto"/>
        <w:jc w:val="both"/>
        <w:rPr>
          <w:rFonts w:ascii="Times New Roman" w:hAnsi="Times New Roman" w:cs="Times New Roman"/>
          <w:b/>
          <w:bCs/>
          <w:iCs/>
          <w:sz w:val="24"/>
          <w:szCs w:val="24"/>
        </w:rPr>
      </w:pPr>
      <w:r w:rsidRPr="00BB09AC">
        <w:rPr>
          <w:rFonts w:ascii="Times New Roman" w:hAnsi="Times New Roman" w:cs="Times New Roman"/>
          <w:b/>
          <w:bCs/>
          <w:iCs/>
          <w:sz w:val="24"/>
          <w:szCs w:val="24"/>
        </w:rPr>
        <w:t xml:space="preserve">Quantile </w:t>
      </w:r>
      <w:r w:rsidR="0026178B">
        <w:rPr>
          <w:rFonts w:ascii="Times New Roman" w:hAnsi="Times New Roman" w:cs="Times New Roman"/>
          <w:b/>
          <w:bCs/>
          <w:iCs/>
          <w:sz w:val="24"/>
          <w:szCs w:val="24"/>
        </w:rPr>
        <w:t>R</w:t>
      </w:r>
      <w:r w:rsidRPr="00BB09AC">
        <w:rPr>
          <w:rFonts w:ascii="Times New Roman" w:hAnsi="Times New Roman" w:cs="Times New Roman"/>
          <w:b/>
          <w:bCs/>
          <w:iCs/>
          <w:sz w:val="24"/>
          <w:szCs w:val="24"/>
        </w:rPr>
        <w:t>egressions</w:t>
      </w:r>
    </w:p>
    <w:p w14:paraId="0607FEAA" w14:textId="6F339DCF" w:rsidR="008B3E99" w:rsidRDefault="00AC02E1" w:rsidP="008B3E9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Our </w:t>
      </w:r>
      <w:r w:rsidR="00D85042">
        <w:rPr>
          <w:rFonts w:ascii="Times New Roman" w:hAnsi="Times New Roman" w:cs="Times New Roman"/>
          <w:sz w:val="24"/>
          <w:szCs w:val="24"/>
        </w:rPr>
        <w:t>innovation is to treat</w:t>
      </w:r>
      <w:r w:rsidR="00D85042">
        <w:rPr>
          <w:rFonts w:ascii="Times New Roman" w:hAnsi="Times New Roman" w:cs="Times New Roman"/>
          <w:sz w:val="24"/>
          <w:szCs w:val="24"/>
          <w:lang w:val="en-US"/>
        </w:rPr>
        <w:t xml:space="preserve"> </w:t>
      </w:r>
      <w:r w:rsidR="008C6907">
        <w:rPr>
          <w:rFonts w:ascii="Times New Roman" w:hAnsi="Times New Roman" w:cs="Times New Roman"/>
          <w:sz w:val="24"/>
          <w:szCs w:val="24"/>
          <w:lang w:val="en-US"/>
        </w:rPr>
        <w:t xml:space="preserve">within-industry </w:t>
      </w:r>
      <w:r w:rsidR="008D11BD">
        <w:rPr>
          <w:rFonts w:ascii="Times New Roman" w:hAnsi="Times New Roman" w:cs="Times New Roman"/>
          <w:sz w:val="24"/>
          <w:szCs w:val="24"/>
          <w:lang w:val="en-US"/>
        </w:rPr>
        <w:t>va</w:t>
      </w:r>
      <w:r w:rsidR="00D85042">
        <w:rPr>
          <w:rFonts w:ascii="Times New Roman" w:hAnsi="Times New Roman" w:cs="Times New Roman"/>
          <w:sz w:val="24"/>
          <w:szCs w:val="24"/>
          <w:lang w:val="en-US"/>
        </w:rPr>
        <w:t>riability in valuation multiples</w:t>
      </w:r>
      <w:r w:rsidR="00E9728F">
        <w:rPr>
          <w:rFonts w:ascii="Times New Roman" w:hAnsi="Times New Roman" w:cs="Times New Roman"/>
          <w:sz w:val="24"/>
          <w:szCs w:val="24"/>
          <w:lang w:val="en-US"/>
        </w:rPr>
        <w:t xml:space="preserve"> </w:t>
      </w:r>
      <w:r w:rsidR="00323555">
        <w:rPr>
          <w:rFonts w:ascii="Times New Roman" w:hAnsi="Times New Roman" w:cs="Times New Roman"/>
          <w:sz w:val="24"/>
          <w:szCs w:val="24"/>
          <w:lang w:val="en-US"/>
        </w:rPr>
        <w:t>as indicative of</w:t>
      </w:r>
      <w:r w:rsidR="00442D11">
        <w:rPr>
          <w:rFonts w:ascii="Times New Roman" w:hAnsi="Times New Roman" w:cs="Times New Roman"/>
          <w:sz w:val="24"/>
          <w:szCs w:val="24"/>
          <w:lang w:val="en-US"/>
        </w:rPr>
        <w:t xml:space="preserve"> </w:t>
      </w:r>
      <w:r w:rsidR="00442D11" w:rsidRPr="00642950">
        <w:rPr>
          <w:rFonts w:ascii="Times New Roman" w:hAnsi="Times New Roman" w:cs="Times New Roman"/>
          <w:i/>
          <w:iCs/>
          <w:sz w:val="24"/>
          <w:szCs w:val="24"/>
          <w:lang w:val="en-US"/>
        </w:rPr>
        <w:t>potential</w:t>
      </w:r>
      <w:r w:rsidR="00442D11">
        <w:rPr>
          <w:rFonts w:ascii="Times New Roman" w:hAnsi="Times New Roman" w:cs="Times New Roman"/>
          <w:sz w:val="24"/>
          <w:szCs w:val="24"/>
          <w:lang w:val="en-US"/>
        </w:rPr>
        <w:t xml:space="preserve"> varia</w:t>
      </w:r>
      <w:r w:rsidR="004B67E7">
        <w:rPr>
          <w:rFonts w:ascii="Times New Roman" w:hAnsi="Times New Roman" w:cs="Times New Roman"/>
          <w:sz w:val="24"/>
          <w:szCs w:val="24"/>
          <w:lang w:val="en-US"/>
        </w:rPr>
        <w:t>bility</w:t>
      </w:r>
      <w:r w:rsidR="00442D11">
        <w:rPr>
          <w:rFonts w:ascii="Times New Roman" w:hAnsi="Times New Roman" w:cs="Times New Roman"/>
          <w:sz w:val="24"/>
          <w:szCs w:val="24"/>
          <w:lang w:val="en-US"/>
        </w:rPr>
        <w:t xml:space="preserve"> </w:t>
      </w:r>
      <w:r w:rsidR="00101AA1">
        <w:rPr>
          <w:rFonts w:ascii="Times New Roman" w:hAnsi="Times New Roman" w:cs="Times New Roman"/>
          <w:sz w:val="24"/>
          <w:szCs w:val="24"/>
          <w:lang w:val="en-US"/>
        </w:rPr>
        <w:t>in the value of</w:t>
      </w:r>
      <w:r w:rsidR="00442D11">
        <w:rPr>
          <w:rFonts w:ascii="Times New Roman" w:hAnsi="Times New Roman" w:cs="Times New Roman"/>
          <w:sz w:val="24"/>
          <w:szCs w:val="24"/>
          <w:lang w:val="en-US"/>
        </w:rPr>
        <w:t xml:space="preserve"> a given firm in that industry</w:t>
      </w:r>
      <w:r w:rsidR="004B0DEF">
        <w:rPr>
          <w:rFonts w:ascii="Times New Roman" w:hAnsi="Times New Roman" w:cs="Times New Roman"/>
          <w:sz w:val="24"/>
          <w:szCs w:val="24"/>
          <w:lang w:val="en-US"/>
        </w:rPr>
        <w:t>.</w:t>
      </w:r>
      <w:r w:rsidR="008D11BD">
        <w:rPr>
          <w:rFonts w:ascii="Times New Roman" w:hAnsi="Times New Roman" w:cs="Times New Roman"/>
          <w:sz w:val="24"/>
          <w:szCs w:val="24"/>
          <w:lang w:val="en-US"/>
        </w:rPr>
        <w:t xml:space="preserve"> </w:t>
      </w:r>
      <w:r w:rsidR="00F149CA">
        <w:rPr>
          <w:rFonts w:ascii="Times New Roman" w:hAnsi="Times New Roman" w:cs="Times New Roman"/>
          <w:sz w:val="24"/>
          <w:szCs w:val="24"/>
          <w:lang w:val="en-US"/>
        </w:rPr>
        <w:t>That is, w</w:t>
      </w:r>
      <w:r w:rsidR="008D11BD">
        <w:rPr>
          <w:rFonts w:ascii="Times New Roman" w:hAnsi="Times New Roman" w:cs="Times New Roman"/>
          <w:sz w:val="24"/>
          <w:szCs w:val="24"/>
        </w:rPr>
        <w:t xml:space="preserve">e </w:t>
      </w:r>
      <w:r w:rsidR="00E9728F">
        <w:rPr>
          <w:rFonts w:ascii="Times New Roman" w:hAnsi="Times New Roman" w:cs="Times New Roman"/>
          <w:sz w:val="24"/>
          <w:szCs w:val="24"/>
        </w:rPr>
        <w:t>view</w:t>
      </w:r>
      <w:r w:rsidR="008D11BD">
        <w:rPr>
          <w:rFonts w:ascii="Times New Roman" w:hAnsi="Times New Roman" w:cs="Times New Roman"/>
          <w:sz w:val="24"/>
          <w:szCs w:val="24"/>
        </w:rPr>
        <w:t xml:space="preserve"> high and low-valued industry peers as proxies for the success (H) and disappointment (L) states</w:t>
      </w:r>
      <w:r w:rsidR="00D85042">
        <w:rPr>
          <w:rFonts w:ascii="Times New Roman" w:hAnsi="Times New Roman" w:cs="Times New Roman"/>
          <w:sz w:val="24"/>
          <w:szCs w:val="24"/>
        </w:rPr>
        <w:t xml:space="preserve">, and their valuation multiples as </w:t>
      </w:r>
      <w:r w:rsidR="00E9728F">
        <w:rPr>
          <w:rFonts w:ascii="Times New Roman" w:hAnsi="Times New Roman" w:cs="Times New Roman"/>
          <w:sz w:val="24"/>
          <w:szCs w:val="24"/>
        </w:rPr>
        <w:t>reflecting E(</w:t>
      </w:r>
      <w:proofErr w:type="spellStart"/>
      <w:r w:rsidR="00E9728F">
        <w:rPr>
          <w:rFonts w:ascii="Times New Roman" w:hAnsi="Times New Roman" w:cs="Times New Roman"/>
          <w:sz w:val="24"/>
          <w:szCs w:val="24"/>
        </w:rPr>
        <w:t>x</w:t>
      </w:r>
      <w:r w:rsidR="00E9728F" w:rsidRPr="009A7BDC">
        <w:rPr>
          <w:rFonts w:ascii="Times New Roman" w:hAnsi="Times New Roman" w:cs="Times New Roman"/>
          <w:sz w:val="24"/>
          <w:szCs w:val="24"/>
          <w:vertAlign w:val="superscript"/>
        </w:rPr>
        <w:t>H</w:t>
      </w:r>
      <w:proofErr w:type="spellEnd"/>
      <w:r w:rsidR="00E9728F">
        <w:rPr>
          <w:rFonts w:ascii="Times New Roman" w:hAnsi="Times New Roman" w:cs="Times New Roman"/>
          <w:sz w:val="24"/>
          <w:szCs w:val="24"/>
        </w:rPr>
        <w:t xml:space="preserve">) and </w:t>
      </w:r>
      <w:proofErr w:type="spellStart"/>
      <w:r w:rsidR="00E9728F">
        <w:rPr>
          <w:rFonts w:ascii="Times New Roman" w:hAnsi="Times New Roman" w:cs="Times New Roman"/>
          <w:sz w:val="24"/>
          <w:szCs w:val="24"/>
        </w:rPr>
        <w:t>cov</w:t>
      </w:r>
      <w:proofErr w:type="spellEnd"/>
      <w:r w:rsidR="00E9728F">
        <w:rPr>
          <w:rFonts w:ascii="Times New Roman" w:hAnsi="Times New Roman" w:cs="Times New Roman"/>
          <w:sz w:val="24"/>
          <w:szCs w:val="24"/>
        </w:rPr>
        <w:t>(m,</w:t>
      </w:r>
      <w:r w:rsidR="006B614B">
        <w:rPr>
          <w:rFonts w:ascii="Times New Roman" w:hAnsi="Times New Roman" w:cs="Times New Roman"/>
          <w:sz w:val="24"/>
          <w:szCs w:val="24"/>
        </w:rPr>
        <w:t xml:space="preserve"> </w:t>
      </w:r>
      <w:proofErr w:type="spellStart"/>
      <w:r w:rsidR="00E9728F">
        <w:rPr>
          <w:rFonts w:ascii="Times New Roman" w:hAnsi="Times New Roman" w:cs="Times New Roman"/>
          <w:sz w:val="24"/>
          <w:szCs w:val="24"/>
        </w:rPr>
        <w:t>x</w:t>
      </w:r>
      <w:r w:rsidR="00E9728F" w:rsidRPr="009A7BDC">
        <w:rPr>
          <w:rFonts w:ascii="Times New Roman" w:hAnsi="Times New Roman" w:cs="Times New Roman"/>
          <w:sz w:val="24"/>
          <w:szCs w:val="24"/>
          <w:vertAlign w:val="superscript"/>
        </w:rPr>
        <w:t>H</w:t>
      </w:r>
      <w:proofErr w:type="spellEnd"/>
      <w:r w:rsidR="00E9728F">
        <w:rPr>
          <w:rFonts w:ascii="Times New Roman" w:hAnsi="Times New Roman" w:cs="Times New Roman"/>
          <w:sz w:val="24"/>
          <w:szCs w:val="24"/>
        </w:rPr>
        <w:t>)</w:t>
      </w:r>
      <w:r w:rsidR="00C4486C">
        <w:rPr>
          <w:rFonts w:ascii="Times New Roman" w:hAnsi="Times New Roman" w:cs="Times New Roman"/>
          <w:sz w:val="24"/>
          <w:szCs w:val="24"/>
        </w:rPr>
        <w:t>,</w:t>
      </w:r>
      <w:r w:rsidR="00E9728F">
        <w:rPr>
          <w:rFonts w:ascii="Times New Roman" w:hAnsi="Times New Roman" w:cs="Times New Roman"/>
          <w:sz w:val="24"/>
          <w:szCs w:val="24"/>
        </w:rPr>
        <w:t xml:space="preserve"> and E(</w:t>
      </w:r>
      <w:proofErr w:type="spellStart"/>
      <w:r w:rsidR="00E9728F">
        <w:rPr>
          <w:rFonts w:ascii="Times New Roman" w:hAnsi="Times New Roman" w:cs="Times New Roman"/>
          <w:sz w:val="24"/>
          <w:szCs w:val="24"/>
        </w:rPr>
        <w:t>x</w:t>
      </w:r>
      <w:r w:rsidR="00E9728F" w:rsidRPr="009A7BDC">
        <w:rPr>
          <w:rFonts w:ascii="Times New Roman" w:hAnsi="Times New Roman" w:cs="Times New Roman"/>
          <w:sz w:val="24"/>
          <w:szCs w:val="24"/>
          <w:vertAlign w:val="superscript"/>
        </w:rPr>
        <w:t>L</w:t>
      </w:r>
      <w:proofErr w:type="spellEnd"/>
      <w:r w:rsidR="00E9728F">
        <w:rPr>
          <w:rFonts w:ascii="Times New Roman" w:hAnsi="Times New Roman" w:cs="Times New Roman"/>
          <w:sz w:val="24"/>
          <w:szCs w:val="24"/>
        </w:rPr>
        <w:t xml:space="preserve">) and </w:t>
      </w:r>
      <w:proofErr w:type="spellStart"/>
      <w:r w:rsidR="00E9728F">
        <w:rPr>
          <w:rFonts w:ascii="Times New Roman" w:hAnsi="Times New Roman" w:cs="Times New Roman"/>
          <w:sz w:val="24"/>
          <w:szCs w:val="24"/>
        </w:rPr>
        <w:t>cov</w:t>
      </w:r>
      <w:proofErr w:type="spellEnd"/>
      <w:r w:rsidR="00E9728F">
        <w:rPr>
          <w:rFonts w:ascii="Times New Roman" w:hAnsi="Times New Roman" w:cs="Times New Roman"/>
          <w:sz w:val="24"/>
          <w:szCs w:val="24"/>
        </w:rPr>
        <w:t>(m,</w:t>
      </w:r>
      <w:r w:rsidR="006B614B">
        <w:rPr>
          <w:rFonts w:ascii="Times New Roman" w:hAnsi="Times New Roman" w:cs="Times New Roman"/>
          <w:sz w:val="24"/>
          <w:szCs w:val="24"/>
        </w:rPr>
        <w:t xml:space="preserve"> </w:t>
      </w:r>
      <w:proofErr w:type="spellStart"/>
      <w:r w:rsidR="00E9728F">
        <w:rPr>
          <w:rFonts w:ascii="Times New Roman" w:hAnsi="Times New Roman" w:cs="Times New Roman"/>
          <w:sz w:val="24"/>
          <w:szCs w:val="24"/>
        </w:rPr>
        <w:t>x</w:t>
      </w:r>
      <w:r w:rsidR="00E9728F" w:rsidRPr="009A7BDC">
        <w:rPr>
          <w:rFonts w:ascii="Times New Roman" w:hAnsi="Times New Roman" w:cs="Times New Roman"/>
          <w:sz w:val="24"/>
          <w:szCs w:val="24"/>
          <w:vertAlign w:val="superscript"/>
        </w:rPr>
        <w:t>L</w:t>
      </w:r>
      <w:proofErr w:type="spellEnd"/>
      <w:r w:rsidR="00E9728F">
        <w:rPr>
          <w:rFonts w:ascii="Times New Roman" w:hAnsi="Times New Roman" w:cs="Times New Roman"/>
          <w:sz w:val="24"/>
          <w:szCs w:val="24"/>
        </w:rPr>
        <w:t>)</w:t>
      </w:r>
      <w:r w:rsidR="00C4486C">
        <w:rPr>
          <w:rFonts w:ascii="Times New Roman" w:hAnsi="Times New Roman" w:cs="Times New Roman"/>
          <w:sz w:val="24"/>
          <w:szCs w:val="24"/>
        </w:rPr>
        <w:t>, respectively</w:t>
      </w:r>
      <w:r w:rsidR="008D11BD">
        <w:rPr>
          <w:rFonts w:ascii="Times New Roman" w:hAnsi="Times New Roman" w:cs="Times New Roman"/>
          <w:sz w:val="24"/>
          <w:szCs w:val="24"/>
        </w:rPr>
        <w:t xml:space="preserve">. </w:t>
      </w:r>
      <w:r w:rsidR="00442D11">
        <w:rPr>
          <w:rFonts w:ascii="Times New Roman" w:hAnsi="Times New Roman" w:cs="Times New Roman"/>
          <w:sz w:val="24"/>
          <w:szCs w:val="24"/>
          <w:lang w:val="en-US"/>
        </w:rPr>
        <w:t xml:space="preserve">This allows us to </w:t>
      </w:r>
      <w:r w:rsidR="00B46521">
        <w:rPr>
          <w:rFonts w:ascii="Times New Roman" w:hAnsi="Times New Roman" w:cs="Times New Roman"/>
          <w:sz w:val="24"/>
          <w:szCs w:val="24"/>
          <w:lang w:val="en-US"/>
        </w:rPr>
        <w:t xml:space="preserve">recover </w:t>
      </w:r>
      <w:r w:rsidR="00442D11">
        <w:rPr>
          <w:rFonts w:ascii="Times New Roman" w:hAnsi="Times New Roman" w:cs="Times New Roman"/>
          <w:sz w:val="24"/>
          <w:szCs w:val="24"/>
          <w:lang w:val="en-US"/>
        </w:rPr>
        <w:t xml:space="preserve">the </w:t>
      </w:r>
      <w:r w:rsidR="00442D11" w:rsidRPr="004B67E7">
        <w:rPr>
          <w:rFonts w:ascii="Times New Roman" w:hAnsi="Times New Roman" w:cs="Times New Roman"/>
          <w:i/>
          <w:iCs/>
          <w:sz w:val="24"/>
          <w:szCs w:val="24"/>
          <w:lang w:val="en-US"/>
        </w:rPr>
        <w:t>unobservable</w:t>
      </w:r>
      <w:r w:rsidR="00442D11">
        <w:rPr>
          <w:rFonts w:ascii="Times New Roman" w:hAnsi="Times New Roman" w:cs="Times New Roman"/>
          <w:sz w:val="24"/>
          <w:szCs w:val="24"/>
          <w:lang w:val="en-US"/>
        </w:rPr>
        <w:t xml:space="preserve"> distribution</w:t>
      </w:r>
      <w:r w:rsidR="00E9728F">
        <w:rPr>
          <w:rFonts w:ascii="Times New Roman" w:hAnsi="Times New Roman" w:cs="Times New Roman"/>
          <w:sz w:val="24"/>
          <w:szCs w:val="24"/>
          <w:lang w:val="en-US"/>
        </w:rPr>
        <w:t xml:space="preserve"> of possible</w:t>
      </w:r>
      <w:r w:rsidR="00442D11">
        <w:rPr>
          <w:rFonts w:ascii="Times New Roman" w:hAnsi="Times New Roman" w:cs="Times New Roman"/>
          <w:sz w:val="24"/>
          <w:szCs w:val="24"/>
          <w:lang w:val="en-US"/>
        </w:rPr>
        <w:t xml:space="preserve"> </w:t>
      </w:r>
      <w:r w:rsidR="00B46521">
        <w:rPr>
          <w:rFonts w:ascii="Times New Roman" w:hAnsi="Times New Roman" w:cs="Times New Roman"/>
          <w:sz w:val="24"/>
          <w:szCs w:val="24"/>
          <w:lang w:val="en-US"/>
        </w:rPr>
        <w:t>equity</w:t>
      </w:r>
      <w:r w:rsidR="00442D11">
        <w:rPr>
          <w:rFonts w:ascii="Times New Roman" w:hAnsi="Times New Roman" w:cs="Times New Roman"/>
          <w:sz w:val="24"/>
          <w:szCs w:val="24"/>
          <w:lang w:val="en-US"/>
        </w:rPr>
        <w:t xml:space="preserve"> values</w:t>
      </w:r>
      <w:r w:rsidR="00E9728F">
        <w:rPr>
          <w:rFonts w:ascii="Times New Roman" w:hAnsi="Times New Roman" w:cs="Times New Roman"/>
          <w:sz w:val="24"/>
          <w:szCs w:val="24"/>
          <w:lang w:val="en-US"/>
        </w:rPr>
        <w:t xml:space="preserve"> [P</w:t>
      </w:r>
      <w:r w:rsidR="00E9728F" w:rsidRPr="00427210">
        <w:rPr>
          <w:rFonts w:ascii="Times New Roman" w:hAnsi="Times New Roman" w:cs="Times New Roman"/>
          <w:sz w:val="24"/>
          <w:szCs w:val="24"/>
          <w:vertAlign w:val="superscript"/>
          <w:lang w:val="en-US"/>
        </w:rPr>
        <w:t>H</w:t>
      </w:r>
      <w:r w:rsidR="00E9728F">
        <w:rPr>
          <w:rFonts w:ascii="Times New Roman" w:hAnsi="Times New Roman" w:cs="Times New Roman"/>
          <w:sz w:val="24"/>
          <w:szCs w:val="24"/>
          <w:lang w:val="en-US"/>
        </w:rPr>
        <w:t>, P</w:t>
      </w:r>
      <w:r w:rsidR="00E9728F" w:rsidRPr="00427210">
        <w:rPr>
          <w:rFonts w:ascii="Times New Roman" w:hAnsi="Times New Roman" w:cs="Times New Roman"/>
          <w:sz w:val="24"/>
          <w:szCs w:val="24"/>
          <w:vertAlign w:val="superscript"/>
          <w:lang w:val="en-US"/>
        </w:rPr>
        <w:t>L</w:t>
      </w:r>
      <w:r w:rsidR="00E9728F">
        <w:rPr>
          <w:rFonts w:ascii="Times New Roman" w:hAnsi="Times New Roman" w:cs="Times New Roman"/>
          <w:sz w:val="24"/>
          <w:szCs w:val="24"/>
          <w:lang w:val="en-US"/>
        </w:rPr>
        <w:t>]</w:t>
      </w:r>
      <w:r w:rsidR="00442D11">
        <w:rPr>
          <w:rFonts w:ascii="Times New Roman" w:hAnsi="Times New Roman" w:cs="Times New Roman"/>
          <w:sz w:val="24"/>
          <w:szCs w:val="24"/>
          <w:lang w:val="en-US"/>
        </w:rPr>
        <w:t xml:space="preserve"> for a given firm from the </w:t>
      </w:r>
      <w:r w:rsidR="00442D11" w:rsidRPr="004B67E7">
        <w:rPr>
          <w:rFonts w:ascii="Times New Roman" w:hAnsi="Times New Roman" w:cs="Times New Roman"/>
          <w:i/>
          <w:iCs/>
          <w:sz w:val="24"/>
          <w:szCs w:val="24"/>
          <w:lang w:val="en-US"/>
        </w:rPr>
        <w:t>observable</w:t>
      </w:r>
      <w:r w:rsidR="00442D11">
        <w:rPr>
          <w:rFonts w:ascii="Times New Roman" w:hAnsi="Times New Roman" w:cs="Times New Roman"/>
          <w:sz w:val="24"/>
          <w:szCs w:val="24"/>
          <w:lang w:val="en-US"/>
        </w:rPr>
        <w:t xml:space="preserve"> distribution of </w:t>
      </w:r>
      <w:r w:rsidR="00B46521">
        <w:rPr>
          <w:rFonts w:ascii="Times New Roman" w:hAnsi="Times New Roman" w:cs="Times New Roman"/>
          <w:sz w:val="24"/>
          <w:szCs w:val="24"/>
          <w:lang w:val="en-US"/>
        </w:rPr>
        <w:t xml:space="preserve">equity </w:t>
      </w:r>
      <w:r w:rsidR="00442D11">
        <w:rPr>
          <w:rFonts w:ascii="Times New Roman" w:hAnsi="Times New Roman" w:cs="Times New Roman"/>
          <w:sz w:val="24"/>
          <w:szCs w:val="24"/>
          <w:lang w:val="en-US"/>
        </w:rPr>
        <w:t>values across industry peers</w:t>
      </w:r>
      <w:r w:rsidR="00E9728F">
        <w:rPr>
          <w:rFonts w:ascii="Times New Roman" w:hAnsi="Times New Roman" w:cs="Times New Roman"/>
          <w:sz w:val="24"/>
          <w:szCs w:val="24"/>
          <w:lang w:val="en-US"/>
        </w:rPr>
        <w:t>.</w:t>
      </w:r>
      <w:r w:rsidR="00050FE3">
        <w:rPr>
          <w:rStyle w:val="FootnoteReference"/>
          <w:rFonts w:ascii="Times New Roman" w:hAnsi="Times New Roman" w:cs="Times New Roman"/>
          <w:sz w:val="24"/>
          <w:szCs w:val="24"/>
          <w:lang w:val="en-US"/>
        </w:rPr>
        <w:footnoteReference w:id="13"/>
      </w:r>
      <w:r w:rsidR="00E9728F">
        <w:rPr>
          <w:rFonts w:ascii="Times New Roman" w:hAnsi="Times New Roman" w:cs="Times New Roman"/>
          <w:sz w:val="24"/>
          <w:szCs w:val="24"/>
          <w:lang w:val="en-US"/>
        </w:rPr>
        <w:t xml:space="preserve"> </w:t>
      </w:r>
      <w:r w:rsidR="005E0025">
        <w:rPr>
          <w:rFonts w:ascii="Times New Roman" w:hAnsi="Times New Roman" w:cs="Times New Roman"/>
          <w:sz w:val="24"/>
          <w:szCs w:val="24"/>
          <w:lang w:val="en-US"/>
        </w:rPr>
        <w:t xml:space="preserve">To </w:t>
      </w:r>
      <w:r w:rsidR="00397A77">
        <w:rPr>
          <w:rFonts w:ascii="Times New Roman" w:hAnsi="Times New Roman" w:cs="Times New Roman"/>
          <w:sz w:val="24"/>
          <w:szCs w:val="24"/>
          <w:lang w:val="en-US"/>
        </w:rPr>
        <w:t>obtain P</w:t>
      </w:r>
      <w:r w:rsidR="00397A77" w:rsidRPr="00F149CA">
        <w:rPr>
          <w:rFonts w:ascii="Times New Roman" w:hAnsi="Times New Roman" w:cs="Times New Roman"/>
          <w:sz w:val="24"/>
          <w:szCs w:val="24"/>
          <w:vertAlign w:val="superscript"/>
          <w:lang w:val="en-US"/>
        </w:rPr>
        <w:t>H</w:t>
      </w:r>
      <w:r w:rsidR="00397A77">
        <w:rPr>
          <w:rFonts w:ascii="Times New Roman" w:hAnsi="Times New Roman" w:cs="Times New Roman"/>
          <w:sz w:val="24"/>
          <w:szCs w:val="24"/>
          <w:lang w:val="en-US"/>
        </w:rPr>
        <w:t xml:space="preserve"> and P</w:t>
      </w:r>
      <w:r w:rsidR="00397A77" w:rsidRPr="00F149CA">
        <w:rPr>
          <w:rFonts w:ascii="Times New Roman" w:hAnsi="Times New Roman" w:cs="Times New Roman"/>
          <w:sz w:val="24"/>
          <w:szCs w:val="24"/>
          <w:vertAlign w:val="superscript"/>
          <w:lang w:val="en-US"/>
        </w:rPr>
        <w:t>L</w:t>
      </w:r>
      <w:r w:rsidR="005E0025">
        <w:rPr>
          <w:rFonts w:ascii="Times New Roman" w:hAnsi="Times New Roman" w:cs="Times New Roman"/>
          <w:sz w:val="24"/>
          <w:szCs w:val="24"/>
          <w:lang w:val="en-US"/>
        </w:rPr>
        <w:t>, we use</w:t>
      </w:r>
      <w:r w:rsidR="00D37C82">
        <w:rPr>
          <w:rFonts w:ascii="Times New Roman" w:hAnsi="Times New Roman" w:cs="Times New Roman"/>
          <w:sz w:val="24"/>
          <w:szCs w:val="24"/>
          <w:lang w:val="en-US"/>
        </w:rPr>
        <w:t xml:space="preserve"> quantile regression</w:t>
      </w:r>
      <w:r w:rsidR="00050FE3">
        <w:rPr>
          <w:rFonts w:ascii="Times New Roman" w:hAnsi="Times New Roman" w:cs="Times New Roman"/>
          <w:sz w:val="24"/>
          <w:szCs w:val="24"/>
          <w:lang w:val="en-US"/>
        </w:rPr>
        <w:t xml:space="preserve"> estimates of</w:t>
      </w:r>
      <w:r w:rsidR="00B46521">
        <w:rPr>
          <w:rFonts w:ascii="Times New Roman" w:hAnsi="Times New Roman" w:cs="Times New Roman"/>
          <w:sz w:val="24"/>
          <w:szCs w:val="24"/>
          <w:lang w:val="en-US"/>
        </w:rPr>
        <w:t xml:space="preserve"> the valuation model in</w:t>
      </w:r>
      <w:r w:rsidR="00050FE3">
        <w:rPr>
          <w:rFonts w:ascii="Times New Roman" w:hAnsi="Times New Roman" w:cs="Times New Roman"/>
          <w:sz w:val="24"/>
          <w:szCs w:val="24"/>
          <w:lang w:val="en-US"/>
        </w:rPr>
        <w:t xml:space="preserve"> eq. (6)</w:t>
      </w:r>
      <w:r w:rsidR="00442D11">
        <w:rPr>
          <w:rFonts w:ascii="Times New Roman" w:hAnsi="Times New Roman" w:cs="Times New Roman"/>
          <w:sz w:val="24"/>
          <w:szCs w:val="24"/>
          <w:lang w:val="en-US"/>
        </w:rPr>
        <w:t>.</w:t>
      </w:r>
      <w:r w:rsidR="0086710A">
        <w:rPr>
          <w:rFonts w:ascii="Times New Roman" w:hAnsi="Times New Roman" w:cs="Times New Roman"/>
          <w:sz w:val="24"/>
          <w:szCs w:val="24"/>
          <w:lang w:val="en-US"/>
        </w:rPr>
        <w:t xml:space="preserve"> </w:t>
      </w:r>
      <w:r w:rsidR="00E9728F">
        <w:rPr>
          <w:rFonts w:ascii="Times New Roman" w:hAnsi="Times New Roman" w:cs="Times New Roman"/>
          <w:sz w:val="24"/>
          <w:szCs w:val="24"/>
        </w:rPr>
        <w:t xml:space="preserve">Recall that the coefficients in our valuation model represent industry-year valuation multiples. Therefore, coefficients from quantile regressions targeting different parts of the observed distribution of </w:t>
      </w:r>
      <w:r w:rsidR="00E9728F">
        <w:rPr>
          <w:rFonts w:ascii="Times New Roman" w:hAnsi="Times New Roman" w:cs="Times New Roman"/>
          <w:sz w:val="24"/>
          <w:szCs w:val="24"/>
        </w:rPr>
        <w:lastRenderedPageBreak/>
        <w:t>equity values reflect differences in valuation multiples within an industry-year</w:t>
      </w:r>
      <w:r w:rsidR="00B46521">
        <w:rPr>
          <w:rFonts w:ascii="Times New Roman" w:hAnsi="Times New Roman" w:cs="Times New Roman"/>
          <w:sz w:val="24"/>
          <w:szCs w:val="24"/>
        </w:rPr>
        <w:t>, while fitted values from those regressions represent hypothetical valuations implied by those multiples.</w:t>
      </w:r>
      <w:r w:rsidR="00050FE3">
        <w:rPr>
          <w:rStyle w:val="FootnoteReference"/>
          <w:rFonts w:ascii="Times New Roman" w:hAnsi="Times New Roman" w:cs="Times New Roman"/>
          <w:sz w:val="24"/>
          <w:szCs w:val="24"/>
        </w:rPr>
        <w:footnoteReference w:id="14"/>
      </w:r>
      <w:r w:rsidR="008B3E99">
        <w:rPr>
          <w:rFonts w:ascii="Times New Roman" w:hAnsi="Times New Roman" w:cs="Times New Roman"/>
          <w:sz w:val="24"/>
          <w:szCs w:val="24"/>
        </w:rPr>
        <w:t xml:space="preserve"> </w:t>
      </w:r>
    </w:p>
    <w:p w14:paraId="3A8E118F" w14:textId="2A2DE97D" w:rsidR="000B3693" w:rsidRDefault="008B3E99" w:rsidP="008B3E99">
      <w:pPr>
        <w:spacing w:after="0" w:line="480" w:lineRule="auto"/>
        <w:ind w:firstLine="567"/>
        <w:jc w:val="both"/>
        <w:rPr>
          <w:rFonts w:ascii="Times New Roman" w:hAnsi="Times New Roman" w:cs="Times New Roman"/>
          <w:iCs/>
          <w:sz w:val="24"/>
          <w:szCs w:val="24"/>
        </w:rPr>
      </w:pPr>
      <w:r>
        <w:rPr>
          <w:rFonts w:ascii="Times New Roman" w:hAnsi="Times New Roman" w:cs="Times New Roman"/>
          <w:sz w:val="24"/>
          <w:szCs w:val="24"/>
          <w:lang w:val="en-US"/>
        </w:rPr>
        <w:t xml:space="preserve"> </w:t>
      </w:r>
      <w:r w:rsidR="00B46521">
        <w:rPr>
          <w:rFonts w:ascii="Times New Roman" w:hAnsi="Times New Roman" w:cs="Times New Roman"/>
          <w:sz w:val="24"/>
          <w:szCs w:val="24"/>
        </w:rPr>
        <w:t xml:space="preserve">Denote a given conditional quantile prediction as </w:t>
      </w:r>
      <w:r w:rsidR="00B46521" w:rsidRPr="00B02FF5">
        <w:rPr>
          <w:rFonts w:ascii="Times New Roman" w:hAnsi="Times New Roman" w:cs="Times New Roman"/>
          <w:i/>
          <w:sz w:val="24"/>
          <w:szCs w:val="24"/>
        </w:rPr>
        <w:t>q</w:t>
      </w:r>
      <w:r w:rsidR="00B46521" w:rsidRPr="00FD6E79">
        <w:rPr>
          <w:rFonts w:ascii="Times New Roman" w:hAnsi="Times New Roman" w:cs="Times New Roman"/>
          <w:i/>
          <w:sz w:val="24"/>
          <w:szCs w:val="24"/>
          <w:vertAlign w:val="subscript"/>
        </w:rPr>
        <w:t>100</w:t>
      </w:r>
      <w:r w:rsidR="00B46521" w:rsidRPr="00B74FCE">
        <w:rPr>
          <w:rFonts w:ascii="Times New Roman" w:hAnsi="Times New Roman" w:cs="Times New Roman"/>
          <w:i/>
          <w:sz w:val="24"/>
          <w:szCs w:val="24"/>
          <w:vertAlign w:val="subscript"/>
        </w:rPr>
        <w:t>x</w:t>
      </w:r>
      <w:r w:rsidR="00B46521">
        <w:rPr>
          <w:rFonts w:ascii="Times New Roman" w:hAnsi="Times New Roman" w:cs="Times New Roman"/>
          <w:iCs/>
          <w:sz w:val="24"/>
          <w:szCs w:val="24"/>
        </w:rPr>
        <w:t xml:space="preserve">, where </w:t>
      </w:r>
      <w:r w:rsidR="00B46521">
        <w:rPr>
          <w:rFonts w:ascii="Times New Roman" w:hAnsi="Times New Roman" w:cs="Times New Roman"/>
          <w:i/>
          <w:sz w:val="24"/>
          <w:szCs w:val="24"/>
        </w:rPr>
        <w:t>x</w:t>
      </w:r>
      <w:r w:rsidR="00B46521">
        <w:rPr>
          <w:rFonts w:ascii="Times New Roman" w:hAnsi="Times New Roman" w:cs="Times New Roman"/>
          <w:iCs/>
          <w:sz w:val="24"/>
          <w:szCs w:val="24"/>
        </w:rPr>
        <w:t xml:space="preserve"> is the targeted quantile</w:t>
      </w:r>
      <w:r w:rsidR="00B46521">
        <w:rPr>
          <w:rFonts w:ascii="Times New Roman" w:hAnsi="Times New Roman" w:cs="Times New Roman"/>
          <w:sz w:val="24"/>
          <w:szCs w:val="24"/>
        </w:rPr>
        <w:t>.</w:t>
      </w:r>
      <w:r>
        <w:rPr>
          <w:rFonts w:ascii="Times New Roman" w:hAnsi="Times New Roman" w:cs="Times New Roman"/>
          <w:sz w:val="24"/>
          <w:szCs w:val="24"/>
          <w:lang w:val="en-US"/>
        </w:rPr>
        <w:t xml:space="preserve"> </w:t>
      </w:r>
      <w:r w:rsidR="00842654">
        <w:rPr>
          <w:rFonts w:ascii="Times New Roman" w:hAnsi="Times New Roman" w:cs="Times New Roman"/>
          <w:sz w:val="24"/>
          <w:szCs w:val="24"/>
        </w:rPr>
        <w:t>Accordingly</w:t>
      </w:r>
      <w:r w:rsidR="00343FFE">
        <w:rPr>
          <w:rFonts w:ascii="Times New Roman" w:hAnsi="Times New Roman" w:cs="Times New Roman"/>
          <w:sz w:val="24"/>
          <w:szCs w:val="24"/>
        </w:rPr>
        <w:t xml:space="preserve">, </w:t>
      </w:r>
      <w:r w:rsidR="00343FFE" w:rsidRPr="00A62CBE">
        <w:rPr>
          <w:rFonts w:ascii="Times New Roman" w:hAnsi="Times New Roman" w:cs="Times New Roman"/>
          <w:i/>
          <w:sz w:val="24"/>
          <w:szCs w:val="24"/>
        </w:rPr>
        <w:t>q</w:t>
      </w:r>
      <w:r w:rsidR="00343FFE">
        <w:rPr>
          <w:rFonts w:ascii="Times New Roman" w:hAnsi="Times New Roman" w:cs="Times New Roman"/>
          <w:i/>
          <w:sz w:val="24"/>
          <w:szCs w:val="24"/>
          <w:vertAlign w:val="subscript"/>
        </w:rPr>
        <w:t>7</w:t>
      </w:r>
      <w:r w:rsidR="00343FFE" w:rsidRPr="00801ED2">
        <w:rPr>
          <w:rFonts w:ascii="Times New Roman" w:hAnsi="Times New Roman" w:cs="Times New Roman"/>
          <w:i/>
          <w:sz w:val="24"/>
          <w:szCs w:val="24"/>
          <w:vertAlign w:val="subscript"/>
        </w:rPr>
        <w:t>5</w:t>
      </w:r>
      <w:r w:rsidR="00343FFE">
        <w:rPr>
          <w:rFonts w:ascii="Times New Roman" w:hAnsi="Times New Roman" w:cs="Times New Roman"/>
          <w:iCs/>
          <w:sz w:val="24"/>
          <w:szCs w:val="24"/>
        </w:rPr>
        <w:t xml:space="preserve"> – </w:t>
      </w:r>
      <w:r w:rsidR="00343FFE" w:rsidRPr="00A62CBE">
        <w:rPr>
          <w:rFonts w:ascii="Times New Roman" w:hAnsi="Times New Roman" w:cs="Times New Roman"/>
          <w:i/>
          <w:sz w:val="24"/>
          <w:szCs w:val="24"/>
        </w:rPr>
        <w:t>q</w:t>
      </w:r>
      <w:r w:rsidR="00343FFE" w:rsidRPr="00801ED2">
        <w:rPr>
          <w:rFonts w:ascii="Times New Roman" w:hAnsi="Times New Roman" w:cs="Times New Roman"/>
          <w:i/>
          <w:sz w:val="24"/>
          <w:szCs w:val="24"/>
          <w:vertAlign w:val="subscript"/>
        </w:rPr>
        <w:t>25</w:t>
      </w:r>
      <w:r w:rsidR="00343FFE">
        <w:rPr>
          <w:rFonts w:ascii="Times New Roman" w:hAnsi="Times New Roman" w:cs="Times New Roman"/>
          <w:iCs/>
          <w:sz w:val="24"/>
          <w:szCs w:val="24"/>
        </w:rPr>
        <w:t xml:space="preserve"> is </w:t>
      </w:r>
      <w:r w:rsidR="0020716F">
        <w:rPr>
          <w:rFonts w:ascii="Times New Roman" w:hAnsi="Times New Roman" w:cs="Times New Roman"/>
          <w:iCs/>
          <w:sz w:val="24"/>
          <w:szCs w:val="24"/>
        </w:rPr>
        <w:t xml:space="preserve">the </w:t>
      </w:r>
      <w:r w:rsidR="00FB491A">
        <w:rPr>
          <w:rFonts w:ascii="Times New Roman" w:hAnsi="Times New Roman" w:cs="Times New Roman"/>
          <w:iCs/>
          <w:sz w:val="24"/>
          <w:szCs w:val="24"/>
        </w:rPr>
        <w:t>difference between t</w:t>
      </w:r>
      <w:r w:rsidR="00381DEB">
        <w:rPr>
          <w:rFonts w:ascii="Times New Roman" w:hAnsi="Times New Roman" w:cs="Times New Roman"/>
          <w:iCs/>
          <w:sz w:val="24"/>
          <w:szCs w:val="24"/>
        </w:rPr>
        <w:t>he 75</w:t>
      </w:r>
      <w:r w:rsidR="00381DEB" w:rsidRPr="009A7BDC">
        <w:rPr>
          <w:rFonts w:ascii="Times New Roman" w:hAnsi="Times New Roman" w:cs="Times New Roman"/>
          <w:iCs/>
          <w:sz w:val="24"/>
          <w:szCs w:val="24"/>
          <w:vertAlign w:val="superscript"/>
        </w:rPr>
        <w:t>th</w:t>
      </w:r>
      <w:r w:rsidR="00381DEB">
        <w:rPr>
          <w:rFonts w:ascii="Times New Roman" w:hAnsi="Times New Roman" w:cs="Times New Roman"/>
          <w:iCs/>
          <w:sz w:val="24"/>
          <w:szCs w:val="24"/>
        </w:rPr>
        <w:t xml:space="preserve"> and the 25</w:t>
      </w:r>
      <w:r w:rsidR="00381DEB" w:rsidRPr="009A7BDC">
        <w:rPr>
          <w:rFonts w:ascii="Times New Roman" w:hAnsi="Times New Roman" w:cs="Times New Roman"/>
          <w:iCs/>
          <w:sz w:val="24"/>
          <w:szCs w:val="24"/>
          <w:vertAlign w:val="superscript"/>
        </w:rPr>
        <w:t>th</w:t>
      </w:r>
      <w:r w:rsidR="00381DEB">
        <w:rPr>
          <w:rFonts w:ascii="Times New Roman" w:hAnsi="Times New Roman" w:cs="Times New Roman"/>
          <w:iCs/>
          <w:sz w:val="24"/>
          <w:szCs w:val="24"/>
        </w:rPr>
        <w:t xml:space="preserve"> </w:t>
      </w:r>
      <w:r w:rsidR="002243F5">
        <w:rPr>
          <w:rFonts w:ascii="Times New Roman" w:hAnsi="Times New Roman" w:cs="Times New Roman"/>
          <w:iCs/>
          <w:sz w:val="24"/>
          <w:szCs w:val="24"/>
        </w:rPr>
        <w:t>quantile regression predictions for the same firm</w:t>
      </w:r>
      <w:r w:rsidR="0020716F">
        <w:rPr>
          <w:rFonts w:ascii="Times New Roman" w:hAnsi="Times New Roman" w:cs="Times New Roman"/>
          <w:iCs/>
          <w:sz w:val="24"/>
          <w:szCs w:val="24"/>
        </w:rPr>
        <w:t xml:space="preserve">, or simply the fitted value from the </w:t>
      </w:r>
      <w:r w:rsidR="0020716F" w:rsidRPr="00427210">
        <w:rPr>
          <w:rFonts w:ascii="Times New Roman" w:hAnsi="Times New Roman" w:cs="Times New Roman"/>
          <w:i/>
          <w:sz w:val="24"/>
          <w:szCs w:val="24"/>
        </w:rPr>
        <w:t>inter</w:t>
      </w:r>
      <w:r w:rsidR="0020716F">
        <w:rPr>
          <w:rFonts w:ascii="Times New Roman" w:hAnsi="Times New Roman" w:cs="Times New Roman"/>
          <w:iCs/>
          <w:sz w:val="24"/>
          <w:szCs w:val="24"/>
        </w:rPr>
        <w:t>quartile regression of eq. (6)</w:t>
      </w:r>
      <w:r w:rsidR="000B3693">
        <w:rPr>
          <w:rFonts w:ascii="Times New Roman" w:hAnsi="Times New Roman" w:cs="Times New Roman"/>
          <w:iCs/>
          <w:sz w:val="24"/>
          <w:szCs w:val="24"/>
        </w:rPr>
        <w:t>:</w:t>
      </w:r>
    </w:p>
    <w:p w14:paraId="5A25B2A2" w14:textId="691F0A68" w:rsidR="00706CE0" w:rsidRDefault="00706CE0" w:rsidP="00706CE0">
      <w:pPr>
        <w:spacing w:after="0" w:line="480" w:lineRule="auto"/>
        <w:ind w:left="1440" w:firstLine="720"/>
        <w:jc w:val="center"/>
        <w:rPr>
          <w:rFonts w:ascii="Times New Roman" w:hAnsi="Times New Roman" w:cs="Times New Roman"/>
          <w:iCs/>
          <w:sz w:val="24"/>
          <w:szCs w:val="24"/>
        </w:rPr>
      </w:pPr>
      <w:r>
        <w:rPr>
          <w:rFonts w:ascii="Times New Roman" w:hAnsi="Times New Roman" w:cs="Times New Roman"/>
          <w:i/>
          <w:sz w:val="24"/>
          <w:szCs w:val="24"/>
        </w:rPr>
        <w:t xml:space="preserve">                </w:t>
      </w:r>
      <w:r w:rsidRPr="00A62CBE">
        <w:rPr>
          <w:rFonts w:ascii="Times New Roman" w:hAnsi="Times New Roman" w:cs="Times New Roman"/>
          <w:i/>
          <w:sz w:val="24"/>
          <w:szCs w:val="24"/>
        </w:rPr>
        <w:t>q</w:t>
      </w:r>
      <w:r>
        <w:rPr>
          <w:rFonts w:ascii="Times New Roman" w:hAnsi="Times New Roman" w:cs="Times New Roman"/>
          <w:i/>
          <w:sz w:val="24"/>
          <w:szCs w:val="24"/>
          <w:vertAlign w:val="subscript"/>
        </w:rPr>
        <w:t>7</w:t>
      </w:r>
      <w:r w:rsidRPr="00801ED2">
        <w:rPr>
          <w:rFonts w:ascii="Times New Roman" w:hAnsi="Times New Roman" w:cs="Times New Roman"/>
          <w:i/>
          <w:sz w:val="24"/>
          <w:szCs w:val="24"/>
          <w:vertAlign w:val="subscript"/>
        </w:rPr>
        <w:t>5</w:t>
      </w:r>
      <w:r>
        <w:rPr>
          <w:rFonts w:ascii="Times New Roman" w:hAnsi="Times New Roman" w:cs="Times New Roman"/>
          <w:iCs/>
          <w:sz w:val="24"/>
          <w:szCs w:val="24"/>
        </w:rPr>
        <w:t xml:space="preserve"> – </w:t>
      </w:r>
      <w:r w:rsidRPr="00A62CBE">
        <w:rPr>
          <w:rFonts w:ascii="Times New Roman" w:hAnsi="Times New Roman" w:cs="Times New Roman"/>
          <w:i/>
          <w:sz w:val="24"/>
          <w:szCs w:val="24"/>
        </w:rPr>
        <w:t>q</w:t>
      </w:r>
      <w:r w:rsidRPr="00801ED2">
        <w:rPr>
          <w:rFonts w:ascii="Times New Roman" w:hAnsi="Times New Roman" w:cs="Times New Roman"/>
          <w:i/>
          <w:sz w:val="24"/>
          <w:szCs w:val="24"/>
          <w:vertAlign w:val="subscript"/>
        </w:rPr>
        <w:t>25</w:t>
      </w:r>
      <w:r>
        <w:rPr>
          <w:rFonts w:ascii="Times New Roman" w:hAnsi="Times New Roman" w:cs="Times New Roman"/>
          <w:iCs/>
          <w:sz w:val="24"/>
          <w:szCs w:val="24"/>
        </w:rPr>
        <w:t xml:space="preserve"> = </w:t>
      </w:r>
      <w:r w:rsidRPr="004A2F8D">
        <w:rPr>
          <w:rFonts w:ascii="Cambria Math" w:hAnsi="Cambria Math" w:cs="Times New Roman"/>
          <w:b/>
          <w:bCs/>
          <w:i/>
          <w:sz w:val="24"/>
          <w:szCs w:val="24"/>
        </w:rPr>
        <w:t>α</w:t>
      </w:r>
      <w:r w:rsidRPr="004A2F8D">
        <w:rPr>
          <w:rFonts w:ascii="Times New Roman" w:hAnsi="Times New Roman" w:cs="Times New Roman"/>
          <w:b/>
          <w:bCs/>
          <w:i/>
          <w:sz w:val="24"/>
          <w:szCs w:val="24"/>
          <w:vertAlign w:val="subscript"/>
        </w:rPr>
        <w:t xml:space="preserve">75jt </w:t>
      </w:r>
      <w:proofErr w:type="spellStart"/>
      <w:r w:rsidRPr="004A2F8D">
        <w:rPr>
          <w:rFonts w:ascii="Times New Roman" w:hAnsi="Times New Roman" w:cs="Times New Roman"/>
          <w:b/>
          <w:bCs/>
          <w:i/>
          <w:sz w:val="24"/>
          <w:szCs w:val="24"/>
        </w:rPr>
        <w:t>X</w:t>
      </w:r>
      <w:r w:rsidRPr="004A2F8D">
        <w:rPr>
          <w:rFonts w:ascii="Times New Roman" w:hAnsi="Times New Roman" w:cs="Times New Roman"/>
          <w:b/>
          <w:bCs/>
          <w:i/>
          <w:sz w:val="24"/>
          <w:szCs w:val="24"/>
          <w:vertAlign w:val="subscript"/>
        </w:rPr>
        <w:t>it</w:t>
      </w:r>
      <w:proofErr w:type="spellEnd"/>
      <w:r w:rsidRPr="004A2F8D">
        <w:rPr>
          <w:rFonts w:ascii="Times New Roman" w:hAnsi="Times New Roman" w:cs="Times New Roman"/>
          <w:b/>
          <w:bCs/>
          <w:i/>
          <w:sz w:val="24"/>
          <w:szCs w:val="24"/>
          <w:vertAlign w:val="subscript"/>
        </w:rPr>
        <w:t xml:space="preserve"> </w:t>
      </w:r>
      <w:r w:rsidRPr="004A2F8D">
        <w:rPr>
          <w:rFonts w:ascii="Times New Roman" w:hAnsi="Times New Roman" w:cs="Times New Roman"/>
          <w:b/>
          <w:bCs/>
          <w:i/>
          <w:sz w:val="24"/>
          <w:szCs w:val="24"/>
        </w:rPr>
        <w:t xml:space="preserve"> – </w:t>
      </w:r>
      <w:r w:rsidRPr="004A2F8D">
        <w:rPr>
          <w:rFonts w:ascii="Cambria Math" w:hAnsi="Cambria Math" w:cs="Times New Roman"/>
          <w:b/>
          <w:bCs/>
          <w:i/>
          <w:sz w:val="24"/>
          <w:szCs w:val="24"/>
        </w:rPr>
        <w:t>α</w:t>
      </w:r>
      <w:r w:rsidRPr="004A2F8D">
        <w:rPr>
          <w:rFonts w:ascii="Times New Roman" w:hAnsi="Times New Roman" w:cs="Times New Roman"/>
          <w:b/>
          <w:bCs/>
          <w:i/>
          <w:sz w:val="24"/>
          <w:szCs w:val="24"/>
          <w:vertAlign w:val="subscript"/>
        </w:rPr>
        <w:t xml:space="preserve">25jt </w:t>
      </w:r>
      <w:proofErr w:type="spellStart"/>
      <w:r w:rsidRPr="004A2F8D">
        <w:rPr>
          <w:rFonts w:ascii="Times New Roman" w:hAnsi="Times New Roman" w:cs="Times New Roman"/>
          <w:b/>
          <w:bCs/>
          <w:i/>
          <w:sz w:val="24"/>
          <w:szCs w:val="24"/>
        </w:rPr>
        <w:t>X</w:t>
      </w:r>
      <w:r w:rsidRPr="004A2F8D">
        <w:rPr>
          <w:rFonts w:ascii="Times New Roman" w:hAnsi="Times New Roman" w:cs="Times New Roman"/>
          <w:b/>
          <w:bCs/>
          <w:i/>
          <w:sz w:val="24"/>
          <w:szCs w:val="24"/>
          <w:vertAlign w:val="subscript"/>
        </w:rPr>
        <w:t>it</w:t>
      </w:r>
      <w:proofErr w:type="spellEnd"/>
      <w:r w:rsidRPr="00706CE0">
        <w:rPr>
          <w:rFonts w:ascii="Times New Roman" w:hAnsi="Times New Roman" w:cs="Times New Roman"/>
          <w:b/>
          <w:bCs/>
          <w:i/>
          <w:sz w:val="24"/>
          <w:szCs w:val="24"/>
          <w:vertAlign w:val="subscript"/>
        </w:rPr>
        <w:tab/>
      </w:r>
      <w:r>
        <w:rPr>
          <w:rFonts w:ascii="Times New Roman" w:hAnsi="Times New Roman" w:cs="Times New Roman"/>
          <w:b/>
          <w:bCs/>
          <w:iCs/>
          <w:sz w:val="24"/>
          <w:szCs w:val="24"/>
          <w:vertAlign w:val="subscript"/>
        </w:rPr>
        <w:tab/>
        <w:t xml:space="preserve">    </w:t>
      </w:r>
      <w:r>
        <w:rPr>
          <w:rFonts w:ascii="Times New Roman" w:hAnsi="Times New Roman" w:cs="Times New Roman"/>
          <w:b/>
          <w:bCs/>
          <w:iCs/>
          <w:sz w:val="24"/>
          <w:szCs w:val="24"/>
          <w:vertAlign w:val="subscript"/>
        </w:rPr>
        <w:tab/>
      </w:r>
      <w:r>
        <w:rPr>
          <w:rFonts w:ascii="Times New Roman" w:hAnsi="Times New Roman" w:cs="Times New Roman"/>
          <w:b/>
          <w:bCs/>
          <w:iCs/>
          <w:sz w:val="24"/>
          <w:szCs w:val="24"/>
          <w:vertAlign w:val="subscript"/>
        </w:rPr>
        <w:tab/>
        <w:t xml:space="preserve"> </w:t>
      </w:r>
      <w:r>
        <w:rPr>
          <w:rFonts w:ascii="Times New Roman" w:hAnsi="Times New Roman" w:cs="Times New Roman"/>
          <w:iCs/>
          <w:sz w:val="24"/>
          <w:szCs w:val="24"/>
        </w:rPr>
        <w:t xml:space="preserve">       </w:t>
      </w:r>
    </w:p>
    <w:p w14:paraId="7342C585" w14:textId="7C8B4027" w:rsidR="00706CE0" w:rsidRPr="00706CE0" w:rsidRDefault="00706CE0" w:rsidP="00706CE0">
      <w:pPr>
        <w:spacing w:after="0" w:line="480" w:lineRule="auto"/>
        <w:ind w:left="3600" w:firstLine="720"/>
        <w:rPr>
          <w:rFonts w:ascii="Times New Roman" w:hAnsi="Times New Roman" w:cs="Times New Roman"/>
          <w:iCs/>
          <w:sz w:val="24"/>
          <w:szCs w:val="24"/>
        </w:rPr>
      </w:pPr>
      <w:r w:rsidRPr="00706CE0">
        <w:rPr>
          <w:rFonts w:ascii="Times New Roman" w:hAnsi="Times New Roman" w:cs="Times New Roman"/>
          <w:iCs/>
          <w:sz w:val="24"/>
          <w:szCs w:val="24"/>
        </w:rPr>
        <w:t>=</w:t>
      </w:r>
      <w:r w:rsidRPr="00E22012">
        <w:rPr>
          <w:rFonts w:ascii="Times New Roman" w:hAnsi="Times New Roman" w:cs="Times New Roman"/>
          <w:i/>
          <w:sz w:val="24"/>
          <w:szCs w:val="24"/>
        </w:rPr>
        <w:t xml:space="preserve"> (</w:t>
      </w:r>
      <w:r w:rsidRPr="004A2F8D">
        <w:rPr>
          <w:rFonts w:ascii="Cambria Math" w:hAnsi="Cambria Math" w:cs="Times New Roman"/>
          <w:b/>
          <w:bCs/>
          <w:i/>
          <w:sz w:val="24"/>
          <w:szCs w:val="24"/>
        </w:rPr>
        <w:t>α</w:t>
      </w:r>
      <w:r w:rsidRPr="004A2F8D">
        <w:rPr>
          <w:rFonts w:ascii="Times New Roman" w:hAnsi="Times New Roman" w:cs="Times New Roman"/>
          <w:b/>
          <w:bCs/>
          <w:i/>
          <w:sz w:val="24"/>
          <w:szCs w:val="24"/>
          <w:vertAlign w:val="subscript"/>
        </w:rPr>
        <w:t>75jt</w:t>
      </w:r>
      <w:r w:rsidRPr="00E22012">
        <w:rPr>
          <w:rFonts w:ascii="Times New Roman" w:hAnsi="Times New Roman" w:cs="Times New Roman"/>
          <w:i/>
          <w:sz w:val="24"/>
          <w:szCs w:val="24"/>
        </w:rPr>
        <w:t xml:space="preserve"> – </w:t>
      </w:r>
      <w:r w:rsidRPr="004A2F8D">
        <w:rPr>
          <w:rFonts w:ascii="Cambria Math" w:hAnsi="Cambria Math" w:cs="Times New Roman"/>
          <w:b/>
          <w:bCs/>
          <w:i/>
          <w:sz w:val="24"/>
          <w:szCs w:val="24"/>
        </w:rPr>
        <w:t>α</w:t>
      </w:r>
      <w:r w:rsidRPr="004A2F8D">
        <w:rPr>
          <w:rFonts w:ascii="Times New Roman" w:hAnsi="Times New Roman" w:cs="Times New Roman"/>
          <w:b/>
          <w:bCs/>
          <w:i/>
          <w:sz w:val="24"/>
          <w:szCs w:val="24"/>
          <w:vertAlign w:val="subscript"/>
        </w:rPr>
        <w:t>25j</w:t>
      </w:r>
      <w:r w:rsidRPr="00E22012">
        <w:rPr>
          <w:rFonts w:ascii="Times New Roman" w:hAnsi="Times New Roman" w:cs="Times New Roman"/>
          <w:i/>
          <w:sz w:val="24"/>
          <w:szCs w:val="24"/>
          <w:vertAlign w:val="subscript"/>
        </w:rPr>
        <w:t>t</w:t>
      </w:r>
      <w:r w:rsidRPr="00E22012">
        <w:rPr>
          <w:rFonts w:ascii="Times New Roman" w:hAnsi="Times New Roman" w:cs="Times New Roman"/>
          <w:i/>
          <w:sz w:val="24"/>
          <w:szCs w:val="24"/>
        </w:rPr>
        <w:t>)</w:t>
      </w:r>
      <w:r w:rsidRPr="00706CE0">
        <w:rPr>
          <w:rFonts w:ascii="Times New Roman" w:hAnsi="Times New Roman" w:cs="Times New Roman"/>
          <w:i/>
          <w:sz w:val="24"/>
          <w:szCs w:val="24"/>
          <w:vertAlign w:val="subscript"/>
        </w:rPr>
        <w:t xml:space="preserve"> </w:t>
      </w:r>
      <w:proofErr w:type="spellStart"/>
      <w:r w:rsidRPr="004A2F8D">
        <w:rPr>
          <w:rFonts w:ascii="Times New Roman" w:hAnsi="Times New Roman" w:cs="Times New Roman"/>
          <w:b/>
          <w:bCs/>
          <w:i/>
          <w:sz w:val="24"/>
          <w:szCs w:val="24"/>
        </w:rPr>
        <w:t>X</w:t>
      </w:r>
      <w:r w:rsidRPr="004A2F8D">
        <w:rPr>
          <w:rFonts w:ascii="Times New Roman" w:hAnsi="Times New Roman" w:cs="Times New Roman"/>
          <w:b/>
          <w:bCs/>
          <w:i/>
          <w:sz w:val="24"/>
          <w:szCs w:val="24"/>
          <w:vertAlign w:val="subscript"/>
        </w:rPr>
        <w:t>it</w:t>
      </w:r>
      <w:proofErr w:type="spellEnd"/>
      <w:r w:rsidR="006D3105">
        <w:rPr>
          <w:rFonts w:ascii="Times New Roman" w:hAnsi="Times New Roman" w:cs="Times New Roman"/>
          <w:b/>
          <w:bCs/>
          <w:i/>
          <w:sz w:val="24"/>
          <w:szCs w:val="24"/>
          <w:vertAlign w:val="subscript"/>
        </w:rPr>
        <w:t xml:space="preserve"> </w:t>
      </w:r>
      <w:r w:rsidR="006D3105" w:rsidRPr="00386E50">
        <w:rPr>
          <w:rFonts w:ascii="Times New Roman" w:hAnsi="Times New Roman" w:cs="Times New Roman"/>
          <w:iCs/>
          <w:sz w:val="24"/>
          <w:szCs w:val="24"/>
        </w:rPr>
        <w:t>,</w:t>
      </w:r>
      <w:r>
        <w:rPr>
          <w:rFonts w:ascii="Times New Roman" w:hAnsi="Times New Roman" w:cs="Times New Roman"/>
          <w:i/>
          <w:sz w:val="24"/>
          <w:szCs w:val="24"/>
          <w:vertAlign w:val="subscript"/>
        </w:rPr>
        <w:tab/>
      </w:r>
      <w:r>
        <w:rPr>
          <w:rFonts w:ascii="Times New Roman" w:hAnsi="Times New Roman" w:cs="Times New Roman"/>
          <w:i/>
          <w:sz w:val="24"/>
          <w:szCs w:val="24"/>
          <w:vertAlign w:val="subscript"/>
        </w:rPr>
        <w:tab/>
        <w:t xml:space="preserve"> </w:t>
      </w:r>
      <w:r>
        <w:rPr>
          <w:rFonts w:ascii="Times New Roman" w:hAnsi="Times New Roman" w:cs="Times New Roman"/>
          <w:i/>
          <w:sz w:val="24"/>
          <w:szCs w:val="24"/>
          <w:vertAlign w:val="subscript"/>
        </w:rPr>
        <w:tab/>
        <w:t xml:space="preserve">                             </w:t>
      </w:r>
      <w:r w:rsidRPr="00E22012">
        <w:rPr>
          <w:rFonts w:ascii="Times New Roman" w:hAnsi="Times New Roman" w:cs="Times New Roman"/>
          <w:iCs/>
          <w:sz w:val="24"/>
          <w:szCs w:val="24"/>
        </w:rPr>
        <w:t>(</w:t>
      </w:r>
      <w:r w:rsidR="0020716F">
        <w:rPr>
          <w:rFonts w:ascii="Times New Roman" w:hAnsi="Times New Roman" w:cs="Times New Roman"/>
          <w:iCs/>
          <w:sz w:val="24"/>
          <w:szCs w:val="24"/>
        </w:rPr>
        <w:t>7</w:t>
      </w:r>
      <w:r w:rsidRPr="00E22012">
        <w:rPr>
          <w:rFonts w:ascii="Times New Roman" w:hAnsi="Times New Roman" w:cs="Times New Roman"/>
          <w:iCs/>
          <w:sz w:val="24"/>
          <w:szCs w:val="24"/>
        </w:rPr>
        <w:t>)</w:t>
      </w:r>
      <w:r>
        <w:rPr>
          <w:rFonts w:ascii="Times New Roman" w:hAnsi="Times New Roman" w:cs="Times New Roman"/>
          <w:i/>
          <w:sz w:val="24"/>
          <w:szCs w:val="24"/>
          <w:vertAlign w:val="subscript"/>
        </w:rPr>
        <w:tab/>
      </w:r>
    </w:p>
    <w:p w14:paraId="1B71A84A" w14:textId="3511012E" w:rsidR="004A2583" w:rsidRPr="00F1073E" w:rsidRDefault="00F1073E" w:rsidP="00706CE0">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 xml:space="preserve">where </w:t>
      </w:r>
      <w:r w:rsidRPr="004A2F8D">
        <w:rPr>
          <w:rFonts w:ascii="Cambria Math" w:hAnsi="Cambria Math" w:cs="Times New Roman"/>
          <w:b/>
          <w:bCs/>
          <w:i/>
          <w:sz w:val="24"/>
          <w:szCs w:val="24"/>
        </w:rPr>
        <w:t>α</w:t>
      </w:r>
      <w:r w:rsidRPr="004A2F8D">
        <w:rPr>
          <w:rFonts w:ascii="Times New Roman" w:hAnsi="Times New Roman" w:cs="Times New Roman"/>
          <w:b/>
          <w:bCs/>
          <w:i/>
          <w:sz w:val="24"/>
          <w:szCs w:val="24"/>
          <w:vertAlign w:val="subscript"/>
        </w:rPr>
        <w:t>75jt</w:t>
      </w:r>
      <w:r w:rsidRPr="00E22012">
        <w:rPr>
          <w:rFonts w:ascii="Times New Roman" w:hAnsi="Times New Roman" w:cs="Times New Roman"/>
          <w:i/>
          <w:sz w:val="24"/>
          <w:szCs w:val="24"/>
        </w:rPr>
        <w:t xml:space="preserve"> </w:t>
      </w:r>
      <w:r w:rsidRPr="00706CE0">
        <w:rPr>
          <w:rFonts w:ascii="Times New Roman" w:hAnsi="Times New Roman" w:cs="Times New Roman"/>
          <w:iCs/>
          <w:sz w:val="24"/>
          <w:szCs w:val="24"/>
        </w:rPr>
        <w:t>and</w:t>
      </w:r>
      <w:r>
        <w:rPr>
          <w:rFonts w:ascii="Times New Roman" w:hAnsi="Times New Roman" w:cs="Times New Roman"/>
          <w:i/>
          <w:sz w:val="24"/>
          <w:szCs w:val="24"/>
        </w:rPr>
        <w:t xml:space="preserve"> </w:t>
      </w:r>
      <w:r w:rsidRPr="004A2F8D">
        <w:rPr>
          <w:rFonts w:ascii="Cambria Math" w:hAnsi="Cambria Math" w:cs="Times New Roman"/>
          <w:b/>
          <w:bCs/>
          <w:i/>
          <w:sz w:val="24"/>
          <w:szCs w:val="24"/>
        </w:rPr>
        <w:t>α</w:t>
      </w:r>
      <w:r w:rsidRPr="004A2F8D">
        <w:rPr>
          <w:rFonts w:ascii="Times New Roman" w:hAnsi="Times New Roman" w:cs="Times New Roman"/>
          <w:b/>
          <w:bCs/>
          <w:i/>
          <w:sz w:val="24"/>
          <w:szCs w:val="24"/>
          <w:vertAlign w:val="subscript"/>
        </w:rPr>
        <w:t>25jt</w:t>
      </w:r>
      <w:r>
        <w:rPr>
          <w:rFonts w:ascii="Times New Roman" w:hAnsi="Times New Roman" w:cs="Times New Roman"/>
          <w:iCs/>
          <w:sz w:val="24"/>
          <w:szCs w:val="24"/>
        </w:rPr>
        <w:t xml:space="preserve"> are vectors of quantile regression</w:t>
      </w:r>
      <w:r w:rsidR="009B050A">
        <w:rPr>
          <w:rFonts w:ascii="Times New Roman" w:hAnsi="Times New Roman" w:cs="Times New Roman"/>
          <w:iCs/>
          <w:sz w:val="24"/>
          <w:szCs w:val="24"/>
        </w:rPr>
        <w:t xml:space="preserve"> coefficients</w:t>
      </w:r>
      <w:r>
        <w:rPr>
          <w:rFonts w:ascii="Times New Roman" w:hAnsi="Times New Roman" w:cs="Times New Roman"/>
          <w:iCs/>
          <w:sz w:val="24"/>
          <w:szCs w:val="24"/>
        </w:rPr>
        <w:t xml:space="preserve"> estimated at the 75</w:t>
      </w:r>
      <w:r w:rsidRPr="00706CE0">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and the 25</w:t>
      </w:r>
      <w:r w:rsidRPr="00706CE0">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percentiles, respectively, </w:t>
      </w:r>
      <w:r w:rsidR="00554AF2">
        <w:rPr>
          <w:rFonts w:ascii="Times New Roman" w:hAnsi="Times New Roman" w:cs="Times New Roman"/>
          <w:iCs/>
          <w:sz w:val="24"/>
          <w:szCs w:val="24"/>
        </w:rPr>
        <w:t xml:space="preserve">and </w:t>
      </w:r>
      <w:proofErr w:type="spellStart"/>
      <w:r w:rsidR="00554AF2" w:rsidRPr="004A2F8D">
        <w:rPr>
          <w:rFonts w:ascii="Times New Roman" w:hAnsi="Times New Roman" w:cs="Times New Roman"/>
          <w:b/>
          <w:bCs/>
          <w:i/>
          <w:sz w:val="24"/>
          <w:szCs w:val="24"/>
        </w:rPr>
        <w:t>X</w:t>
      </w:r>
      <w:r w:rsidR="00554AF2" w:rsidRPr="004A2F8D">
        <w:rPr>
          <w:rFonts w:ascii="Times New Roman" w:hAnsi="Times New Roman" w:cs="Times New Roman"/>
          <w:b/>
          <w:bCs/>
          <w:i/>
          <w:sz w:val="24"/>
          <w:szCs w:val="24"/>
          <w:vertAlign w:val="subscript"/>
        </w:rPr>
        <w:t>i</w:t>
      </w:r>
      <w:r w:rsidR="004203E8" w:rsidRPr="004A2F8D">
        <w:rPr>
          <w:rFonts w:ascii="Times New Roman" w:hAnsi="Times New Roman" w:cs="Times New Roman"/>
          <w:b/>
          <w:bCs/>
          <w:i/>
          <w:sz w:val="24"/>
          <w:szCs w:val="24"/>
          <w:vertAlign w:val="subscript"/>
        </w:rPr>
        <w:t>t</w:t>
      </w:r>
      <w:proofErr w:type="spellEnd"/>
      <w:r>
        <w:rPr>
          <w:rFonts w:ascii="Times New Roman" w:hAnsi="Times New Roman" w:cs="Times New Roman"/>
          <w:i/>
          <w:sz w:val="24"/>
          <w:szCs w:val="24"/>
        </w:rPr>
        <w:t xml:space="preserve"> </w:t>
      </w:r>
      <w:r w:rsidR="00554AF2">
        <w:rPr>
          <w:rFonts w:ascii="Times New Roman" w:hAnsi="Times New Roman" w:cs="Times New Roman"/>
          <w:iCs/>
          <w:sz w:val="24"/>
          <w:szCs w:val="24"/>
        </w:rPr>
        <w:t>is a vector of our valuation model predictors.</w:t>
      </w:r>
      <w:r w:rsidR="00B81193">
        <w:rPr>
          <w:rFonts w:ascii="Times New Roman" w:hAnsi="Times New Roman" w:cs="Times New Roman"/>
          <w:iCs/>
          <w:sz w:val="24"/>
          <w:szCs w:val="24"/>
        </w:rPr>
        <w:t xml:space="preserve"> </w:t>
      </w:r>
      <w:r w:rsidR="00AE422A">
        <w:rPr>
          <w:rFonts w:ascii="Times New Roman" w:hAnsi="Times New Roman" w:cs="Times New Roman"/>
          <w:iCs/>
          <w:sz w:val="24"/>
          <w:szCs w:val="24"/>
        </w:rPr>
        <w:t>I</w:t>
      </w:r>
      <w:r w:rsidR="00B81193">
        <w:rPr>
          <w:rFonts w:ascii="Times New Roman" w:hAnsi="Times New Roman" w:cs="Times New Roman"/>
          <w:iCs/>
          <w:sz w:val="24"/>
          <w:szCs w:val="24"/>
        </w:rPr>
        <w:t xml:space="preserve">f we </w:t>
      </w:r>
      <w:r w:rsidR="000B0E84">
        <w:rPr>
          <w:rFonts w:ascii="Times New Roman" w:hAnsi="Times New Roman" w:cs="Times New Roman"/>
          <w:iCs/>
          <w:sz w:val="24"/>
          <w:szCs w:val="24"/>
        </w:rPr>
        <w:t xml:space="preserve">treat </w:t>
      </w:r>
      <w:r w:rsidR="00B81193">
        <w:rPr>
          <w:rFonts w:ascii="Times New Roman" w:hAnsi="Times New Roman" w:cs="Times New Roman"/>
          <w:iCs/>
          <w:sz w:val="24"/>
          <w:szCs w:val="24"/>
        </w:rPr>
        <w:t>the 75</w:t>
      </w:r>
      <w:r w:rsidR="00B81193" w:rsidRPr="009A7BDC">
        <w:rPr>
          <w:rFonts w:ascii="Times New Roman" w:hAnsi="Times New Roman" w:cs="Times New Roman"/>
          <w:iCs/>
          <w:sz w:val="24"/>
          <w:szCs w:val="24"/>
          <w:vertAlign w:val="superscript"/>
        </w:rPr>
        <w:t>th</w:t>
      </w:r>
      <w:r w:rsidR="00B81193">
        <w:rPr>
          <w:rFonts w:ascii="Times New Roman" w:hAnsi="Times New Roman" w:cs="Times New Roman"/>
          <w:iCs/>
          <w:sz w:val="24"/>
          <w:szCs w:val="24"/>
        </w:rPr>
        <w:t xml:space="preserve"> and 25</w:t>
      </w:r>
      <w:r w:rsidR="00B81193" w:rsidRPr="009A7BDC">
        <w:rPr>
          <w:rFonts w:ascii="Times New Roman" w:hAnsi="Times New Roman" w:cs="Times New Roman"/>
          <w:iCs/>
          <w:sz w:val="24"/>
          <w:szCs w:val="24"/>
          <w:vertAlign w:val="superscript"/>
        </w:rPr>
        <w:t>th</w:t>
      </w:r>
      <w:r w:rsidR="00B81193">
        <w:rPr>
          <w:rFonts w:ascii="Times New Roman" w:hAnsi="Times New Roman" w:cs="Times New Roman"/>
          <w:iCs/>
          <w:sz w:val="24"/>
          <w:szCs w:val="24"/>
        </w:rPr>
        <w:t xml:space="preserve"> percentiles of industry valuations as proxies for</w:t>
      </w:r>
      <w:r w:rsidR="00AE422A">
        <w:rPr>
          <w:rFonts w:ascii="Times New Roman" w:hAnsi="Times New Roman" w:cs="Times New Roman"/>
          <w:iCs/>
          <w:sz w:val="24"/>
          <w:szCs w:val="24"/>
        </w:rPr>
        <w:t xml:space="preserve"> success and disappointment states</w:t>
      </w:r>
      <w:r w:rsidR="00B81193">
        <w:rPr>
          <w:rFonts w:ascii="Times New Roman" w:hAnsi="Times New Roman" w:cs="Times New Roman"/>
          <w:iCs/>
          <w:sz w:val="24"/>
          <w:szCs w:val="24"/>
        </w:rPr>
        <w:t xml:space="preserve">, eq. (7) </w:t>
      </w:r>
      <w:r w:rsidR="00D13F1D">
        <w:rPr>
          <w:rFonts w:ascii="Times New Roman" w:hAnsi="Times New Roman" w:cs="Times New Roman"/>
          <w:iCs/>
          <w:sz w:val="24"/>
          <w:szCs w:val="24"/>
        </w:rPr>
        <w:t xml:space="preserve">becomes </w:t>
      </w:r>
      <w:r w:rsidR="00AF401A">
        <w:rPr>
          <w:rFonts w:ascii="Times New Roman" w:hAnsi="Times New Roman" w:cs="Times New Roman"/>
          <w:iCs/>
          <w:sz w:val="24"/>
          <w:szCs w:val="24"/>
        </w:rPr>
        <w:t>a direct</w:t>
      </w:r>
      <w:r w:rsidR="00B81193">
        <w:rPr>
          <w:rFonts w:ascii="Times New Roman" w:hAnsi="Times New Roman" w:cs="Times New Roman"/>
          <w:iCs/>
          <w:sz w:val="24"/>
          <w:szCs w:val="24"/>
        </w:rPr>
        <w:t xml:space="preserve"> empirical counterpart to our construct of valuation uncertainty in eq. (2). </w:t>
      </w:r>
      <w:r w:rsidR="00FE1F96">
        <w:rPr>
          <w:rFonts w:ascii="Times New Roman" w:hAnsi="Times New Roman" w:cs="Times New Roman"/>
          <w:iCs/>
          <w:sz w:val="24"/>
          <w:szCs w:val="24"/>
        </w:rPr>
        <w:t>To see this, consider the dividend-discount</w:t>
      </w:r>
      <w:r w:rsidR="00B81193">
        <w:rPr>
          <w:rFonts w:ascii="Times New Roman" w:hAnsi="Times New Roman" w:cs="Times New Roman"/>
          <w:iCs/>
          <w:sz w:val="24"/>
          <w:szCs w:val="24"/>
        </w:rPr>
        <w:t xml:space="preserve"> model</w:t>
      </w:r>
      <w:r w:rsidR="00FE1F96">
        <w:rPr>
          <w:rFonts w:ascii="Times New Roman" w:hAnsi="Times New Roman" w:cs="Times New Roman"/>
          <w:iCs/>
          <w:sz w:val="24"/>
          <w:szCs w:val="24"/>
        </w:rPr>
        <w:t xml:space="preserve"> version of eq. (2)</w:t>
      </w:r>
      <w:r w:rsidR="00B81193">
        <w:rPr>
          <w:rFonts w:ascii="Times New Roman" w:hAnsi="Times New Roman" w:cs="Times New Roman"/>
          <w:iCs/>
          <w:sz w:val="24"/>
          <w:szCs w:val="24"/>
        </w:rPr>
        <w:t>,</w:t>
      </w:r>
      <w:r w:rsidR="00FE1F96">
        <w:rPr>
          <w:rFonts w:ascii="Times New Roman" w:hAnsi="Times New Roman" w:cs="Times New Roman"/>
          <w:iCs/>
          <w:sz w:val="24"/>
          <w:szCs w:val="24"/>
        </w:rPr>
        <w:t xml:space="preserve"> </w:t>
      </w:r>
      <w:r w:rsidR="00B81193">
        <w:rPr>
          <w:rFonts w:ascii="Times New Roman" w:hAnsi="Times New Roman" w:cs="Times New Roman"/>
          <w:iCs/>
          <w:sz w:val="24"/>
          <w:szCs w:val="24"/>
        </w:rPr>
        <w:t>wh</w:t>
      </w:r>
      <w:r w:rsidR="007867A2">
        <w:rPr>
          <w:rFonts w:ascii="Times New Roman" w:hAnsi="Times New Roman" w:cs="Times New Roman"/>
          <w:iCs/>
          <w:sz w:val="24"/>
          <w:szCs w:val="24"/>
        </w:rPr>
        <w:t>ere,</w:t>
      </w:r>
      <w:r w:rsidR="00FE1F96">
        <w:rPr>
          <w:rFonts w:ascii="Times New Roman" w:hAnsi="Times New Roman" w:cs="Times New Roman"/>
          <w:iCs/>
          <w:sz w:val="24"/>
          <w:szCs w:val="24"/>
        </w:rPr>
        <w:t xml:space="preserve"> </w:t>
      </w:r>
      <w:r w:rsidR="00FE1F96">
        <w:rPr>
          <w:rFonts w:ascii="Times New Roman" w:hAnsi="Times New Roman" w:cs="Times New Roman"/>
          <w:sz w:val="24"/>
          <w:szCs w:val="24"/>
          <w:lang w:val="en-US"/>
        </w:rPr>
        <w:t>D is next period dividend</w:t>
      </w:r>
      <w:r w:rsidR="00857359">
        <w:rPr>
          <w:rFonts w:ascii="Times New Roman" w:hAnsi="Times New Roman" w:cs="Times New Roman"/>
          <w:sz w:val="24"/>
          <w:szCs w:val="24"/>
          <w:lang w:val="en-US"/>
        </w:rPr>
        <w:t xml:space="preserve">, </w:t>
      </w:r>
      <w:r w:rsidR="007867A2">
        <w:rPr>
          <w:rFonts w:ascii="Times New Roman" w:hAnsi="Times New Roman" w:cs="Times New Roman"/>
          <w:sz w:val="24"/>
          <w:szCs w:val="24"/>
          <w:lang w:val="en-US"/>
        </w:rPr>
        <w:t>r</w:t>
      </w:r>
      <w:r w:rsidR="00857359">
        <w:rPr>
          <w:rFonts w:ascii="Times New Roman" w:hAnsi="Times New Roman" w:cs="Times New Roman"/>
          <w:sz w:val="24"/>
          <w:szCs w:val="24"/>
          <w:lang w:val="en-US"/>
        </w:rPr>
        <w:t xml:space="preserve"> is the</w:t>
      </w:r>
      <w:r w:rsidR="00857359">
        <w:rPr>
          <w:rFonts w:ascii="Times New Roman" w:hAnsi="Times New Roman" w:cs="Times New Roman"/>
          <w:sz w:val="24"/>
          <w:szCs w:val="24"/>
          <w:vertAlign w:val="superscript"/>
          <w:lang w:val="en-US"/>
        </w:rPr>
        <w:t xml:space="preserve"> </w:t>
      </w:r>
      <w:r w:rsidR="004A72CC">
        <w:rPr>
          <w:rFonts w:ascii="Times New Roman" w:hAnsi="Times New Roman" w:cs="Times New Roman"/>
          <w:sz w:val="24"/>
          <w:szCs w:val="24"/>
          <w:lang w:val="en-US"/>
        </w:rPr>
        <w:t>discount rate</w:t>
      </w:r>
      <w:r w:rsidR="00857359">
        <w:rPr>
          <w:rFonts w:ascii="Times New Roman" w:hAnsi="Times New Roman" w:cs="Times New Roman"/>
          <w:sz w:val="24"/>
          <w:szCs w:val="24"/>
          <w:lang w:val="en-US"/>
        </w:rPr>
        <w:t xml:space="preserve">, g is the </w:t>
      </w:r>
      <w:r w:rsidR="007867A2">
        <w:rPr>
          <w:rFonts w:ascii="Times New Roman" w:hAnsi="Times New Roman" w:cs="Times New Roman"/>
          <w:sz w:val="24"/>
          <w:szCs w:val="24"/>
          <w:lang w:val="en-US"/>
        </w:rPr>
        <w:t>perpetual dividend growth rate</w:t>
      </w:r>
      <w:r w:rsidR="00857359">
        <w:rPr>
          <w:rFonts w:ascii="Times New Roman" w:hAnsi="Times New Roman" w:cs="Times New Roman"/>
          <w:sz w:val="24"/>
          <w:szCs w:val="24"/>
          <w:lang w:val="en-US"/>
        </w:rPr>
        <w:t>, and su</w:t>
      </w:r>
      <w:r w:rsidR="00B81193">
        <w:rPr>
          <w:rFonts w:ascii="Times New Roman" w:hAnsi="Times New Roman" w:cs="Times New Roman"/>
          <w:sz w:val="24"/>
          <w:szCs w:val="24"/>
          <w:lang w:val="en-US"/>
        </w:rPr>
        <w:t>per</w:t>
      </w:r>
      <w:r w:rsidR="00857359">
        <w:rPr>
          <w:rFonts w:ascii="Times New Roman" w:hAnsi="Times New Roman" w:cs="Times New Roman"/>
          <w:sz w:val="24"/>
          <w:szCs w:val="24"/>
          <w:lang w:val="en-US"/>
        </w:rPr>
        <w:t>scripts H and L denote states</w:t>
      </w:r>
      <w:r w:rsidR="004A72CC">
        <w:rPr>
          <w:rFonts w:ascii="Times New Roman" w:hAnsi="Times New Roman" w:cs="Times New Roman"/>
          <w:sz w:val="24"/>
          <w:szCs w:val="24"/>
          <w:lang w:val="en-US"/>
        </w:rPr>
        <w:t>:</w:t>
      </w:r>
    </w:p>
    <w:p w14:paraId="773F3CFA" w14:textId="24F9524D" w:rsidR="00FE1F96" w:rsidRDefault="00FE1F96" w:rsidP="009A7BDC">
      <w:pPr>
        <w:spacing w:after="0" w:line="480" w:lineRule="auto"/>
        <w:jc w:val="right"/>
        <w:rPr>
          <w:rFonts w:ascii="Times New Roman" w:hAnsi="Times New Roman" w:cs="Times New Roman"/>
          <w:sz w:val="24"/>
          <w:szCs w:val="24"/>
          <w:lang w:val="en-US"/>
        </w:rPr>
      </w:pPr>
      <w:r w:rsidRPr="009A7BDC">
        <w:rPr>
          <w:rFonts w:ascii="Times New Roman" w:hAnsi="Times New Roman" w:cs="Times New Roman"/>
          <w:sz w:val="24"/>
          <w:szCs w:val="24"/>
          <w:lang w:val="en-US"/>
        </w:rPr>
        <w:t>VU = P</w:t>
      </w:r>
      <w:r w:rsidRPr="009A7BDC">
        <w:rPr>
          <w:rFonts w:ascii="Times New Roman" w:hAnsi="Times New Roman" w:cs="Times New Roman"/>
          <w:sz w:val="24"/>
          <w:szCs w:val="24"/>
          <w:vertAlign w:val="superscript"/>
          <w:lang w:val="en-US"/>
        </w:rPr>
        <w:t>H</w:t>
      </w:r>
      <w:r w:rsidRPr="009A7BDC">
        <w:rPr>
          <w:rFonts w:ascii="Times New Roman" w:hAnsi="Times New Roman" w:cs="Times New Roman"/>
          <w:sz w:val="24"/>
          <w:szCs w:val="24"/>
          <w:lang w:val="en-US"/>
        </w:rPr>
        <w:t xml:space="preserve"> – P</w:t>
      </w:r>
      <w:r w:rsidRPr="009A7BDC">
        <w:rPr>
          <w:rFonts w:ascii="Times New Roman" w:hAnsi="Times New Roman" w:cs="Times New Roman"/>
          <w:sz w:val="24"/>
          <w:szCs w:val="24"/>
          <w:vertAlign w:val="superscript"/>
          <w:lang w:val="en-US"/>
        </w:rPr>
        <w:t xml:space="preserve">L </w:t>
      </w:r>
      <w:r w:rsidRPr="009A7BDC">
        <w:rPr>
          <w:rFonts w:ascii="Times New Roman" w:hAnsi="Times New Roman" w:cs="Times New Roman"/>
          <w:sz w:val="24"/>
          <w:szCs w:val="24"/>
          <w:lang w:val="en-US"/>
        </w:rPr>
        <w:t>= D/(</w:t>
      </w:r>
      <w:proofErr w:type="spellStart"/>
      <w:r w:rsidRPr="009A7BDC">
        <w:rPr>
          <w:rFonts w:ascii="Times New Roman" w:hAnsi="Times New Roman" w:cs="Times New Roman"/>
          <w:sz w:val="24"/>
          <w:szCs w:val="24"/>
          <w:lang w:val="en-US"/>
        </w:rPr>
        <w:t>r</w:t>
      </w:r>
      <w:r w:rsidRPr="009A7BDC">
        <w:rPr>
          <w:rFonts w:ascii="Times New Roman" w:hAnsi="Times New Roman" w:cs="Times New Roman"/>
          <w:sz w:val="24"/>
          <w:szCs w:val="24"/>
          <w:vertAlign w:val="superscript"/>
          <w:lang w:val="en-US"/>
        </w:rPr>
        <w:t>H</w:t>
      </w:r>
      <w:proofErr w:type="spellEnd"/>
      <w:r w:rsidRPr="009A7BDC">
        <w:rPr>
          <w:rFonts w:ascii="Times New Roman" w:hAnsi="Times New Roman" w:cs="Times New Roman"/>
          <w:sz w:val="24"/>
          <w:szCs w:val="24"/>
          <w:vertAlign w:val="superscript"/>
          <w:lang w:val="en-US"/>
        </w:rPr>
        <w:t xml:space="preserve"> </w:t>
      </w:r>
      <w:r w:rsidRPr="009A7BDC">
        <w:rPr>
          <w:rFonts w:ascii="Times New Roman" w:hAnsi="Times New Roman" w:cs="Times New Roman"/>
          <w:sz w:val="24"/>
          <w:szCs w:val="24"/>
          <w:lang w:val="en-US"/>
        </w:rPr>
        <w:t xml:space="preserve">– </w:t>
      </w:r>
      <w:proofErr w:type="spellStart"/>
      <w:r w:rsidRPr="009A7BDC">
        <w:rPr>
          <w:rFonts w:ascii="Times New Roman" w:hAnsi="Times New Roman" w:cs="Times New Roman"/>
          <w:sz w:val="24"/>
          <w:szCs w:val="24"/>
          <w:lang w:val="en-US"/>
        </w:rPr>
        <w:t>g</w:t>
      </w:r>
      <w:r w:rsidRPr="009A7BDC">
        <w:rPr>
          <w:rFonts w:ascii="Times New Roman" w:hAnsi="Times New Roman" w:cs="Times New Roman"/>
          <w:sz w:val="24"/>
          <w:szCs w:val="24"/>
          <w:vertAlign w:val="superscript"/>
          <w:lang w:val="en-US"/>
        </w:rPr>
        <w:t>H</w:t>
      </w:r>
      <w:proofErr w:type="spellEnd"/>
      <w:r w:rsidRPr="009A7BDC">
        <w:rPr>
          <w:rFonts w:ascii="Times New Roman" w:hAnsi="Times New Roman" w:cs="Times New Roman"/>
          <w:sz w:val="24"/>
          <w:szCs w:val="24"/>
          <w:lang w:val="en-US"/>
        </w:rPr>
        <w:t>) – D/(</w:t>
      </w:r>
      <w:proofErr w:type="spellStart"/>
      <w:r w:rsidRPr="009A7BDC">
        <w:rPr>
          <w:rFonts w:ascii="Times New Roman" w:hAnsi="Times New Roman" w:cs="Times New Roman"/>
          <w:sz w:val="24"/>
          <w:szCs w:val="24"/>
          <w:lang w:val="en-US"/>
        </w:rPr>
        <w:t>r</w:t>
      </w:r>
      <w:r w:rsidRPr="009A7BDC">
        <w:rPr>
          <w:rFonts w:ascii="Times New Roman" w:hAnsi="Times New Roman" w:cs="Times New Roman"/>
          <w:sz w:val="24"/>
          <w:szCs w:val="24"/>
          <w:vertAlign w:val="superscript"/>
          <w:lang w:val="en-US"/>
        </w:rPr>
        <w:t>L</w:t>
      </w:r>
      <w:proofErr w:type="spellEnd"/>
      <w:r w:rsidRPr="009A7BDC">
        <w:rPr>
          <w:rFonts w:ascii="Times New Roman" w:hAnsi="Times New Roman" w:cs="Times New Roman"/>
          <w:sz w:val="24"/>
          <w:szCs w:val="24"/>
          <w:vertAlign w:val="superscript"/>
          <w:lang w:val="en-US"/>
        </w:rPr>
        <w:t xml:space="preserve"> </w:t>
      </w:r>
      <w:r w:rsidRPr="009A7BDC">
        <w:rPr>
          <w:rFonts w:ascii="Times New Roman" w:hAnsi="Times New Roman" w:cs="Times New Roman"/>
          <w:sz w:val="24"/>
          <w:szCs w:val="24"/>
          <w:lang w:val="en-US"/>
        </w:rPr>
        <w:t xml:space="preserve">– </w:t>
      </w:r>
      <w:proofErr w:type="spellStart"/>
      <w:r w:rsidRPr="009A7BDC">
        <w:rPr>
          <w:rFonts w:ascii="Times New Roman" w:hAnsi="Times New Roman" w:cs="Times New Roman"/>
          <w:sz w:val="24"/>
          <w:szCs w:val="24"/>
          <w:lang w:val="en-US"/>
        </w:rPr>
        <w:t>g</w:t>
      </w:r>
      <w:r w:rsidRPr="009A7BDC">
        <w:rPr>
          <w:rFonts w:ascii="Times New Roman" w:hAnsi="Times New Roman" w:cs="Times New Roman"/>
          <w:sz w:val="24"/>
          <w:szCs w:val="24"/>
          <w:vertAlign w:val="superscript"/>
          <w:lang w:val="en-US"/>
        </w:rPr>
        <w:t>L</w:t>
      </w:r>
      <w:proofErr w:type="spellEnd"/>
      <w:r w:rsidRPr="009A7BDC">
        <w:rPr>
          <w:rFonts w:ascii="Times New Roman" w:hAnsi="Times New Roman" w:cs="Times New Roman"/>
          <w:sz w:val="24"/>
          <w:szCs w:val="24"/>
          <w:lang w:val="en-US"/>
        </w:rPr>
        <w:t>)</w:t>
      </w:r>
      <w:r w:rsidRPr="009A7BDC">
        <w:rPr>
          <w:rFonts w:ascii="Times New Roman" w:hAnsi="Times New Roman" w:cs="Times New Roman"/>
          <w:sz w:val="24"/>
          <w:szCs w:val="24"/>
          <w:lang w:val="en-US"/>
        </w:rPr>
        <w:tab/>
      </w:r>
      <w:r w:rsidRPr="009A7BDC">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Pr="009A7BDC">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00B81193">
        <w:rPr>
          <w:rFonts w:ascii="Times New Roman" w:hAnsi="Times New Roman" w:cs="Times New Roman"/>
          <w:sz w:val="24"/>
          <w:szCs w:val="24"/>
          <w:lang w:val="en-US"/>
        </w:rPr>
        <w:t xml:space="preserve">  </w:t>
      </w:r>
      <w:r w:rsidR="00D71FF8">
        <w:rPr>
          <w:rFonts w:ascii="Times New Roman" w:hAnsi="Times New Roman" w:cs="Times New Roman"/>
          <w:sz w:val="24"/>
          <w:szCs w:val="24"/>
          <w:lang w:val="en-US"/>
        </w:rPr>
        <w:t xml:space="preserve"> </w:t>
      </w:r>
      <w:r w:rsidRPr="009A7BDC">
        <w:rPr>
          <w:rFonts w:ascii="Times New Roman" w:hAnsi="Times New Roman" w:cs="Times New Roman"/>
          <w:sz w:val="24"/>
          <w:szCs w:val="24"/>
          <w:lang w:val="en-US"/>
        </w:rPr>
        <w:t>(</w:t>
      </w:r>
      <w:r w:rsidR="007867A2">
        <w:rPr>
          <w:rFonts w:ascii="Times New Roman" w:hAnsi="Times New Roman" w:cs="Times New Roman"/>
          <w:sz w:val="24"/>
          <w:szCs w:val="24"/>
          <w:lang w:val="en-US"/>
        </w:rPr>
        <w:t>8</w:t>
      </w:r>
      <w:r w:rsidRPr="009A7BDC">
        <w:rPr>
          <w:rFonts w:ascii="Times New Roman" w:hAnsi="Times New Roman" w:cs="Times New Roman"/>
          <w:sz w:val="24"/>
          <w:szCs w:val="24"/>
          <w:lang w:val="en-US"/>
        </w:rPr>
        <w:t>)</w:t>
      </w:r>
    </w:p>
    <w:p w14:paraId="20E6E989" w14:textId="52BA3BD8" w:rsidR="00FE1F96" w:rsidRPr="009A7BDC" w:rsidRDefault="00FE1F96" w:rsidP="009A7BDC">
      <w:pPr>
        <w:spacing w:line="480" w:lineRule="auto"/>
        <w:ind w:left="2160" w:firstLine="720"/>
        <w:jc w:val="right"/>
        <w:rPr>
          <w:rFonts w:ascii="Times New Roman" w:hAnsi="Times New Roman" w:cs="Times New Roman"/>
          <w:sz w:val="24"/>
          <w:szCs w:val="24"/>
        </w:rPr>
      </w:pPr>
      <w:r w:rsidRPr="009A7BDC">
        <w:rPr>
          <w:rFonts w:ascii="Times New Roman" w:hAnsi="Times New Roman" w:cs="Times New Roman"/>
          <w:sz w:val="24"/>
          <w:szCs w:val="24"/>
        </w:rPr>
        <w:t>VU = (1/(</w:t>
      </w:r>
      <w:proofErr w:type="spellStart"/>
      <w:r w:rsidRPr="009A7BDC">
        <w:rPr>
          <w:rFonts w:ascii="Times New Roman" w:hAnsi="Times New Roman" w:cs="Times New Roman"/>
          <w:sz w:val="24"/>
          <w:szCs w:val="24"/>
        </w:rPr>
        <w:t>r</w:t>
      </w:r>
      <w:r w:rsidRPr="009A7BDC">
        <w:rPr>
          <w:rFonts w:ascii="Times New Roman" w:hAnsi="Times New Roman" w:cs="Times New Roman"/>
          <w:sz w:val="24"/>
          <w:szCs w:val="24"/>
          <w:vertAlign w:val="superscript"/>
        </w:rPr>
        <w:t>H</w:t>
      </w:r>
      <w:proofErr w:type="spellEnd"/>
      <w:r w:rsidRPr="009A7BDC">
        <w:rPr>
          <w:rFonts w:ascii="Times New Roman" w:hAnsi="Times New Roman" w:cs="Times New Roman"/>
          <w:sz w:val="24"/>
          <w:szCs w:val="24"/>
          <w:vertAlign w:val="superscript"/>
        </w:rPr>
        <w:t xml:space="preserve"> </w:t>
      </w:r>
      <w:r w:rsidRPr="009A7BDC">
        <w:rPr>
          <w:rFonts w:ascii="Times New Roman" w:hAnsi="Times New Roman" w:cs="Times New Roman"/>
          <w:sz w:val="24"/>
          <w:szCs w:val="24"/>
        </w:rPr>
        <w:t xml:space="preserve">– </w:t>
      </w:r>
      <w:proofErr w:type="spellStart"/>
      <w:r w:rsidRPr="009A7BDC">
        <w:rPr>
          <w:rFonts w:ascii="Times New Roman" w:hAnsi="Times New Roman" w:cs="Times New Roman"/>
          <w:sz w:val="24"/>
          <w:szCs w:val="24"/>
        </w:rPr>
        <w:t>g</w:t>
      </w:r>
      <w:r w:rsidRPr="009A7BDC">
        <w:rPr>
          <w:rFonts w:ascii="Times New Roman" w:hAnsi="Times New Roman" w:cs="Times New Roman"/>
          <w:sz w:val="24"/>
          <w:szCs w:val="24"/>
          <w:vertAlign w:val="superscript"/>
        </w:rPr>
        <w:t>H</w:t>
      </w:r>
      <w:proofErr w:type="spellEnd"/>
      <w:r w:rsidRPr="009A7BDC">
        <w:rPr>
          <w:rFonts w:ascii="Times New Roman" w:hAnsi="Times New Roman" w:cs="Times New Roman"/>
          <w:sz w:val="24"/>
          <w:szCs w:val="24"/>
        </w:rPr>
        <w:t>) – 1/(</w:t>
      </w:r>
      <w:proofErr w:type="spellStart"/>
      <w:r w:rsidRPr="009A7BDC">
        <w:rPr>
          <w:rFonts w:ascii="Times New Roman" w:hAnsi="Times New Roman" w:cs="Times New Roman"/>
          <w:sz w:val="24"/>
          <w:szCs w:val="24"/>
        </w:rPr>
        <w:t>r</w:t>
      </w:r>
      <w:r w:rsidRPr="009A7BDC">
        <w:rPr>
          <w:rFonts w:ascii="Times New Roman" w:hAnsi="Times New Roman" w:cs="Times New Roman"/>
          <w:sz w:val="24"/>
          <w:szCs w:val="24"/>
          <w:vertAlign w:val="superscript"/>
        </w:rPr>
        <w:t>L</w:t>
      </w:r>
      <w:proofErr w:type="spellEnd"/>
      <w:r w:rsidRPr="009A7BDC">
        <w:rPr>
          <w:rFonts w:ascii="Times New Roman" w:hAnsi="Times New Roman" w:cs="Times New Roman"/>
          <w:sz w:val="24"/>
          <w:szCs w:val="24"/>
          <w:vertAlign w:val="superscript"/>
        </w:rPr>
        <w:t xml:space="preserve"> </w:t>
      </w:r>
      <w:r w:rsidRPr="009A7BDC">
        <w:rPr>
          <w:rFonts w:ascii="Times New Roman" w:hAnsi="Times New Roman" w:cs="Times New Roman"/>
          <w:sz w:val="24"/>
          <w:szCs w:val="24"/>
        </w:rPr>
        <w:t xml:space="preserve">– </w:t>
      </w:r>
      <w:proofErr w:type="spellStart"/>
      <w:r w:rsidRPr="009A7BDC">
        <w:rPr>
          <w:rFonts w:ascii="Times New Roman" w:hAnsi="Times New Roman" w:cs="Times New Roman"/>
          <w:sz w:val="24"/>
          <w:szCs w:val="24"/>
        </w:rPr>
        <w:t>g</w:t>
      </w:r>
      <w:r w:rsidRPr="009A7BDC">
        <w:rPr>
          <w:rFonts w:ascii="Times New Roman" w:hAnsi="Times New Roman" w:cs="Times New Roman"/>
          <w:sz w:val="24"/>
          <w:szCs w:val="24"/>
          <w:vertAlign w:val="superscript"/>
        </w:rPr>
        <w:t>L</w:t>
      </w:r>
      <w:proofErr w:type="spellEnd"/>
      <w:r w:rsidRPr="009A7BDC">
        <w:rPr>
          <w:rFonts w:ascii="Times New Roman" w:hAnsi="Times New Roman" w:cs="Times New Roman"/>
          <w:sz w:val="24"/>
          <w:szCs w:val="24"/>
        </w:rPr>
        <w:t>)) * D</w:t>
      </w:r>
      <w:r w:rsidRPr="009A7BDC">
        <w:rPr>
          <w:rFonts w:ascii="Times New Roman" w:hAnsi="Times New Roman" w:cs="Times New Roman"/>
          <w:sz w:val="24"/>
          <w:szCs w:val="24"/>
        </w:rPr>
        <w:tab/>
        <w:t xml:space="preserve"> </w:t>
      </w:r>
      <w:r w:rsidRPr="009A7BDC">
        <w:rPr>
          <w:rFonts w:ascii="Times New Roman" w:hAnsi="Times New Roman" w:cs="Times New Roman"/>
          <w:sz w:val="24"/>
          <w:szCs w:val="24"/>
        </w:rPr>
        <w:tab/>
      </w:r>
      <w:r w:rsidRPr="009A7BDC">
        <w:rPr>
          <w:rFonts w:ascii="Times New Roman" w:hAnsi="Times New Roman" w:cs="Times New Roman"/>
          <w:sz w:val="24"/>
          <w:szCs w:val="24"/>
        </w:rPr>
        <w:tab/>
      </w:r>
      <w:r w:rsidRPr="009A7BDC">
        <w:rPr>
          <w:rFonts w:ascii="Times New Roman" w:hAnsi="Times New Roman" w:cs="Times New Roman"/>
          <w:sz w:val="24"/>
          <w:szCs w:val="24"/>
        </w:rPr>
        <w:tab/>
        <w:t xml:space="preserve">    (</w:t>
      </w:r>
      <w:r w:rsidR="007867A2" w:rsidRPr="009A7BDC">
        <w:rPr>
          <w:rFonts w:ascii="Times New Roman" w:hAnsi="Times New Roman" w:cs="Times New Roman"/>
          <w:sz w:val="24"/>
          <w:szCs w:val="24"/>
        </w:rPr>
        <w:t>9</w:t>
      </w:r>
      <w:r w:rsidRPr="009A7BDC">
        <w:rPr>
          <w:rFonts w:ascii="Times New Roman" w:hAnsi="Times New Roman" w:cs="Times New Roman"/>
          <w:sz w:val="24"/>
          <w:szCs w:val="24"/>
        </w:rPr>
        <w:t>)</w:t>
      </w:r>
    </w:p>
    <w:p w14:paraId="5F930B47" w14:textId="4C5649BA" w:rsidR="00DD17AD" w:rsidRPr="009A7BDC" w:rsidRDefault="00B81193" w:rsidP="009A7BDC">
      <w:pPr>
        <w:spacing w:after="0" w:line="480" w:lineRule="auto"/>
        <w:jc w:val="both"/>
        <w:rPr>
          <w:rFonts w:ascii="Times New Roman" w:hAnsi="Times New Roman" w:cs="Times New Roman"/>
          <w:iCs/>
          <w:sz w:val="24"/>
          <w:szCs w:val="24"/>
          <w:lang w:val="en-US"/>
        </w:rPr>
      </w:pPr>
      <w:r>
        <w:rPr>
          <w:rFonts w:ascii="Times New Roman" w:hAnsi="Times New Roman" w:cs="Times New Roman"/>
          <w:sz w:val="24"/>
          <w:szCs w:val="24"/>
        </w:rPr>
        <w:t>Here,</w:t>
      </w:r>
      <w:r w:rsidR="00FE1F96" w:rsidRPr="000A4855">
        <w:rPr>
          <w:rFonts w:ascii="Times New Roman" w:hAnsi="Times New Roman" w:cs="Times New Roman"/>
          <w:sz w:val="24"/>
          <w:szCs w:val="24"/>
          <w:lang w:val="en-US"/>
        </w:rPr>
        <w:t xml:space="preserve"> 1/(</w:t>
      </w:r>
      <w:proofErr w:type="spellStart"/>
      <w:r w:rsidR="00FE1F96" w:rsidRPr="000A4855">
        <w:rPr>
          <w:rFonts w:ascii="Times New Roman" w:hAnsi="Times New Roman" w:cs="Times New Roman"/>
          <w:sz w:val="24"/>
          <w:szCs w:val="24"/>
          <w:lang w:val="en-US"/>
        </w:rPr>
        <w:t>r</w:t>
      </w:r>
      <w:r w:rsidR="00FE1F96" w:rsidRPr="000A4855">
        <w:rPr>
          <w:rFonts w:ascii="Times New Roman" w:hAnsi="Times New Roman" w:cs="Times New Roman"/>
          <w:sz w:val="24"/>
          <w:szCs w:val="24"/>
          <w:vertAlign w:val="superscript"/>
          <w:lang w:val="en-US"/>
        </w:rPr>
        <w:t>H</w:t>
      </w:r>
      <w:proofErr w:type="spellEnd"/>
      <w:r w:rsidR="00FE1F96" w:rsidRPr="000A4855">
        <w:rPr>
          <w:rFonts w:ascii="Times New Roman" w:hAnsi="Times New Roman" w:cs="Times New Roman"/>
          <w:sz w:val="24"/>
          <w:szCs w:val="24"/>
          <w:vertAlign w:val="superscript"/>
          <w:lang w:val="en-US"/>
        </w:rPr>
        <w:t xml:space="preserve"> </w:t>
      </w:r>
      <w:r w:rsidR="00FE1F96" w:rsidRPr="000A4855">
        <w:rPr>
          <w:rFonts w:ascii="Times New Roman" w:hAnsi="Times New Roman" w:cs="Times New Roman"/>
          <w:sz w:val="24"/>
          <w:szCs w:val="24"/>
          <w:lang w:val="en-US"/>
        </w:rPr>
        <w:t xml:space="preserve">– </w:t>
      </w:r>
      <w:proofErr w:type="spellStart"/>
      <w:r w:rsidR="00FE1F96" w:rsidRPr="000A4855">
        <w:rPr>
          <w:rFonts w:ascii="Times New Roman" w:hAnsi="Times New Roman" w:cs="Times New Roman"/>
          <w:sz w:val="24"/>
          <w:szCs w:val="24"/>
          <w:lang w:val="en-US"/>
        </w:rPr>
        <w:t>g</w:t>
      </w:r>
      <w:r w:rsidR="00FE1F96" w:rsidRPr="000A4855">
        <w:rPr>
          <w:rFonts w:ascii="Times New Roman" w:hAnsi="Times New Roman" w:cs="Times New Roman"/>
          <w:sz w:val="24"/>
          <w:szCs w:val="24"/>
          <w:vertAlign w:val="superscript"/>
          <w:lang w:val="en-US"/>
        </w:rPr>
        <w:t>H</w:t>
      </w:r>
      <w:proofErr w:type="spellEnd"/>
      <w:r w:rsidR="00FE1F96" w:rsidRPr="000A4855">
        <w:rPr>
          <w:rFonts w:ascii="Times New Roman" w:hAnsi="Times New Roman" w:cs="Times New Roman"/>
          <w:sz w:val="24"/>
          <w:szCs w:val="24"/>
          <w:lang w:val="en-US"/>
        </w:rPr>
        <w:t>) and 1/(</w:t>
      </w:r>
      <w:proofErr w:type="spellStart"/>
      <w:r w:rsidR="00FE1F96" w:rsidRPr="000A4855">
        <w:rPr>
          <w:rFonts w:ascii="Times New Roman" w:hAnsi="Times New Roman" w:cs="Times New Roman"/>
          <w:sz w:val="24"/>
          <w:szCs w:val="24"/>
          <w:lang w:val="en-US"/>
        </w:rPr>
        <w:t>r</w:t>
      </w:r>
      <w:r w:rsidR="00FE1F96" w:rsidRPr="000A4855">
        <w:rPr>
          <w:rFonts w:ascii="Times New Roman" w:hAnsi="Times New Roman" w:cs="Times New Roman"/>
          <w:sz w:val="24"/>
          <w:szCs w:val="24"/>
          <w:vertAlign w:val="superscript"/>
          <w:lang w:val="en-US"/>
        </w:rPr>
        <w:t>L</w:t>
      </w:r>
      <w:proofErr w:type="spellEnd"/>
      <w:r w:rsidR="00FE1F96" w:rsidRPr="000A4855">
        <w:rPr>
          <w:rFonts w:ascii="Times New Roman" w:hAnsi="Times New Roman" w:cs="Times New Roman"/>
          <w:sz w:val="24"/>
          <w:szCs w:val="24"/>
          <w:vertAlign w:val="superscript"/>
          <w:lang w:val="en-US"/>
        </w:rPr>
        <w:t xml:space="preserve"> </w:t>
      </w:r>
      <w:r w:rsidR="00FE1F96" w:rsidRPr="000A4855">
        <w:rPr>
          <w:rFonts w:ascii="Times New Roman" w:hAnsi="Times New Roman" w:cs="Times New Roman"/>
          <w:sz w:val="24"/>
          <w:szCs w:val="24"/>
          <w:lang w:val="en-US"/>
        </w:rPr>
        <w:t xml:space="preserve">– </w:t>
      </w:r>
      <w:proofErr w:type="spellStart"/>
      <w:r w:rsidR="00FE1F96" w:rsidRPr="000A4855">
        <w:rPr>
          <w:rFonts w:ascii="Times New Roman" w:hAnsi="Times New Roman" w:cs="Times New Roman"/>
          <w:sz w:val="24"/>
          <w:szCs w:val="24"/>
          <w:lang w:val="en-US"/>
        </w:rPr>
        <w:t>g</w:t>
      </w:r>
      <w:r w:rsidR="00FE1F96" w:rsidRPr="000A4855">
        <w:rPr>
          <w:rFonts w:ascii="Times New Roman" w:hAnsi="Times New Roman" w:cs="Times New Roman"/>
          <w:sz w:val="24"/>
          <w:szCs w:val="24"/>
          <w:vertAlign w:val="superscript"/>
          <w:lang w:val="en-US"/>
        </w:rPr>
        <w:t>L</w:t>
      </w:r>
      <w:proofErr w:type="spellEnd"/>
      <w:r w:rsidR="00FE1F96" w:rsidRPr="000A4855">
        <w:rPr>
          <w:rFonts w:ascii="Times New Roman" w:hAnsi="Times New Roman" w:cs="Times New Roman"/>
          <w:sz w:val="24"/>
          <w:szCs w:val="24"/>
          <w:lang w:val="en-US"/>
        </w:rPr>
        <w:t>)</w:t>
      </w:r>
      <w:r w:rsidR="00FE1F96">
        <w:rPr>
          <w:rFonts w:ascii="Times New Roman" w:hAnsi="Times New Roman" w:cs="Times New Roman"/>
          <w:sz w:val="24"/>
          <w:szCs w:val="24"/>
          <w:lang w:val="en-US"/>
        </w:rPr>
        <w:t xml:space="preserve"> are valuation multiples that scale the only fundamental relevant in this framework, namely the level of D. As we have shown above, we </w:t>
      </w:r>
      <w:r w:rsidR="007867A2">
        <w:rPr>
          <w:rFonts w:ascii="Times New Roman" w:hAnsi="Times New Roman" w:cs="Times New Roman"/>
          <w:sz w:val="24"/>
          <w:szCs w:val="24"/>
          <w:lang w:val="en-US"/>
        </w:rPr>
        <w:t>can rewrite equations (8) and (9) in terms of</w:t>
      </w:r>
      <w:r w:rsidR="004A72CC">
        <w:rPr>
          <w:rFonts w:ascii="Times New Roman" w:hAnsi="Times New Roman" w:cs="Times New Roman"/>
          <w:sz w:val="24"/>
          <w:szCs w:val="24"/>
          <w:lang w:val="en-US"/>
        </w:rPr>
        <w:t xml:space="preserve"> current</w:t>
      </w:r>
      <w:r w:rsidR="007867A2">
        <w:rPr>
          <w:rFonts w:ascii="Times New Roman" w:hAnsi="Times New Roman" w:cs="Times New Roman"/>
          <w:sz w:val="24"/>
          <w:szCs w:val="24"/>
          <w:lang w:val="en-US"/>
        </w:rPr>
        <w:t xml:space="preserve"> book value and a growing stream of future residual income</w:t>
      </w:r>
      <w:r w:rsidR="00AE422A">
        <w:rPr>
          <w:rFonts w:ascii="Times New Roman" w:hAnsi="Times New Roman" w:cs="Times New Roman"/>
          <w:sz w:val="24"/>
          <w:szCs w:val="24"/>
          <w:lang w:val="en-US"/>
        </w:rPr>
        <w:t xml:space="preserve"> and </w:t>
      </w:r>
      <w:r w:rsidR="00AF401A">
        <w:rPr>
          <w:rFonts w:ascii="Times New Roman" w:hAnsi="Times New Roman" w:cs="Times New Roman"/>
          <w:sz w:val="24"/>
          <w:szCs w:val="24"/>
          <w:lang w:val="en-US"/>
        </w:rPr>
        <w:t>then</w:t>
      </w:r>
      <w:r w:rsidR="007867A2">
        <w:rPr>
          <w:rFonts w:ascii="Times New Roman" w:hAnsi="Times New Roman" w:cs="Times New Roman"/>
          <w:sz w:val="24"/>
          <w:szCs w:val="24"/>
          <w:lang w:val="en-US"/>
        </w:rPr>
        <w:t xml:space="preserve"> </w:t>
      </w:r>
      <w:r w:rsidR="004A72CC">
        <w:rPr>
          <w:rFonts w:ascii="Times New Roman" w:hAnsi="Times New Roman" w:cs="Times New Roman"/>
          <w:sz w:val="24"/>
          <w:szCs w:val="24"/>
          <w:lang w:val="en-US"/>
        </w:rPr>
        <w:t>replace</w:t>
      </w:r>
      <w:r w:rsidR="00381DEB">
        <w:rPr>
          <w:rFonts w:ascii="Times New Roman" w:hAnsi="Times New Roman" w:cs="Times New Roman"/>
          <w:sz w:val="24"/>
          <w:szCs w:val="24"/>
          <w:lang w:val="en-US"/>
        </w:rPr>
        <w:t xml:space="preserve"> the</w:t>
      </w:r>
      <w:r w:rsidR="007867A2">
        <w:rPr>
          <w:rFonts w:ascii="Times New Roman" w:hAnsi="Times New Roman" w:cs="Times New Roman"/>
          <w:sz w:val="24"/>
          <w:szCs w:val="24"/>
          <w:lang w:val="en-US"/>
        </w:rPr>
        <w:t xml:space="preserve"> latter as </w:t>
      </w:r>
      <w:r w:rsidR="00FE1F96">
        <w:rPr>
          <w:rFonts w:ascii="Times New Roman" w:hAnsi="Times New Roman" w:cs="Times New Roman"/>
          <w:sz w:val="24"/>
          <w:szCs w:val="24"/>
          <w:lang w:val="en-US"/>
        </w:rPr>
        <w:t>a multiple of current net income by imposing further assumptions</w:t>
      </w:r>
      <w:r w:rsidR="004A72CC">
        <w:rPr>
          <w:rFonts w:ascii="Times New Roman" w:hAnsi="Times New Roman" w:cs="Times New Roman"/>
          <w:sz w:val="24"/>
          <w:szCs w:val="24"/>
          <w:lang w:val="en-US"/>
        </w:rPr>
        <w:t>.</w:t>
      </w:r>
      <w:r w:rsidR="00FE1F96">
        <w:rPr>
          <w:rFonts w:ascii="Times New Roman" w:hAnsi="Times New Roman" w:cs="Times New Roman"/>
          <w:sz w:val="24"/>
          <w:szCs w:val="24"/>
          <w:lang w:val="en-US"/>
        </w:rPr>
        <w:t xml:space="preserve"> </w:t>
      </w:r>
      <w:r w:rsidR="004A72CC">
        <w:rPr>
          <w:rFonts w:ascii="Times New Roman" w:hAnsi="Times New Roman" w:cs="Times New Roman"/>
          <w:sz w:val="24"/>
          <w:szCs w:val="24"/>
          <w:lang w:val="en-US"/>
        </w:rPr>
        <w:t>In that case,</w:t>
      </w:r>
      <w:r w:rsidR="00FE1F96">
        <w:rPr>
          <w:rFonts w:ascii="Times New Roman" w:hAnsi="Times New Roman" w:cs="Times New Roman"/>
          <w:sz w:val="24"/>
          <w:szCs w:val="24"/>
          <w:lang w:val="en-US"/>
        </w:rPr>
        <w:t xml:space="preserve"> VU </w:t>
      </w:r>
      <w:r w:rsidR="00AF401A">
        <w:rPr>
          <w:rFonts w:ascii="Times New Roman" w:hAnsi="Times New Roman" w:cs="Times New Roman"/>
          <w:sz w:val="24"/>
          <w:szCs w:val="24"/>
          <w:lang w:val="en-US"/>
        </w:rPr>
        <w:t>becomes</w:t>
      </w:r>
      <w:r w:rsidR="00FE1F96">
        <w:rPr>
          <w:rFonts w:ascii="Times New Roman" w:hAnsi="Times New Roman" w:cs="Times New Roman"/>
          <w:sz w:val="24"/>
          <w:szCs w:val="24"/>
          <w:lang w:val="en-US"/>
        </w:rPr>
        <w:t xml:space="preserve"> a linear combination of </w:t>
      </w:r>
      <w:r w:rsidR="00FE1F96" w:rsidRPr="00394B80">
        <w:rPr>
          <w:rFonts w:ascii="Times New Roman" w:hAnsi="Times New Roman" w:cs="Times New Roman"/>
          <w:i/>
          <w:iCs/>
          <w:sz w:val="24"/>
          <w:szCs w:val="24"/>
          <w:lang w:val="en-US"/>
        </w:rPr>
        <w:t>current</w:t>
      </w:r>
      <w:r w:rsidR="00FE1F96">
        <w:rPr>
          <w:rFonts w:ascii="Times New Roman" w:hAnsi="Times New Roman" w:cs="Times New Roman"/>
          <w:sz w:val="24"/>
          <w:szCs w:val="24"/>
          <w:lang w:val="en-US"/>
        </w:rPr>
        <w:t xml:space="preserve"> accounting fundamentals and differences in the valuation multiples associated with them.</w:t>
      </w:r>
      <w:r w:rsidR="007867A2">
        <w:rPr>
          <w:rFonts w:ascii="Times New Roman" w:hAnsi="Times New Roman" w:cs="Times New Roman"/>
          <w:sz w:val="24"/>
          <w:szCs w:val="24"/>
          <w:lang w:val="en-US"/>
        </w:rPr>
        <w:t xml:space="preserve"> This is exactly what eq. (7)</w:t>
      </w:r>
      <w:r>
        <w:rPr>
          <w:rFonts w:ascii="Times New Roman" w:hAnsi="Times New Roman" w:cs="Times New Roman"/>
          <w:sz w:val="24"/>
          <w:szCs w:val="24"/>
          <w:lang w:val="en-US"/>
        </w:rPr>
        <w:t xml:space="preserve"> implements</w:t>
      </w:r>
      <w:r w:rsidR="00AF401A">
        <w:rPr>
          <w:rFonts w:ascii="Times New Roman" w:hAnsi="Times New Roman" w:cs="Times New Roman"/>
          <w:sz w:val="24"/>
          <w:szCs w:val="24"/>
          <w:lang w:val="en-US"/>
        </w:rPr>
        <w:t>.</w:t>
      </w:r>
    </w:p>
    <w:p w14:paraId="6A70DA66" w14:textId="7CC427FE" w:rsidR="0058698E" w:rsidRDefault="002243F5" w:rsidP="0058698E">
      <w:pPr>
        <w:spacing w:after="0" w:line="480" w:lineRule="auto"/>
        <w:ind w:firstLine="567"/>
        <w:jc w:val="both"/>
        <w:rPr>
          <w:rFonts w:ascii="Times New Roman" w:hAnsi="Times New Roman" w:cs="Times New Roman"/>
          <w:sz w:val="24"/>
          <w:szCs w:val="24"/>
        </w:rPr>
      </w:pPr>
      <w:r>
        <w:rPr>
          <w:rFonts w:ascii="Times New Roman" w:hAnsi="Times New Roman" w:cs="Times New Roman"/>
          <w:iCs/>
          <w:sz w:val="24"/>
          <w:szCs w:val="24"/>
        </w:rPr>
        <w:lastRenderedPageBreak/>
        <w:t xml:space="preserve">Ultimately, we </w:t>
      </w:r>
      <w:r w:rsidR="003E4CE9">
        <w:rPr>
          <w:rFonts w:ascii="Times New Roman" w:hAnsi="Times New Roman" w:cs="Times New Roman"/>
          <w:iCs/>
          <w:sz w:val="24"/>
          <w:szCs w:val="24"/>
        </w:rPr>
        <w:t xml:space="preserve">work with exponentiated predicted </w:t>
      </w:r>
      <w:r w:rsidR="00CC535B">
        <w:rPr>
          <w:rFonts w:ascii="Times New Roman" w:hAnsi="Times New Roman" w:cs="Times New Roman"/>
          <w:iCs/>
          <w:sz w:val="24"/>
          <w:szCs w:val="24"/>
        </w:rPr>
        <w:t xml:space="preserve">equity </w:t>
      </w:r>
      <w:r w:rsidR="003E4CE9">
        <w:rPr>
          <w:rFonts w:ascii="Times New Roman" w:hAnsi="Times New Roman" w:cs="Times New Roman"/>
          <w:iCs/>
          <w:sz w:val="24"/>
          <w:szCs w:val="24"/>
        </w:rPr>
        <w:t xml:space="preserve">values, </w:t>
      </w:r>
      <w:r>
        <w:rPr>
          <w:rFonts w:ascii="Times New Roman" w:hAnsi="Times New Roman" w:cs="Times New Roman"/>
          <w:iCs/>
          <w:sz w:val="24"/>
          <w:szCs w:val="24"/>
        </w:rPr>
        <w:t xml:space="preserve">denoted by uppercase </w:t>
      </w:r>
      <w:r w:rsidRPr="00E90D84">
        <w:rPr>
          <w:rFonts w:ascii="Times New Roman" w:hAnsi="Times New Roman" w:cs="Times New Roman"/>
          <w:i/>
          <w:sz w:val="24"/>
          <w:szCs w:val="24"/>
        </w:rPr>
        <w:t>Q</w:t>
      </w:r>
      <w:r w:rsidRPr="00E90D84">
        <w:rPr>
          <w:rFonts w:ascii="Times New Roman" w:hAnsi="Times New Roman" w:cs="Times New Roman"/>
          <w:i/>
          <w:sz w:val="24"/>
          <w:szCs w:val="24"/>
          <w:vertAlign w:val="subscript"/>
        </w:rPr>
        <w:t>25</w:t>
      </w:r>
      <w:r>
        <w:rPr>
          <w:rFonts w:ascii="Times New Roman" w:hAnsi="Times New Roman" w:cs="Times New Roman"/>
          <w:iCs/>
          <w:sz w:val="24"/>
          <w:szCs w:val="24"/>
        </w:rPr>
        <w:t xml:space="preserve"> </w:t>
      </w:r>
      <w:r>
        <w:rPr>
          <w:rFonts w:ascii="Times New Roman" w:hAnsi="Times New Roman" w:cs="Times New Roman"/>
          <w:sz w:val="24"/>
          <w:szCs w:val="24"/>
        </w:rPr>
        <w:t xml:space="preserve">and </w:t>
      </w:r>
      <w:r w:rsidRPr="00E90D84">
        <w:rPr>
          <w:rFonts w:ascii="Times New Roman" w:hAnsi="Times New Roman" w:cs="Times New Roman"/>
          <w:i/>
          <w:sz w:val="24"/>
          <w:szCs w:val="24"/>
        </w:rPr>
        <w:t>Q</w:t>
      </w:r>
      <w:r w:rsidRPr="00E90D84">
        <w:rPr>
          <w:rFonts w:ascii="Times New Roman" w:hAnsi="Times New Roman" w:cs="Times New Roman"/>
          <w:i/>
          <w:sz w:val="24"/>
          <w:szCs w:val="24"/>
          <w:vertAlign w:val="subscript"/>
        </w:rPr>
        <w:t>75</w:t>
      </w:r>
      <w:r w:rsidR="003E4CE9">
        <w:rPr>
          <w:rFonts w:ascii="Times New Roman" w:hAnsi="Times New Roman" w:cs="Times New Roman"/>
          <w:iCs/>
          <w:sz w:val="24"/>
          <w:szCs w:val="24"/>
        </w:rPr>
        <w:t xml:space="preserve">, and define our measure of valuation uncertainty </w:t>
      </w:r>
      <w:r w:rsidR="003E4CE9" w:rsidRPr="003E4CE9">
        <w:rPr>
          <w:rFonts w:ascii="Times New Roman" w:hAnsi="Times New Roman" w:cs="Times New Roman"/>
          <w:i/>
          <w:sz w:val="24"/>
          <w:szCs w:val="24"/>
        </w:rPr>
        <w:t>VU</w:t>
      </w:r>
      <w:r w:rsidR="003E4CE9">
        <w:rPr>
          <w:rFonts w:ascii="Times New Roman" w:hAnsi="Times New Roman" w:cs="Times New Roman"/>
          <w:iCs/>
          <w:sz w:val="24"/>
          <w:szCs w:val="24"/>
        </w:rPr>
        <w:t xml:space="preserve"> as</w:t>
      </w:r>
      <w:r w:rsidR="00D33796">
        <w:rPr>
          <w:rFonts w:ascii="Times New Roman" w:hAnsi="Times New Roman" w:cs="Times New Roman"/>
          <w:iCs/>
          <w:sz w:val="24"/>
          <w:szCs w:val="24"/>
        </w:rPr>
        <w:t xml:space="preserve"> a scaled interquartile range</w:t>
      </w:r>
      <w:r w:rsidR="003E4CE9">
        <w:rPr>
          <w:rFonts w:ascii="Times New Roman" w:hAnsi="Times New Roman" w:cs="Times New Roman"/>
          <w:iCs/>
          <w:sz w:val="24"/>
          <w:szCs w:val="24"/>
        </w:rPr>
        <w:t>:</w:t>
      </w:r>
    </w:p>
    <w:p w14:paraId="1131544C" w14:textId="6174D0A6" w:rsidR="00A62CBE" w:rsidRPr="00A62CBE" w:rsidRDefault="005849F9" w:rsidP="00243184">
      <w:pPr>
        <w:spacing w:after="0" w:line="480" w:lineRule="auto"/>
        <w:ind w:firstLine="567"/>
        <w:jc w:val="both"/>
        <w:rPr>
          <w:rFonts w:ascii="Times New Roman" w:hAnsi="Times New Roman" w:cs="Times New Roman"/>
          <w:sz w:val="24"/>
          <w:szCs w:val="24"/>
        </w:rPr>
      </w:pPr>
      <m:oMathPara>
        <m:oMathParaPr>
          <m:jc m:val="right"/>
        </m:oMathParaPr>
        <m:oMath>
          <m:r>
            <w:rPr>
              <w:rFonts w:ascii="Cambria Math" w:eastAsiaTheme="minorEastAsia" w:hAnsi="Cambria Math" w:cs="Times New Roman"/>
              <w:sz w:val="24"/>
              <w:szCs w:val="24"/>
            </w:rPr>
            <m:t>VU=</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75</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25</m:t>
                  </m:r>
                </m:sub>
              </m:sSub>
            </m:num>
            <m:den>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75</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25</m:t>
                  </m:r>
                </m:sub>
              </m:sSub>
              <m:r>
                <w:rPr>
                  <w:rFonts w:ascii="Cambria Math" w:hAnsi="Cambria Math" w:cs="Times New Roman"/>
                  <w:sz w:val="24"/>
                  <w:szCs w:val="24"/>
                </w:rPr>
                <m:t>)/2</m:t>
              </m:r>
            </m:den>
          </m:f>
          <m:r>
            <w:rPr>
              <w:rFonts w:ascii="Cambria Math" w:eastAsiaTheme="minorEastAsia" w:hAnsi="Cambria Math" w:cs="Times New Roman"/>
              <w:sz w:val="24"/>
              <w:szCs w:val="24"/>
            </w:rPr>
            <m:t xml:space="preserve">                                                              (10)</m:t>
          </m:r>
        </m:oMath>
      </m:oMathPara>
    </w:p>
    <w:p w14:paraId="5EF15F50" w14:textId="15A58807" w:rsidR="00EC52FC" w:rsidRDefault="003E4CE9" w:rsidP="00C11A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Compared to </w:t>
      </w:r>
      <w:r w:rsidRPr="003E4CE9">
        <w:rPr>
          <w:rFonts w:ascii="Times New Roman" w:hAnsi="Times New Roman" w:cs="Times New Roman"/>
          <w:i/>
          <w:sz w:val="24"/>
          <w:szCs w:val="24"/>
        </w:rPr>
        <w:t>q</w:t>
      </w:r>
      <w:r w:rsidRPr="003E4CE9">
        <w:rPr>
          <w:rFonts w:ascii="Times New Roman" w:hAnsi="Times New Roman" w:cs="Times New Roman"/>
          <w:i/>
          <w:sz w:val="24"/>
          <w:szCs w:val="24"/>
          <w:vertAlign w:val="subscript"/>
        </w:rPr>
        <w:t>75</w:t>
      </w:r>
      <w:r w:rsidRPr="00913EFC">
        <w:rPr>
          <w:rFonts w:ascii="Times New Roman" w:hAnsi="Times New Roman" w:cs="Times New Roman"/>
          <w:i/>
          <w:sz w:val="24"/>
          <w:szCs w:val="24"/>
        </w:rPr>
        <w:t xml:space="preserve"> – </w:t>
      </w:r>
      <w:r w:rsidRPr="003E4CE9">
        <w:rPr>
          <w:rFonts w:ascii="Times New Roman" w:hAnsi="Times New Roman" w:cs="Times New Roman"/>
          <w:i/>
          <w:sz w:val="24"/>
          <w:szCs w:val="24"/>
        </w:rPr>
        <w:t>q</w:t>
      </w:r>
      <w:r w:rsidRPr="003E4CE9">
        <w:rPr>
          <w:rFonts w:ascii="Times New Roman" w:hAnsi="Times New Roman" w:cs="Times New Roman"/>
          <w:i/>
          <w:sz w:val="24"/>
          <w:szCs w:val="24"/>
          <w:vertAlign w:val="subscript"/>
        </w:rPr>
        <w:t>25</w:t>
      </w:r>
      <w:r>
        <w:rPr>
          <w:rFonts w:ascii="Times New Roman" w:hAnsi="Times New Roman" w:cs="Times New Roman"/>
          <w:iCs/>
          <w:sz w:val="24"/>
          <w:szCs w:val="24"/>
          <w:vertAlign w:val="subscript"/>
        </w:rPr>
        <w:t xml:space="preserve">, </w:t>
      </w:r>
      <w:r>
        <w:rPr>
          <w:rFonts w:ascii="Times New Roman" w:hAnsi="Times New Roman" w:cs="Times New Roman"/>
          <w:iCs/>
          <w:sz w:val="24"/>
          <w:szCs w:val="24"/>
        </w:rPr>
        <w:t>the measure in (</w:t>
      </w:r>
      <w:r w:rsidR="00CC535B">
        <w:rPr>
          <w:rFonts w:ascii="Times New Roman" w:hAnsi="Times New Roman" w:cs="Times New Roman"/>
          <w:iCs/>
          <w:sz w:val="24"/>
          <w:szCs w:val="24"/>
        </w:rPr>
        <w:t>10</w:t>
      </w:r>
      <w:r>
        <w:rPr>
          <w:rFonts w:ascii="Times New Roman" w:hAnsi="Times New Roman" w:cs="Times New Roman"/>
          <w:iCs/>
          <w:sz w:val="24"/>
          <w:szCs w:val="24"/>
        </w:rPr>
        <w:t>) has more desirable statistical properties (i.e. skewness and kurtosis closer to normality)</w:t>
      </w:r>
      <w:r w:rsidR="003933AC">
        <w:rPr>
          <w:rFonts w:ascii="Times New Roman" w:hAnsi="Times New Roman" w:cs="Times New Roman"/>
          <w:iCs/>
          <w:sz w:val="24"/>
          <w:szCs w:val="24"/>
        </w:rPr>
        <w:t>.</w:t>
      </w:r>
      <w:r w:rsidR="00D33796">
        <w:rPr>
          <w:rFonts w:ascii="Times New Roman" w:hAnsi="Times New Roman" w:cs="Times New Roman"/>
          <w:iCs/>
          <w:sz w:val="24"/>
          <w:szCs w:val="24"/>
        </w:rPr>
        <w:t xml:space="preserve"> </w:t>
      </w:r>
      <w:r w:rsidR="003933AC">
        <w:rPr>
          <w:rFonts w:ascii="Times New Roman" w:hAnsi="Times New Roman" w:cs="Times New Roman"/>
          <w:iCs/>
          <w:sz w:val="24"/>
          <w:szCs w:val="24"/>
        </w:rPr>
        <w:t>S</w:t>
      </w:r>
      <w:r w:rsidR="00E362F5" w:rsidRPr="003E4CE9">
        <w:rPr>
          <w:rFonts w:ascii="Times New Roman" w:hAnsi="Times New Roman" w:cs="Times New Roman"/>
          <w:iCs/>
          <w:sz w:val="24"/>
          <w:szCs w:val="24"/>
        </w:rPr>
        <w:t>cal</w:t>
      </w:r>
      <w:r w:rsidRPr="003E4CE9">
        <w:rPr>
          <w:rFonts w:ascii="Times New Roman" w:hAnsi="Times New Roman" w:cs="Times New Roman"/>
          <w:iCs/>
          <w:sz w:val="24"/>
          <w:szCs w:val="24"/>
        </w:rPr>
        <w:t>ing</w:t>
      </w:r>
      <w:r w:rsidR="00E362F5" w:rsidRPr="00D65594">
        <w:rPr>
          <w:rFonts w:ascii="Times New Roman" w:hAnsi="Times New Roman" w:cs="Times New Roman"/>
          <w:sz w:val="24"/>
          <w:szCs w:val="24"/>
        </w:rPr>
        <w:t xml:space="preserve"> by the midpoint</w:t>
      </w:r>
      <w:r w:rsidR="00E362F5">
        <w:rPr>
          <w:rFonts w:ascii="Times New Roman" w:hAnsi="Times New Roman" w:cs="Times New Roman"/>
          <w:sz w:val="24"/>
          <w:szCs w:val="24"/>
        </w:rPr>
        <w:t xml:space="preserve"> between the two</w:t>
      </w:r>
      <w:r>
        <w:rPr>
          <w:rFonts w:ascii="Times New Roman" w:hAnsi="Times New Roman" w:cs="Times New Roman"/>
          <w:sz w:val="24"/>
          <w:szCs w:val="24"/>
        </w:rPr>
        <w:t xml:space="preserve"> exponentiated</w:t>
      </w:r>
      <w:r w:rsidR="00E362F5">
        <w:rPr>
          <w:rFonts w:ascii="Times New Roman" w:hAnsi="Times New Roman" w:cs="Times New Roman"/>
          <w:sz w:val="24"/>
          <w:szCs w:val="24"/>
        </w:rPr>
        <w:t xml:space="preserve"> quantiles </w:t>
      </w:r>
      <w:r w:rsidR="00B31814">
        <w:rPr>
          <w:rFonts w:ascii="Times New Roman" w:hAnsi="Times New Roman" w:cs="Times New Roman"/>
          <w:sz w:val="24"/>
          <w:szCs w:val="24"/>
        </w:rPr>
        <w:t>ensures</w:t>
      </w:r>
      <w:r w:rsidR="00E362F5" w:rsidRPr="00D65594">
        <w:rPr>
          <w:rFonts w:ascii="Times New Roman" w:hAnsi="Times New Roman" w:cs="Times New Roman"/>
          <w:sz w:val="24"/>
          <w:szCs w:val="24"/>
        </w:rPr>
        <w:t xml:space="preserve"> comparab</w:t>
      </w:r>
      <w:r w:rsidR="00B31814">
        <w:rPr>
          <w:rFonts w:ascii="Times New Roman" w:hAnsi="Times New Roman" w:cs="Times New Roman"/>
          <w:sz w:val="24"/>
          <w:szCs w:val="24"/>
        </w:rPr>
        <w:t>ility</w:t>
      </w:r>
      <w:r w:rsidR="00E362F5">
        <w:rPr>
          <w:rFonts w:ascii="Times New Roman" w:hAnsi="Times New Roman" w:cs="Times New Roman"/>
          <w:sz w:val="24"/>
          <w:szCs w:val="24"/>
        </w:rPr>
        <w:t xml:space="preserve"> across firms of different size. </w:t>
      </w:r>
      <w:r w:rsidR="00E362F5" w:rsidRPr="00D65594">
        <w:rPr>
          <w:rFonts w:ascii="Times New Roman" w:hAnsi="Times New Roman" w:cs="Times New Roman"/>
          <w:sz w:val="24"/>
          <w:szCs w:val="24"/>
        </w:rPr>
        <w:t xml:space="preserve">This definition </w:t>
      </w:r>
      <w:r w:rsidR="00B31814">
        <w:rPr>
          <w:rFonts w:ascii="Times New Roman" w:hAnsi="Times New Roman" w:cs="Times New Roman"/>
          <w:sz w:val="24"/>
          <w:szCs w:val="24"/>
        </w:rPr>
        <w:t>follows</w:t>
      </w:r>
      <w:r w:rsidR="00E362F5" w:rsidRPr="00D65594">
        <w:rPr>
          <w:rFonts w:ascii="Times New Roman" w:hAnsi="Times New Roman" w:cs="Times New Roman"/>
          <w:sz w:val="24"/>
          <w:szCs w:val="24"/>
        </w:rPr>
        <w:t xml:space="preserve"> </w:t>
      </w:r>
      <w:hyperlink w:anchor="_ENREF_47" w:tooltip="Joos, 2016 #1061" w:history="1">
        <w:r w:rsidR="00A4299A" w:rsidRPr="00D65594">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AuthorYear="1"&gt;&lt;Author&gt;Joos&lt;/Author&gt;&lt;Year&gt;2016&lt;/Year&gt;&lt;RecNum&gt;1061&lt;/RecNum&gt;&lt;DisplayText&gt;Joos et al. (2016)&lt;/DisplayText&gt;&lt;record&gt;&lt;rec-number&gt;1061&lt;/rec-number&gt;&lt;foreign-keys&gt;&lt;key app="EN" db-id="a00ppf5vbz2zw4efraqp9recxrvdwwtasszf" timestamp="1636055775"&gt;1061&lt;/key&gt;&lt;/foreign-keys&gt;&lt;ref-type name="Journal Article"&gt;17&lt;/ref-type&gt;&lt;contributors&gt;&lt;authors&gt;&lt;author&gt;Joos, Peter&lt;/author&gt;&lt;author&gt;Piotroski, Joseph D.&lt;/author&gt;&lt;author&gt;Srinivasan, Suraj&lt;/author&gt;&lt;/authors&gt;&lt;/contributors&gt;&lt;titles&gt;&lt;title&gt;Can analysts assess fundamental risk and valuation uncertainty? An empirical analysis of scenario-based value estimates&lt;/title&gt;&lt;secondary-title&gt;Journal of Financial Economics&lt;/secondary-title&gt;&lt;/titles&gt;&lt;periodical&gt;&lt;full-title&gt;Journal of Financial Economics&lt;/full-title&gt;&lt;/periodical&gt;&lt;pages&gt;645-663&lt;/pages&gt;&lt;volume&gt;121&lt;/volume&gt;&lt;number&gt;3&lt;/number&gt;&lt;keywords&gt;&lt;keyword&gt;Analysts&lt;/keyword&gt;&lt;keyword&gt;Fundamental risk assessment&lt;/keyword&gt;&lt;keyword&gt;Scenario-based valuations&lt;/keyword&gt;&lt;keyword&gt;Target prices&lt;/keyword&gt;&lt;/keywords&gt;&lt;dates&gt;&lt;year&gt;2016&lt;/year&gt;&lt;pub-dates&gt;&lt;date&gt;2016/09/01/&lt;/date&gt;&lt;/pub-dates&gt;&lt;/dates&gt;&lt;isbn&gt;0304-405X&lt;/isbn&gt;&lt;urls&gt;&lt;related-urls&gt;&lt;url&gt;http://www.sciencedirect.com/science/article/pii/S0304405X16300836&lt;/url&gt;&lt;/related-urls&gt;&lt;/urls&gt;&lt;electronic-resource-num&gt;https://doi.org/10.1016/j.jfineco.2016.05.003&lt;/electronic-resource-num&gt;&lt;/record&gt;&lt;/Cite&gt;&lt;/EndNote&gt;</w:instrText>
        </w:r>
        <w:r w:rsidR="00A4299A" w:rsidRPr="00D65594">
          <w:rPr>
            <w:rFonts w:ascii="Times New Roman" w:hAnsi="Times New Roman" w:cs="Times New Roman"/>
            <w:sz w:val="24"/>
            <w:szCs w:val="24"/>
          </w:rPr>
          <w:fldChar w:fldCharType="separate"/>
        </w:r>
        <w:r w:rsidR="00A4299A">
          <w:rPr>
            <w:rFonts w:ascii="Times New Roman" w:hAnsi="Times New Roman" w:cs="Times New Roman"/>
            <w:noProof/>
            <w:sz w:val="24"/>
            <w:szCs w:val="24"/>
          </w:rPr>
          <w:t>Joos et al. (2016)</w:t>
        </w:r>
        <w:r w:rsidR="00A4299A" w:rsidRPr="00D65594">
          <w:rPr>
            <w:rFonts w:ascii="Times New Roman" w:hAnsi="Times New Roman" w:cs="Times New Roman"/>
            <w:sz w:val="24"/>
            <w:szCs w:val="24"/>
          </w:rPr>
          <w:fldChar w:fldCharType="end"/>
        </w:r>
      </w:hyperlink>
      <w:r w:rsidR="00E362F5" w:rsidRPr="00D65594">
        <w:rPr>
          <w:rFonts w:ascii="Times New Roman" w:hAnsi="Times New Roman" w:cs="Times New Roman"/>
          <w:sz w:val="24"/>
          <w:szCs w:val="24"/>
        </w:rPr>
        <w:t>, who use the spread in scenario-based analysts’ valuations as a measure of valuation uncertainty.</w:t>
      </w:r>
      <w:r w:rsidR="003A4D2C">
        <w:rPr>
          <w:rFonts w:ascii="Times New Roman" w:hAnsi="Times New Roman" w:cs="Times New Roman"/>
          <w:sz w:val="24"/>
          <w:szCs w:val="24"/>
        </w:rPr>
        <w:t xml:space="preserve"> </w:t>
      </w:r>
    </w:p>
    <w:p w14:paraId="2060657B" w14:textId="7E6269AF" w:rsidR="008642E4" w:rsidRDefault="00BB09AC" w:rsidP="00BB09AC">
      <w:pPr>
        <w:spacing w:before="120" w:after="0" w:line="480" w:lineRule="auto"/>
        <w:jc w:val="center"/>
        <w:rPr>
          <w:rFonts w:ascii="Times New Roman" w:hAnsi="Times New Roman" w:cs="Times New Roman"/>
          <w:b/>
          <w:sz w:val="24"/>
          <w:szCs w:val="24"/>
        </w:rPr>
      </w:pPr>
      <w:r>
        <w:rPr>
          <w:rFonts w:ascii="Times New Roman" w:hAnsi="Times New Roman" w:cs="Times New Roman"/>
          <w:b/>
          <w:sz w:val="24"/>
          <w:szCs w:val="24"/>
        </w:rPr>
        <w:t>III</w:t>
      </w:r>
      <w:r w:rsidR="008642E4">
        <w:rPr>
          <w:rFonts w:ascii="Times New Roman" w:hAnsi="Times New Roman" w:cs="Times New Roman"/>
          <w:b/>
          <w:sz w:val="24"/>
          <w:szCs w:val="24"/>
        </w:rPr>
        <w:t xml:space="preserve">. </w:t>
      </w:r>
      <w:r>
        <w:rPr>
          <w:rFonts w:ascii="Times New Roman" w:hAnsi="Times New Roman" w:cs="Times New Roman"/>
          <w:b/>
          <w:sz w:val="24"/>
          <w:szCs w:val="24"/>
        </w:rPr>
        <w:t>DATA SOURCES AND ESTIMATION RESULTS</w:t>
      </w:r>
    </w:p>
    <w:p w14:paraId="2D21E405" w14:textId="2EB128F9" w:rsidR="005F1BB7" w:rsidRPr="00BB09AC" w:rsidRDefault="005F1BB7" w:rsidP="00C1210B">
      <w:pPr>
        <w:spacing w:after="0" w:line="480" w:lineRule="auto"/>
        <w:jc w:val="both"/>
        <w:rPr>
          <w:rFonts w:ascii="Times New Roman" w:hAnsi="Times New Roman" w:cs="Times New Roman"/>
          <w:b/>
          <w:bCs/>
          <w:iCs/>
          <w:sz w:val="24"/>
          <w:szCs w:val="24"/>
        </w:rPr>
      </w:pPr>
      <w:r w:rsidRPr="00BB09AC">
        <w:rPr>
          <w:rFonts w:ascii="Times New Roman" w:hAnsi="Times New Roman" w:cs="Times New Roman"/>
          <w:b/>
          <w:bCs/>
          <w:iCs/>
          <w:sz w:val="24"/>
          <w:szCs w:val="24"/>
        </w:rPr>
        <w:t xml:space="preserve">Sample </w:t>
      </w:r>
      <w:r w:rsidR="0026178B">
        <w:rPr>
          <w:rFonts w:ascii="Times New Roman" w:hAnsi="Times New Roman" w:cs="Times New Roman"/>
          <w:b/>
          <w:bCs/>
          <w:iCs/>
          <w:sz w:val="24"/>
          <w:szCs w:val="24"/>
        </w:rPr>
        <w:t>S</w:t>
      </w:r>
      <w:r w:rsidRPr="00BB09AC">
        <w:rPr>
          <w:rFonts w:ascii="Times New Roman" w:hAnsi="Times New Roman" w:cs="Times New Roman"/>
          <w:b/>
          <w:bCs/>
          <w:iCs/>
          <w:sz w:val="24"/>
          <w:szCs w:val="24"/>
        </w:rPr>
        <w:t>election</w:t>
      </w:r>
    </w:p>
    <w:p w14:paraId="08356079" w14:textId="724E0D9F" w:rsidR="00F57466" w:rsidRDefault="00966002" w:rsidP="00C1210B">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We start with</w:t>
      </w:r>
      <w:r w:rsidR="00291BF2">
        <w:rPr>
          <w:rFonts w:ascii="Times New Roman" w:hAnsi="Times New Roman" w:cs="Times New Roman"/>
          <w:sz w:val="24"/>
          <w:szCs w:val="24"/>
        </w:rPr>
        <w:t xml:space="preserve"> the</w:t>
      </w:r>
      <w:r w:rsidR="002D520E">
        <w:rPr>
          <w:rFonts w:ascii="Times New Roman" w:hAnsi="Times New Roman" w:cs="Times New Roman"/>
          <w:sz w:val="24"/>
          <w:szCs w:val="24"/>
        </w:rPr>
        <w:t xml:space="preserve"> intersection of CRSP and </w:t>
      </w:r>
      <w:proofErr w:type="spellStart"/>
      <w:r w:rsidR="002D520E">
        <w:rPr>
          <w:rFonts w:ascii="Times New Roman" w:hAnsi="Times New Roman" w:cs="Times New Roman"/>
          <w:sz w:val="24"/>
          <w:szCs w:val="24"/>
        </w:rPr>
        <w:t>Compustat</w:t>
      </w:r>
      <w:proofErr w:type="spellEnd"/>
      <w:r w:rsidR="002D520E">
        <w:rPr>
          <w:rFonts w:ascii="Times New Roman" w:hAnsi="Times New Roman" w:cs="Times New Roman"/>
          <w:sz w:val="24"/>
          <w:szCs w:val="24"/>
        </w:rPr>
        <w:t xml:space="preserve"> databases over the period 197</w:t>
      </w:r>
      <w:r w:rsidR="00291BF2">
        <w:rPr>
          <w:rFonts w:ascii="Times New Roman" w:hAnsi="Times New Roman" w:cs="Times New Roman"/>
          <w:sz w:val="24"/>
          <w:szCs w:val="24"/>
        </w:rPr>
        <w:t xml:space="preserve">4 to </w:t>
      </w:r>
      <w:r w:rsidR="00320054">
        <w:rPr>
          <w:rFonts w:ascii="Times New Roman" w:hAnsi="Times New Roman" w:cs="Times New Roman"/>
          <w:sz w:val="24"/>
          <w:szCs w:val="24"/>
        </w:rPr>
        <w:t>2022</w:t>
      </w:r>
      <w:r w:rsidR="00291BF2">
        <w:rPr>
          <w:rFonts w:ascii="Times New Roman" w:hAnsi="Times New Roman" w:cs="Times New Roman"/>
          <w:sz w:val="24"/>
          <w:szCs w:val="24"/>
        </w:rPr>
        <w:t xml:space="preserve">, although we use </w:t>
      </w:r>
      <w:proofErr w:type="spellStart"/>
      <w:r w:rsidR="00291BF2">
        <w:rPr>
          <w:rFonts w:ascii="Times New Roman" w:hAnsi="Times New Roman" w:cs="Times New Roman"/>
          <w:sz w:val="24"/>
          <w:szCs w:val="24"/>
        </w:rPr>
        <w:t>Compustat</w:t>
      </w:r>
      <w:proofErr w:type="spellEnd"/>
      <w:r w:rsidR="00291BF2">
        <w:rPr>
          <w:rFonts w:ascii="Times New Roman" w:hAnsi="Times New Roman" w:cs="Times New Roman"/>
          <w:sz w:val="24"/>
          <w:szCs w:val="24"/>
        </w:rPr>
        <w:t xml:space="preserve"> data f</w:t>
      </w:r>
      <w:r w:rsidR="00BC3A85">
        <w:rPr>
          <w:rFonts w:ascii="Times New Roman" w:hAnsi="Times New Roman" w:cs="Times New Roman"/>
          <w:sz w:val="24"/>
          <w:szCs w:val="24"/>
        </w:rPr>
        <w:t xml:space="preserve">rom as far back as 1970 </w:t>
      </w:r>
      <w:r w:rsidR="00373398">
        <w:rPr>
          <w:rFonts w:ascii="Times New Roman" w:hAnsi="Times New Roman" w:cs="Times New Roman"/>
          <w:sz w:val="24"/>
          <w:szCs w:val="24"/>
        </w:rPr>
        <w:t>to obtain</w:t>
      </w:r>
      <w:r w:rsidR="00BC3A85">
        <w:rPr>
          <w:rFonts w:ascii="Times New Roman" w:hAnsi="Times New Roman" w:cs="Times New Roman"/>
          <w:sz w:val="24"/>
          <w:szCs w:val="24"/>
        </w:rPr>
        <w:t xml:space="preserve"> lagged observations</w:t>
      </w:r>
      <w:r w:rsidR="00291BF2">
        <w:rPr>
          <w:rFonts w:ascii="Times New Roman" w:hAnsi="Times New Roman" w:cs="Times New Roman"/>
          <w:sz w:val="24"/>
          <w:szCs w:val="24"/>
        </w:rPr>
        <w:t xml:space="preserve"> </w:t>
      </w:r>
      <w:r w:rsidR="008F54F8">
        <w:rPr>
          <w:rFonts w:ascii="Times New Roman" w:hAnsi="Times New Roman" w:cs="Times New Roman"/>
          <w:sz w:val="24"/>
          <w:szCs w:val="24"/>
        </w:rPr>
        <w:t xml:space="preserve">of </w:t>
      </w:r>
      <w:r w:rsidR="00291BF2">
        <w:rPr>
          <w:rFonts w:ascii="Times New Roman" w:hAnsi="Times New Roman" w:cs="Times New Roman"/>
          <w:sz w:val="24"/>
          <w:szCs w:val="24"/>
        </w:rPr>
        <w:t>R&amp;D expenses</w:t>
      </w:r>
      <w:r w:rsidR="002D520E">
        <w:rPr>
          <w:rFonts w:ascii="Times New Roman" w:hAnsi="Times New Roman" w:cs="Times New Roman"/>
          <w:sz w:val="24"/>
          <w:szCs w:val="24"/>
        </w:rPr>
        <w:t xml:space="preserve">. </w:t>
      </w:r>
      <w:r w:rsidR="008F54F8">
        <w:rPr>
          <w:rFonts w:ascii="Times New Roman" w:hAnsi="Times New Roman" w:cs="Times New Roman"/>
          <w:sz w:val="24"/>
          <w:szCs w:val="24"/>
        </w:rPr>
        <w:t xml:space="preserve">Starting our sample period in 1974 ensures </w:t>
      </w:r>
      <w:r w:rsidR="002D520E">
        <w:rPr>
          <w:rFonts w:ascii="Times New Roman" w:hAnsi="Times New Roman" w:cs="Times New Roman"/>
          <w:sz w:val="24"/>
          <w:szCs w:val="24"/>
        </w:rPr>
        <w:t xml:space="preserve">that we have at least </w:t>
      </w:r>
      <w:r w:rsidR="00320054">
        <w:rPr>
          <w:rFonts w:ascii="Times New Roman" w:hAnsi="Times New Roman" w:cs="Times New Roman"/>
          <w:sz w:val="24"/>
          <w:szCs w:val="24"/>
        </w:rPr>
        <w:t xml:space="preserve">20 </w:t>
      </w:r>
      <w:r w:rsidR="002D520E">
        <w:rPr>
          <w:rFonts w:ascii="Times New Roman" w:hAnsi="Times New Roman" w:cs="Times New Roman"/>
          <w:sz w:val="24"/>
          <w:szCs w:val="24"/>
        </w:rPr>
        <w:t>firms in our industry-level estimation in every sample year.</w:t>
      </w:r>
      <w:r w:rsidR="000C4EDE">
        <w:rPr>
          <w:rFonts w:ascii="Times New Roman" w:hAnsi="Times New Roman" w:cs="Times New Roman"/>
          <w:sz w:val="24"/>
          <w:szCs w:val="24"/>
        </w:rPr>
        <w:t xml:space="preserve"> We keep firms that have their common stock </w:t>
      </w:r>
      <w:r w:rsidR="001E2769">
        <w:rPr>
          <w:rFonts w:ascii="Times New Roman" w:hAnsi="Times New Roman" w:cs="Times New Roman"/>
          <w:sz w:val="24"/>
          <w:szCs w:val="24"/>
        </w:rPr>
        <w:t>(CRSP share codes 10 and 11</w:t>
      </w:r>
      <w:r w:rsidR="000C4EDE">
        <w:rPr>
          <w:rFonts w:ascii="Times New Roman" w:hAnsi="Times New Roman" w:cs="Times New Roman"/>
          <w:sz w:val="24"/>
          <w:szCs w:val="24"/>
        </w:rPr>
        <w:t>) listed on NYSE, Amex, and Nasdaq (CRSP exchange codes 1, 2, 3).</w:t>
      </w:r>
      <w:r w:rsidR="002D520E">
        <w:rPr>
          <w:rFonts w:ascii="Times New Roman" w:hAnsi="Times New Roman" w:cs="Times New Roman"/>
          <w:sz w:val="24"/>
          <w:szCs w:val="24"/>
        </w:rPr>
        <w:t xml:space="preserve"> We exclude all financial firms (SIC codes 6000-6999)</w:t>
      </w:r>
      <w:r w:rsidR="00E70BB4">
        <w:rPr>
          <w:rFonts w:ascii="Times New Roman" w:hAnsi="Times New Roman" w:cs="Times New Roman"/>
          <w:sz w:val="24"/>
          <w:szCs w:val="24"/>
        </w:rPr>
        <w:t>,</w:t>
      </w:r>
      <w:r w:rsidR="002D520E">
        <w:rPr>
          <w:rFonts w:ascii="Times New Roman" w:hAnsi="Times New Roman" w:cs="Times New Roman"/>
          <w:sz w:val="24"/>
          <w:szCs w:val="24"/>
        </w:rPr>
        <w:t xml:space="preserve"> because their financial statement information is not comparable to industrial firms and because they are subject to capital regulation.</w:t>
      </w:r>
      <w:r w:rsidR="00E70BB4">
        <w:rPr>
          <w:rFonts w:ascii="Times New Roman" w:hAnsi="Times New Roman" w:cs="Times New Roman"/>
          <w:sz w:val="24"/>
          <w:szCs w:val="24"/>
        </w:rPr>
        <w:t xml:space="preserve"> </w:t>
      </w:r>
      <w:r w:rsidR="00F57466">
        <w:rPr>
          <w:rFonts w:ascii="Times New Roman" w:hAnsi="Times New Roman" w:cs="Times New Roman"/>
          <w:sz w:val="24"/>
          <w:szCs w:val="24"/>
        </w:rPr>
        <w:t>Following</w:t>
      </w:r>
      <w:r w:rsidR="00600D41">
        <w:rPr>
          <w:rFonts w:ascii="Times New Roman" w:hAnsi="Times New Roman" w:cs="Times New Roman"/>
          <w:sz w:val="24"/>
          <w:szCs w:val="24"/>
        </w:rPr>
        <w:t xml:space="preserve"> </w:t>
      </w:r>
      <w:r w:rsidR="00E50039">
        <w:rPr>
          <w:rFonts w:ascii="Times New Roman" w:hAnsi="Times New Roman" w:cs="Times New Roman"/>
          <w:sz w:val="24"/>
          <w:szCs w:val="24"/>
        </w:rPr>
        <w:t xml:space="preserve">RRV </w:t>
      </w:r>
      <w:r w:rsidR="00600D41">
        <w:rPr>
          <w:rFonts w:ascii="Times New Roman" w:hAnsi="Times New Roman" w:cs="Times New Roman"/>
          <w:sz w:val="24"/>
          <w:szCs w:val="24"/>
        </w:rPr>
        <w:t>and</w:t>
      </w:r>
      <w:r w:rsidR="00E50039">
        <w:rPr>
          <w:rFonts w:ascii="Times New Roman" w:hAnsi="Times New Roman" w:cs="Times New Roman"/>
          <w:sz w:val="24"/>
          <w:szCs w:val="24"/>
        </w:rPr>
        <w:t xml:space="preserve"> GK</w:t>
      </w:r>
      <w:r w:rsidR="00F57466">
        <w:rPr>
          <w:rFonts w:ascii="Times New Roman" w:hAnsi="Times New Roman" w:cs="Times New Roman"/>
          <w:sz w:val="24"/>
          <w:szCs w:val="24"/>
        </w:rPr>
        <w:t xml:space="preserve">, we further drop firms with June 30 market capitalizations below $10 million, as illiquidity frictions can prevent </w:t>
      </w:r>
      <w:r w:rsidR="0042433D">
        <w:rPr>
          <w:rFonts w:ascii="Times New Roman" w:hAnsi="Times New Roman" w:cs="Times New Roman"/>
          <w:sz w:val="24"/>
          <w:szCs w:val="24"/>
        </w:rPr>
        <w:t>efficient and informative</w:t>
      </w:r>
      <w:r w:rsidR="00A07212">
        <w:rPr>
          <w:rFonts w:ascii="Times New Roman" w:hAnsi="Times New Roman" w:cs="Times New Roman"/>
          <w:sz w:val="24"/>
          <w:szCs w:val="24"/>
        </w:rPr>
        <w:t xml:space="preserve"> </w:t>
      </w:r>
      <w:r w:rsidR="00F57466">
        <w:rPr>
          <w:rFonts w:ascii="Times New Roman" w:hAnsi="Times New Roman" w:cs="Times New Roman"/>
          <w:sz w:val="24"/>
          <w:szCs w:val="24"/>
        </w:rPr>
        <w:t>pricing of these firms’ shares.</w:t>
      </w:r>
    </w:p>
    <w:p w14:paraId="02C2AE78" w14:textId="1CE4761F" w:rsidR="00D4223E" w:rsidRDefault="00D4223E"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Given our </w:t>
      </w:r>
      <w:r w:rsidR="008F54F8">
        <w:rPr>
          <w:rFonts w:ascii="Times New Roman" w:hAnsi="Times New Roman" w:cs="Times New Roman"/>
          <w:sz w:val="24"/>
          <w:szCs w:val="24"/>
        </w:rPr>
        <w:t xml:space="preserve">task </w:t>
      </w:r>
      <w:r w:rsidR="006147D4">
        <w:rPr>
          <w:rFonts w:ascii="Times New Roman" w:hAnsi="Times New Roman" w:cs="Times New Roman"/>
          <w:sz w:val="24"/>
          <w:szCs w:val="24"/>
        </w:rPr>
        <w:t xml:space="preserve">of </w:t>
      </w:r>
      <w:r>
        <w:rPr>
          <w:rFonts w:ascii="Times New Roman" w:hAnsi="Times New Roman" w:cs="Times New Roman"/>
          <w:sz w:val="24"/>
          <w:szCs w:val="24"/>
        </w:rPr>
        <w:t>map</w:t>
      </w:r>
      <w:r w:rsidR="006147D4">
        <w:rPr>
          <w:rFonts w:ascii="Times New Roman" w:hAnsi="Times New Roman" w:cs="Times New Roman"/>
          <w:sz w:val="24"/>
          <w:szCs w:val="24"/>
        </w:rPr>
        <w:t>ping</w:t>
      </w:r>
      <w:r>
        <w:rPr>
          <w:rFonts w:ascii="Times New Roman" w:hAnsi="Times New Roman" w:cs="Times New Roman"/>
          <w:sz w:val="24"/>
          <w:szCs w:val="24"/>
        </w:rPr>
        <w:t xml:space="preserve"> stock prices into accounting fundamentals, we take extra care to eliminate firms with </w:t>
      </w:r>
      <w:r w:rsidR="00BC3A85">
        <w:rPr>
          <w:rFonts w:ascii="Times New Roman" w:hAnsi="Times New Roman" w:cs="Times New Roman"/>
          <w:sz w:val="24"/>
          <w:szCs w:val="24"/>
        </w:rPr>
        <w:t>multiple classes of common stock (dual class firms)</w:t>
      </w:r>
      <w:r>
        <w:rPr>
          <w:rFonts w:ascii="Times New Roman" w:hAnsi="Times New Roman" w:cs="Times New Roman"/>
          <w:sz w:val="24"/>
          <w:szCs w:val="24"/>
        </w:rPr>
        <w:t>. The vast majority of dual class companies do not have their secondary c</w:t>
      </w:r>
      <w:r w:rsidR="004441B0">
        <w:rPr>
          <w:rFonts w:ascii="Times New Roman" w:hAnsi="Times New Roman" w:cs="Times New Roman"/>
          <w:sz w:val="24"/>
          <w:szCs w:val="24"/>
        </w:rPr>
        <w:t>lass publicly traded (</w:t>
      </w:r>
      <w:hyperlink w:anchor="_ENREF_40" w:tooltip="Gompers, 2010 #829"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AuthorYear="1"&gt;&lt;Author&gt;Gompers&lt;/Author&gt;&lt;Year&gt;2010&lt;/Year&gt;&lt;RecNum&gt;829&lt;/RecNum&gt;&lt;DisplayText&gt;Gompers, Ishii, and Metrick (2010)&lt;/DisplayText&gt;&lt;record&gt;&lt;rec-number&gt;829&lt;/rec-number&gt;&lt;foreign-keys&gt;&lt;key app="EN" db-id="a00ppf5vbz2zw4efraqp9recxrvdwwtasszf" timestamp="1636055773"&gt;829&lt;/key&gt;&lt;/foreign-keys&gt;&lt;ref-type name="Journal Article"&gt;17&lt;/ref-type&gt;&lt;contributors&gt;&lt;authors&gt;&lt;author&gt;Gompers, Paul A.&lt;/author&gt;&lt;author&gt;Ishii, Joy&lt;/author&gt;&lt;author&gt;Metrick, Andrew&lt;/author&gt;&lt;/authors&gt;&lt;/contributors&gt;&lt;titles&gt;&lt;title&gt;Extreme Governance: An Analysis of Dual-Class Firms in the United States&lt;/title&gt;&lt;secondary-title&gt;Review of Financial Studies&lt;/secondary-title&gt;&lt;/titles&gt;&lt;periodical&gt;&lt;full-title&gt;Review of Financial Studies&lt;/full-title&gt;&lt;/periodical&gt;&lt;pages&gt;1051-1088&lt;/pages&gt;&lt;volume&gt;23&lt;/volume&gt;&lt;number&gt;3&lt;/number&gt;&lt;keywords&gt;&lt;keyword&gt;CORPORATE governance&lt;/keyword&gt;&lt;keyword&gt;RESEARCH&lt;/keyword&gt;&lt;keyword&gt;DUAL class stocks&lt;/keyword&gt;&lt;keyword&gt;STOCKS (Finance)&lt;/keyword&gt;&lt;keyword&gt;STOCKHOLDERS&amp;apos; pre-emptive rights&lt;/keyword&gt;&lt;keyword&gt;STOCKHOLDERS&amp;apos; voting&lt;/keyword&gt;&lt;keyword&gt;INSIDER trading in securities&lt;/keyword&gt;&lt;keyword&gt;CORPORATE finance&lt;/keyword&gt;&lt;keyword&gt;INVESTOR relations (Corporations)&lt;/keyword&gt;&lt;/keywords&gt;&lt;dates&gt;&lt;year&gt;2010&lt;/year&gt;&lt;/dates&gt;&lt;isbn&gt;08939454&lt;/isbn&gt;&lt;accession-num&gt;49779324&lt;/accession-num&gt;&lt;work-type&gt;Article&lt;/work-type&gt;&lt;urls&gt;&lt;related-urls&gt;&lt;url&gt;http://search.ebscohost.com/login.aspx?direct=true&amp;amp;db=buh&amp;amp;AN=49779324&amp;amp;site=ehost-live&lt;/url&gt;&lt;/related-urls&gt;&lt;/urls&gt;&lt;electronic-resource-num&gt;10.1093/rfs/hhp024&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Gompers, Ishii, and Metrick (2010)</w:t>
        </w:r>
        <w:r w:rsidR="00A4299A">
          <w:rPr>
            <w:rFonts w:ascii="Times New Roman" w:hAnsi="Times New Roman" w:cs="Times New Roman"/>
            <w:sz w:val="24"/>
            <w:szCs w:val="24"/>
          </w:rPr>
          <w:fldChar w:fldCharType="end"/>
        </w:r>
      </w:hyperlink>
      <w:r w:rsidR="004441B0">
        <w:rPr>
          <w:rFonts w:ascii="Times New Roman" w:hAnsi="Times New Roman" w:cs="Times New Roman"/>
          <w:sz w:val="24"/>
          <w:szCs w:val="24"/>
        </w:rPr>
        <w:t>), meaning</w:t>
      </w:r>
      <w:r>
        <w:rPr>
          <w:rFonts w:ascii="Times New Roman" w:hAnsi="Times New Roman" w:cs="Times New Roman"/>
          <w:sz w:val="24"/>
          <w:szCs w:val="24"/>
        </w:rPr>
        <w:t xml:space="preserve"> that the market capitalization from CRSP does not reflect the entire</w:t>
      </w:r>
      <w:r w:rsidR="004441B0">
        <w:rPr>
          <w:rFonts w:ascii="Times New Roman" w:hAnsi="Times New Roman" w:cs="Times New Roman"/>
          <w:sz w:val="24"/>
          <w:szCs w:val="24"/>
        </w:rPr>
        <w:t xml:space="preserve"> </w:t>
      </w:r>
      <w:r>
        <w:rPr>
          <w:rFonts w:ascii="Times New Roman" w:hAnsi="Times New Roman" w:cs="Times New Roman"/>
          <w:sz w:val="24"/>
          <w:szCs w:val="24"/>
        </w:rPr>
        <w:t>equity capital</w:t>
      </w:r>
      <w:r w:rsidR="0047687A">
        <w:rPr>
          <w:rFonts w:ascii="Times New Roman" w:hAnsi="Times New Roman" w:cs="Times New Roman"/>
          <w:sz w:val="24"/>
          <w:szCs w:val="24"/>
        </w:rPr>
        <w:t xml:space="preserve"> of dual class firms</w:t>
      </w:r>
      <w:r>
        <w:rPr>
          <w:rFonts w:ascii="Times New Roman" w:hAnsi="Times New Roman" w:cs="Times New Roman"/>
          <w:sz w:val="24"/>
          <w:szCs w:val="24"/>
        </w:rPr>
        <w:t xml:space="preserve">. At the same time, book value of common equity from </w:t>
      </w:r>
      <w:proofErr w:type="spellStart"/>
      <w:r>
        <w:rPr>
          <w:rFonts w:ascii="Times New Roman" w:hAnsi="Times New Roman" w:cs="Times New Roman"/>
          <w:sz w:val="24"/>
          <w:szCs w:val="24"/>
        </w:rPr>
        <w:t>Compustat</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reflects value</w:t>
      </w:r>
      <w:r w:rsidR="00274C89">
        <w:rPr>
          <w:rFonts w:ascii="Times New Roman" w:hAnsi="Times New Roman" w:cs="Times New Roman"/>
          <w:sz w:val="24"/>
          <w:szCs w:val="24"/>
        </w:rPr>
        <w:t xml:space="preserve"> that is</w:t>
      </w:r>
      <w:r>
        <w:rPr>
          <w:rFonts w:ascii="Times New Roman" w:hAnsi="Times New Roman" w:cs="Times New Roman"/>
          <w:sz w:val="24"/>
          <w:szCs w:val="24"/>
        </w:rPr>
        <w:t xml:space="preserve"> attributable to holders of all classes of common stock, </w:t>
      </w:r>
      <w:r w:rsidR="009A5C53">
        <w:rPr>
          <w:rFonts w:ascii="Times New Roman" w:hAnsi="Times New Roman" w:cs="Times New Roman"/>
          <w:sz w:val="24"/>
          <w:szCs w:val="24"/>
        </w:rPr>
        <w:t>resulting in</w:t>
      </w:r>
      <w:r>
        <w:rPr>
          <w:rFonts w:ascii="Times New Roman" w:hAnsi="Times New Roman" w:cs="Times New Roman"/>
          <w:sz w:val="24"/>
          <w:szCs w:val="24"/>
        </w:rPr>
        <w:t xml:space="preserve"> a mismatch.</w:t>
      </w:r>
      <w:r w:rsidR="004441B0">
        <w:rPr>
          <w:rFonts w:ascii="Times New Roman" w:hAnsi="Times New Roman" w:cs="Times New Roman"/>
          <w:sz w:val="24"/>
          <w:szCs w:val="24"/>
        </w:rPr>
        <w:t xml:space="preserve"> We eliminate dual class </w:t>
      </w:r>
      <w:r w:rsidR="009A5C53">
        <w:rPr>
          <w:rFonts w:ascii="Times New Roman" w:hAnsi="Times New Roman" w:cs="Times New Roman"/>
          <w:sz w:val="24"/>
          <w:szCs w:val="24"/>
        </w:rPr>
        <w:t>firms</w:t>
      </w:r>
      <w:r w:rsidR="004441B0">
        <w:rPr>
          <w:rFonts w:ascii="Times New Roman" w:hAnsi="Times New Roman" w:cs="Times New Roman"/>
          <w:sz w:val="24"/>
          <w:szCs w:val="24"/>
        </w:rPr>
        <w:t xml:space="preserve"> using a four-step</w:t>
      </w:r>
      <w:r w:rsidR="009A5C53">
        <w:rPr>
          <w:rFonts w:ascii="Times New Roman" w:hAnsi="Times New Roman" w:cs="Times New Roman"/>
          <w:sz w:val="24"/>
          <w:szCs w:val="24"/>
        </w:rPr>
        <w:t xml:space="preserve"> process</w:t>
      </w:r>
      <w:r w:rsidR="006147D4">
        <w:rPr>
          <w:rFonts w:ascii="Times New Roman" w:hAnsi="Times New Roman" w:cs="Times New Roman"/>
          <w:sz w:val="24"/>
          <w:szCs w:val="24"/>
        </w:rPr>
        <w:t xml:space="preserve"> similar to that in</w:t>
      </w:r>
      <w:r w:rsidR="008F54F8">
        <w:rPr>
          <w:rFonts w:ascii="Times New Roman" w:hAnsi="Times New Roman" w:cs="Times New Roman"/>
          <w:sz w:val="24"/>
          <w:szCs w:val="24"/>
        </w:rPr>
        <w:t xml:space="preserve"> </w:t>
      </w:r>
      <w:hyperlink w:anchor="_ENREF_40" w:tooltip="Gompers, 2010 #829"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AuthorYear="1"&gt;&lt;Author&gt;Gompers&lt;/Author&gt;&lt;Year&gt;2010&lt;/Year&gt;&lt;RecNum&gt;829&lt;/RecNum&gt;&lt;DisplayText&gt;Gompers et al. (2010)&lt;/DisplayText&gt;&lt;record&gt;&lt;rec-number&gt;829&lt;/rec-number&gt;&lt;foreign-keys&gt;&lt;key app="EN" db-id="a00ppf5vbz2zw4efraqp9recxrvdwwtasszf" timestamp="1636055773"&gt;829&lt;/key&gt;&lt;/foreign-keys&gt;&lt;ref-type name="Journal Article"&gt;17&lt;/ref-type&gt;&lt;contributors&gt;&lt;authors&gt;&lt;author&gt;Gompers, Paul A.&lt;/author&gt;&lt;author&gt;Ishii, Joy&lt;/author&gt;&lt;author&gt;Metrick, Andrew&lt;/author&gt;&lt;/authors&gt;&lt;/contributors&gt;&lt;titles&gt;&lt;title&gt;Extreme Governance: An Analysis of Dual-Class Firms in the United States&lt;/title&gt;&lt;secondary-title&gt;Review of Financial Studies&lt;/secondary-title&gt;&lt;/titles&gt;&lt;periodical&gt;&lt;full-title&gt;Review of Financial Studies&lt;/full-title&gt;&lt;/periodical&gt;&lt;pages&gt;1051-1088&lt;/pages&gt;&lt;volume&gt;23&lt;/volume&gt;&lt;number&gt;3&lt;/number&gt;&lt;keywords&gt;&lt;keyword&gt;CORPORATE governance&lt;/keyword&gt;&lt;keyword&gt;RESEARCH&lt;/keyword&gt;&lt;keyword&gt;DUAL class stocks&lt;/keyword&gt;&lt;keyword&gt;STOCKS (Finance)&lt;/keyword&gt;&lt;keyword&gt;STOCKHOLDERS&amp;apos; pre-emptive rights&lt;/keyword&gt;&lt;keyword&gt;STOCKHOLDERS&amp;apos; voting&lt;/keyword&gt;&lt;keyword&gt;INSIDER trading in securities&lt;/keyword&gt;&lt;keyword&gt;CORPORATE finance&lt;/keyword&gt;&lt;keyword&gt;INVESTOR relations (Corporations)&lt;/keyword&gt;&lt;/keywords&gt;&lt;dates&gt;&lt;year&gt;2010&lt;/year&gt;&lt;/dates&gt;&lt;isbn&gt;08939454&lt;/isbn&gt;&lt;accession-num&gt;49779324&lt;/accession-num&gt;&lt;work-type&gt;Article&lt;/work-type&gt;&lt;urls&gt;&lt;related-urls&gt;&lt;url&gt;http://search.ebscohost.com/login.aspx?direct=true&amp;amp;db=buh&amp;amp;AN=49779324&amp;amp;site=ehost-live&lt;/url&gt;&lt;/related-urls&gt;&lt;/urls&gt;&lt;electronic-resource-num&gt;10.1093/rfs/hhp024&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Gompers et al. (2010)</w:t>
        </w:r>
        <w:r w:rsidR="00A4299A">
          <w:rPr>
            <w:rFonts w:ascii="Times New Roman" w:hAnsi="Times New Roman" w:cs="Times New Roman"/>
            <w:sz w:val="24"/>
            <w:szCs w:val="24"/>
          </w:rPr>
          <w:fldChar w:fldCharType="end"/>
        </w:r>
      </w:hyperlink>
      <w:r w:rsidR="004441B0">
        <w:rPr>
          <w:rFonts w:ascii="Times New Roman" w:hAnsi="Times New Roman" w:cs="Times New Roman"/>
          <w:sz w:val="24"/>
          <w:szCs w:val="24"/>
        </w:rPr>
        <w:t>.</w:t>
      </w:r>
      <w:r w:rsidR="00220553">
        <w:rPr>
          <w:rStyle w:val="FootnoteReference"/>
          <w:rFonts w:ascii="Times New Roman" w:hAnsi="Times New Roman" w:cs="Times New Roman"/>
          <w:sz w:val="24"/>
          <w:szCs w:val="24"/>
        </w:rPr>
        <w:footnoteReference w:id="15"/>
      </w:r>
      <w:r w:rsidR="007F03C1">
        <w:rPr>
          <w:rFonts w:ascii="Times New Roman" w:hAnsi="Times New Roman" w:cs="Times New Roman"/>
          <w:sz w:val="24"/>
          <w:szCs w:val="24"/>
        </w:rPr>
        <w:t xml:space="preserve"> Th</w:t>
      </w:r>
      <w:r w:rsidR="00782F8D">
        <w:rPr>
          <w:rFonts w:ascii="Times New Roman" w:hAnsi="Times New Roman" w:cs="Times New Roman"/>
          <w:sz w:val="24"/>
          <w:szCs w:val="24"/>
        </w:rPr>
        <w:t>is</w:t>
      </w:r>
      <w:r w:rsidR="007F03C1">
        <w:rPr>
          <w:rFonts w:ascii="Times New Roman" w:hAnsi="Times New Roman" w:cs="Times New Roman"/>
          <w:sz w:val="24"/>
          <w:szCs w:val="24"/>
        </w:rPr>
        <w:t xml:space="preserve"> e</w:t>
      </w:r>
      <w:r w:rsidR="002D0DA8">
        <w:rPr>
          <w:rFonts w:ascii="Times New Roman" w:hAnsi="Times New Roman" w:cs="Times New Roman"/>
          <w:sz w:val="24"/>
          <w:szCs w:val="24"/>
        </w:rPr>
        <w:t>liminate</w:t>
      </w:r>
      <w:r w:rsidR="00782F8D">
        <w:rPr>
          <w:rFonts w:ascii="Times New Roman" w:hAnsi="Times New Roman" w:cs="Times New Roman"/>
          <w:sz w:val="24"/>
          <w:szCs w:val="24"/>
        </w:rPr>
        <w:t>s</w:t>
      </w:r>
      <w:r w:rsidR="002D0DA8">
        <w:rPr>
          <w:rFonts w:ascii="Times New Roman" w:hAnsi="Times New Roman" w:cs="Times New Roman"/>
          <w:sz w:val="24"/>
          <w:szCs w:val="24"/>
        </w:rPr>
        <w:t xml:space="preserve"> 7.</w:t>
      </w:r>
      <w:r w:rsidR="00DA7C6D">
        <w:rPr>
          <w:rFonts w:ascii="Times New Roman" w:hAnsi="Times New Roman" w:cs="Times New Roman"/>
          <w:sz w:val="24"/>
          <w:szCs w:val="24"/>
        </w:rPr>
        <w:t>85</w:t>
      </w:r>
      <w:r w:rsidR="002D0DA8">
        <w:rPr>
          <w:rFonts w:ascii="Times New Roman" w:hAnsi="Times New Roman" w:cs="Times New Roman"/>
          <w:sz w:val="24"/>
          <w:szCs w:val="24"/>
        </w:rPr>
        <w:t xml:space="preserve">% </w:t>
      </w:r>
      <w:r w:rsidR="00745738">
        <w:rPr>
          <w:rFonts w:ascii="Times New Roman" w:hAnsi="Times New Roman" w:cs="Times New Roman"/>
          <w:sz w:val="24"/>
          <w:szCs w:val="24"/>
        </w:rPr>
        <w:t xml:space="preserve">of </w:t>
      </w:r>
      <w:r w:rsidR="002D0DA8">
        <w:rPr>
          <w:rFonts w:ascii="Times New Roman" w:hAnsi="Times New Roman" w:cs="Times New Roman"/>
          <w:sz w:val="24"/>
          <w:szCs w:val="24"/>
        </w:rPr>
        <w:t>unique firms that account for 9.7</w:t>
      </w:r>
      <w:r w:rsidR="00DA7C6D">
        <w:rPr>
          <w:rFonts w:ascii="Times New Roman" w:hAnsi="Times New Roman" w:cs="Times New Roman"/>
          <w:sz w:val="24"/>
          <w:szCs w:val="24"/>
        </w:rPr>
        <w:t>7</w:t>
      </w:r>
      <w:r w:rsidR="002D0DA8">
        <w:rPr>
          <w:rFonts w:ascii="Times New Roman" w:hAnsi="Times New Roman" w:cs="Times New Roman"/>
          <w:sz w:val="24"/>
          <w:szCs w:val="24"/>
        </w:rPr>
        <w:t>% of firm-year observations</w:t>
      </w:r>
      <w:r w:rsidR="007F03C1">
        <w:rPr>
          <w:rFonts w:ascii="Times New Roman" w:hAnsi="Times New Roman" w:cs="Times New Roman"/>
          <w:sz w:val="24"/>
          <w:szCs w:val="24"/>
        </w:rPr>
        <w:t>.</w:t>
      </w:r>
    </w:p>
    <w:p w14:paraId="01ABE107" w14:textId="198F0D9B" w:rsidR="007F03C1" w:rsidRDefault="00A51D91"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Next, w</w:t>
      </w:r>
      <w:r w:rsidR="000F6B24">
        <w:rPr>
          <w:rFonts w:ascii="Times New Roman" w:hAnsi="Times New Roman" w:cs="Times New Roman"/>
          <w:sz w:val="24"/>
          <w:szCs w:val="24"/>
        </w:rPr>
        <w:t xml:space="preserve">e </w:t>
      </w:r>
      <w:r>
        <w:rPr>
          <w:rFonts w:ascii="Times New Roman" w:hAnsi="Times New Roman" w:cs="Times New Roman"/>
          <w:sz w:val="24"/>
          <w:szCs w:val="24"/>
        </w:rPr>
        <w:t>drop</w:t>
      </w:r>
      <w:r w:rsidR="000F6B24">
        <w:rPr>
          <w:rFonts w:ascii="Times New Roman" w:hAnsi="Times New Roman" w:cs="Times New Roman"/>
          <w:sz w:val="24"/>
          <w:szCs w:val="24"/>
        </w:rPr>
        <w:t xml:space="preserve"> observations with missing</w:t>
      </w:r>
      <w:r w:rsidR="004B10FB">
        <w:rPr>
          <w:rFonts w:ascii="Times New Roman" w:hAnsi="Times New Roman" w:cs="Times New Roman"/>
          <w:sz w:val="24"/>
          <w:szCs w:val="24"/>
        </w:rPr>
        <w:t xml:space="preserve"> valuation model inputs</w:t>
      </w:r>
      <w:r w:rsidR="000F6B24">
        <w:rPr>
          <w:rFonts w:ascii="Times New Roman" w:hAnsi="Times New Roman" w:cs="Times New Roman"/>
          <w:sz w:val="24"/>
          <w:szCs w:val="24"/>
        </w:rPr>
        <w:t xml:space="preserve">. </w:t>
      </w:r>
      <w:r w:rsidR="00274C89">
        <w:rPr>
          <w:rFonts w:ascii="Times New Roman" w:hAnsi="Times New Roman" w:cs="Times New Roman"/>
          <w:sz w:val="24"/>
          <w:szCs w:val="24"/>
        </w:rPr>
        <w:t>Finally, w</w:t>
      </w:r>
      <w:r w:rsidR="000F6B24">
        <w:rPr>
          <w:rFonts w:ascii="Times New Roman" w:hAnsi="Times New Roman" w:cs="Times New Roman"/>
          <w:sz w:val="24"/>
          <w:szCs w:val="24"/>
        </w:rPr>
        <w:t>e</w:t>
      </w:r>
      <w:r w:rsidR="00B87087">
        <w:rPr>
          <w:rFonts w:ascii="Times New Roman" w:hAnsi="Times New Roman" w:cs="Times New Roman"/>
          <w:sz w:val="24"/>
          <w:szCs w:val="24"/>
        </w:rPr>
        <w:t xml:space="preserve"> treat </w:t>
      </w:r>
      <w:r w:rsidR="000F6B24">
        <w:rPr>
          <w:rFonts w:ascii="Times New Roman" w:hAnsi="Times New Roman" w:cs="Times New Roman"/>
          <w:sz w:val="24"/>
          <w:szCs w:val="24"/>
        </w:rPr>
        <w:t xml:space="preserve">outliers in </w:t>
      </w:r>
      <w:r w:rsidR="007602D2">
        <w:rPr>
          <w:rFonts w:ascii="Times New Roman" w:hAnsi="Times New Roman" w:cs="Times New Roman"/>
          <w:sz w:val="24"/>
          <w:szCs w:val="24"/>
        </w:rPr>
        <w:t>the</w:t>
      </w:r>
      <w:r w:rsidR="000F6B24">
        <w:rPr>
          <w:rFonts w:ascii="Times New Roman" w:hAnsi="Times New Roman" w:cs="Times New Roman"/>
          <w:sz w:val="24"/>
          <w:szCs w:val="24"/>
        </w:rPr>
        <w:t xml:space="preserve"> valuation model predictors by dropping observations with </w:t>
      </w:r>
      <w:r w:rsidR="006A2DEE">
        <w:rPr>
          <w:rFonts w:ascii="Times New Roman" w:hAnsi="Times New Roman" w:cs="Times New Roman"/>
          <w:sz w:val="24"/>
          <w:szCs w:val="24"/>
        </w:rPr>
        <w:t>book-to-market</w:t>
      </w:r>
      <w:r w:rsidR="000F6B24">
        <w:rPr>
          <w:rFonts w:ascii="Times New Roman" w:hAnsi="Times New Roman" w:cs="Times New Roman"/>
          <w:sz w:val="24"/>
          <w:szCs w:val="24"/>
        </w:rPr>
        <w:t xml:space="preserve"> ratios outside the range </w:t>
      </w:r>
      <w:r w:rsidR="006A2DEE">
        <w:rPr>
          <w:rFonts w:ascii="Times New Roman" w:hAnsi="Times New Roman" w:cs="Times New Roman"/>
          <w:sz w:val="24"/>
          <w:szCs w:val="24"/>
        </w:rPr>
        <w:t>[</w:t>
      </w:r>
      <w:r w:rsidR="000F6B24">
        <w:rPr>
          <w:rFonts w:ascii="Times New Roman" w:hAnsi="Times New Roman" w:cs="Times New Roman"/>
          <w:sz w:val="24"/>
          <w:szCs w:val="24"/>
        </w:rPr>
        <w:t>0.</w:t>
      </w:r>
      <w:r w:rsidR="006A2DEE">
        <w:rPr>
          <w:rFonts w:ascii="Times New Roman" w:hAnsi="Times New Roman" w:cs="Times New Roman"/>
          <w:sz w:val="24"/>
          <w:szCs w:val="24"/>
        </w:rPr>
        <w:t>01,</w:t>
      </w:r>
      <w:r w:rsidR="000F6B24">
        <w:rPr>
          <w:rFonts w:ascii="Times New Roman" w:hAnsi="Times New Roman" w:cs="Times New Roman"/>
          <w:sz w:val="24"/>
          <w:szCs w:val="24"/>
        </w:rPr>
        <w:t xml:space="preserve"> 100</w:t>
      </w:r>
      <w:r w:rsidR="006A2DEE">
        <w:rPr>
          <w:rFonts w:ascii="Times New Roman" w:hAnsi="Times New Roman" w:cs="Times New Roman"/>
          <w:sz w:val="24"/>
          <w:szCs w:val="24"/>
        </w:rPr>
        <w:t>]</w:t>
      </w:r>
      <w:r w:rsidR="000F6B24">
        <w:rPr>
          <w:rFonts w:ascii="Times New Roman" w:hAnsi="Times New Roman" w:cs="Times New Roman"/>
          <w:sz w:val="24"/>
          <w:szCs w:val="24"/>
        </w:rPr>
        <w:t xml:space="preserve">, book leverage outside the range </w:t>
      </w:r>
      <w:r w:rsidR="006A2DEE">
        <w:rPr>
          <w:rFonts w:ascii="Times New Roman" w:hAnsi="Times New Roman" w:cs="Times New Roman"/>
          <w:sz w:val="24"/>
          <w:szCs w:val="24"/>
        </w:rPr>
        <w:t xml:space="preserve">[0, </w:t>
      </w:r>
      <w:r w:rsidR="000F6B24">
        <w:rPr>
          <w:rFonts w:ascii="Times New Roman" w:hAnsi="Times New Roman" w:cs="Times New Roman"/>
          <w:sz w:val="24"/>
          <w:szCs w:val="24"/>
        </w:rPr>
        <w:t>1</w:t>
      </w:r>
      <w:r w:rsidR="006A2DEE">
        <w:rPr>
          <w:rFonts w:ascii="Times New Roman" w:hAnsi="Times New Roman" w:cs="Times New Roman"/>
          <w:sz w:val="24"/>
          <w:szCs w:val="24"/>
        </w:rPr>
        <w:t>]</w:t>
      </w:r>
      <w:r w:rsidR="000F6B24">
        <w:rPr>
          <w:rFonts w:ascii="Times New Roman" w:hAnsi="Times New Roman" w:cs="Times New Roman"/>
          <w:sz w:val="24"/>
          <w:szCs w:val="24"/>
        </w:rPr>
        <w:t xml:space="preserve">, ROE outside the range </w:t>
      </w:r>
      <w:r w:rsidR="006A2DEE">
        <w:rPr>
          <w:rFonts w:ascii="Times New Roman" w:hAnsi="Times New Roman" w:cs="Times New Roman"/>
          <w:sz w:val="24"/>
          <w:szCs w:val="24"/>
        </w:rPr>
        <w:t>[</w:t>
      </w:r>
      <w:r w:rsidR="000F6B24">
        <w:rPr>
          <w:rFonts w:ascii="Times New Roman" w:hAnsi="Times New Roman" w:cs="Times New Roman"/>
          <w:sz w:val="24"/>
          <w:szCs w:val="24"/>
        </w:rPr>
        <w:softHyphen/>
        <w:t>–</w:t>
      </w:r>
      <w:r w:rsidR="006A2DEE">
        <w:rPr>
          <w:rFonts w:ascii="Times New Roman" w:hAnsi="Times New Roman" w:cs="Times New Roman"/>
          <w:sz w:val="24"/>
          <w:szCs w:val="24"/>
        </w:rPr>
        <w:t xml:space="preserve">1, </w:t>
      </w:r>
      <w:r w:rsidR="000F6B24">
        <w:rPr>
          <w:rFonts w:ascii="Times New Roman" w:hAnsi="Times New Roman" w:cs="Times New Roman"/>
          <w:sz w:val="24"/>
          <w:szCs w:val="24"/>
        </w:rPr>
        <w:t>1</w:t>
      </w:r>
      <w:r w:rsidR="006A2DEE">
        <w:rPr>
          <w:rFonts w:ascii="Times New Roman" w:hAnsi="Times New Roman" w:cs="Times New Roman"/>
          <w:sz w:val="24"/>
          <w:szCs w:val="24"/>
        </w:rPr>
        <w:t>]</w:t>
      </w:r>
      <w:r w:rsidR="000F6B24">
        <w:rPr>
          <w:rFonts w:ascii="Times New Roman" w:hAnsi="Times New Roman" w:cs="Times New Roman"/>
          <w:sz w:val="24"/>
          <w:szCs w:val="24"/>
        </w:rPr>
        <w:t>, as well as</w:t>
      </w:r>
      <w:r w:rsidR="006A2DEE">
        <w:rPr>
          <w:rFonts w:ascii="Times New Roman" w:hAnsi="Times New Roman" w:cs="Times New Roman"/>
          <w:sz w:val="24"/>
          <w:szCs w:val="24"/>
        </w:rPr>
        <w:t xml:space="preserve"> observations in the</w:t>
      </w:r>
      <w:r w:rsidR="000F6B24">
        <w:rPr>
          <w:rFonts w:ascii="Times New Roman" w:hAnsi="Times New Roman" w:cs="Times New Roman"/>
          <w:sz w:val="24"/>
          <w:szCs w:val="24"/>
        </w:rPr>
        <w:t xml:space="preserve"> top and bottom 1% of R</w:t>
      </w:r>
      <w:r w:rsidR="003B3A76">
        <w:rPr>
          <w:rFonts w:ascii="Times New Roman" w:hAnsi="Times New Roman" w:cs="Times New Roman"/>
          <w:sz w:val="24"/>
          <w:szCs w:val="24"/>
        </w:rPr>
        <w:t>&amp;</w:t>
      </w:r>
      <w:r w:rsidR="000F6B24">
        <w:rPr>
          <w:rFonts w:ascii="Times New Roman" w:hAnsi="Times New Roman" w:cs="Times New Roman"/>
          <w:sz w:val="24"/>
          <w:szCs w:val="24"/>
        </w:rPr>
        <w:t>D</w:t>
      </w:r>
      <w:r w:rsidR="006A2DEE">
        <w:rPr>
          <w:rFonts w:ascii="Times New Roman" w:hAnsi="Times New Roman" w:cs="Times New Roman"/>
          <w:sz w:val="24"/>
          <w:szCs w:val="24"/>
        </w:rPr>
        <w:t xml:space="preserve"> </w:t>
      </w:r>
      <w:r w:rsidR="004C7A53">
        <w:rPr>
          <w:rFonts w:ascii="Times New Roman" w:hAnsi="Times New Roman" w:cs="Times New Roman"/>
          <w:sz w:val="24"/>
          <w:szCs w:val="24"/>
        </w:rPr>
        <w:t>ca</w:t>
      </w:r>
      <w:r w:rsidR="00291BF2">
        <w:rPr>
          <w:rFonts w:ascii="Times New Roman" w:hAnsi="Times New Roman" w:cs="Times New Roman"/>
          <w:sz w:val="24"/>
          <w:szCs w:val="24"/>
        </w:rPr>
        <w:t>p</w:t>
      </w:r>
      <w:r w:rsidR="004C7A53">
        <w:rPr>
          <w:rFonts w:ascii="Times New Roman" w:hAnsi="Times New Roman" w:cs="Times New Roman"/>
          <w:sz w:val="24"/>
          <w:szCs w:val="24"/>
        </w:rPr>
        <w:t>ital-to-</w:t>
      </w:r>
      <w:r w:rsidR="000F6B24">
        <w:rPr>
          <w:rFonts w:ascii="Times New Roman" w:hAnsi="Times New Roman" w:cs="Times New Roman"/>
          <w:sz w:val="24"/>
          <w:szCs w:val="24"/>
        </w:rPr>
        <w:t xml:space="preserve">assets. </w:t>
      </w:r>
      <w:r w:rsidR="00291BF2">
        <w:rPr>
          <w:rFonts w:ascii="Times New Roman" w:hAnsi="Times New Roman" w:cs="Times New Roman"/>
          <w:sz w:val="24"/>
          <w:szCs w:val="24"/>
        </w:rPr>
        <w:t xml:space="preserve">The remaining </w:t>
      </w:r>
      <w:r w:rsidR="00D252F9">
        <w:rPr>
          <w:rFonts w:ascii="Times New Roman" w:hAnsi="Times New Roman" w:cs="Times New Roman"/>
          <w:sz w:val="24"/>
          <w:szCs w:val="24"/>
        </w:rPr>
        <w:t xml:space="preserve">sample of </w:t>
      </w:r>
      <w:r w:rsidR="00320054">
        <w:rPr>
          <w:rFonts w:ascii="Times New Roman" w:hAnsi="Times New Roman" w:cs="Times New Roman"/>
          <w:sz w:val="24"/>
          <w:szCs w:val="24"/>
        </w:rPr>
        <w:t>129,074</w:t>
      </w:r>
      <w:r w:rsidR="00D252F9">
        <w:rPr>
          <w:rFonts w:ascii="Times New Roman" w:hAnsi="Times New Roman" w:cs="Times New Roman"/>
          <w:sz w:val="24"/>
          <w:szCs w:val="24"/>
        </w:rPr>
        <w:t xml:space="preserve"> firm-</w:t>
      </w:r>
      <w:r w:rsidR="00291BF2">
        <w:rPr>
          <w:rFonts w:ascii="Times New Roman" w:hAnsi="Times New Roman" w:cs="Times New Roman"/>
          <w:sz w:val="24"/>
          <w:szCs w:val="24"/>
        </w:rPr>
        <w:t>year observations over the period 1974-</w:t>
      </w:r>
      <w:r w:rsidR="00320054">
        <w:rPr>
          <w:rFonts w:ascii="Times New Roman" w:hAnsi="Times New Roman" w:cs="Times New Roman"/>
          <w:sz w:val="24"/>
          <w:szCs w:val="24"/>
        </w:rPr>
        <w:t xml:space="preserve">2022 </w:t>
      </w:r>
      <w:r w:rsidR="00291BF2">
        <w:rPr>
          <w:rFonts w:ascii="Times New Roman" w:hAnsi="Times New Roman" w:cs="Times New Roman"/>
          <w:sz w:val="24"/>
          <w:szCs w:val="24"/>
        </w:rPr>
        <w:t>forms</w:t>
      </w:r>
      <w:r w:rsidR="00DF14A8">
        <w:rPr>
          <w:rFonts w:ascii="Times New Roman" w:hAnsi="Times New Roman" w:cs="Times New Roman"/>
          <w:sz w:val="24"/>
          <w:szCs w:val="24"/>
        </w:rPr>
        <w:t xml:space="preserve"> the basis of our valuation model estimation. Table </w:t>
      </w:r>
      <w:r w:rsidR="0030742B">
        <w:rPr>
          <w:rFonts w:ascii="Times New Roman" w:hAnsi="Times New Roman" w:cs="Times New Roman"/>
          <w:sz w:val="24"/>
          <w:szCs w:val="24"/>
        </w:rPr>
        <w:t>A</w:t>
      </w:r>
      <w:r>
        <w:rPr>
          <w:rFonts w:ascii="Times New Roman" w:hAnsi="Times New Roman" w:cs="Times New Roman"/>
          <w:sz w:val="24"/>
          <w:szCs w:val="24"/>
        </w:rPr>
        <w:t>1</w:t>
      </w:r>
      <w:r w:rsidR="0030742B">
        <w:rPr>
          <w:rFonts w:ascii="Times New Roman" w:hAnsi="Times New Roman" w:cs="Times New Roman"/>
          <w:sz w:val="24"/>
          <w:szCs w:val="24"/>
        </w:rPr>
        <w:t xml:space="preserve"> of the Online Appendix</w:t>
      </w:r>
      <w:r w:rsidR="00DF14A8">
        <w:rPr>
          <w:rFonts w:ascii="Times New Roman" w:hAnsi="Times New Roman" w:cs="Times New Roman"/>
          <w:sz w:val="24"/>
          <w:szCs w:val="24"/>
        </w:rPr>
        <w:t xml:space="preserve"> presents descriptive statistics for this sample.</w:t>
      </w:r>
    </w:p>
    <w:p w14:paraId="14210352" w14:textId="3ACBEFB2" w:rsidR="00782F8D" w:rsidRDefault="00E0306F"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Since</w:t>
      </w:r>
      <w:r w:rsidR="00E70BB4">
        <w:rPr>
          <w:rFonts w:ascii="Times New Roman" w:hAnsi="Times New Roman" w:cs="Times New Roman"/>
          <w:sz w:val="24"/>
          <w:szCs w:val="24"/>
        </w:rPr>
        <w:t xml:space="preserve"> </w:t>
      </w:r>
      <w:r w:rsidR="00170922">
        <w:rPr>
          <w:rFonts w:ascii="Times New Roman" w:hAnsi="Times New Roman" w:cs="Times New Roman"/>
          <w:sz w:val="24"/>
          <w:szCs w:val="24"/>
        </w:rPr>
        <w:t>valuing</w:t>
      </w:r>
      <w:r w:rsidR="00E70BB4">
        <w:rPr>
          <w:rFonts w:ascii="Times New Roman" w:hAnsi="Times New Roman" w:cs="Times New Roman"/>
          <w:sz w:val="24"/>
          <w:szCs w:val="24"/>
        </w:rPr>
        <w:t xml:space="preserve"> firms using</w:t>
      </w:r>
      <w:r w:rsidR="00170922">
        <w:rPr>
          <w:rFonts w:ascii="Times New Roman" w:hAnsi="Times New Roman" w:cs="Times New Roman"/>
          <w:sz w:val="24"/>
          <w:szCs w:val="24"/>
        </w:rPr>
        <w:t xml:space="preserve"> pricing</w:t>
      </w:r>
      <w:r w:rsidR="00E70BB4">
        <w:rPr>
          <w:rFonts w:ascii="Times New Roman" w:hAnsi="Times New Roman" w:cs="Times New Roman"/>
          <w:sz w:val="24"/>
          <w:szCs w:val="24"/>
        </w:rPr>
        <w:t xml:space="preserve"> information from industry peers</w:t>
      </w:r>
      <w:r>
        <w:rPr>
          <w:rFonts w:ascii="Times New Roman" w:hAnsi="Times New Roman" w:cs="Times New Roman"/>
          <w:sz w:val="24"/>
          <w:szCs w:val="24"/>
        </w:rPr>
        <w:t xml:space="preserve"> is at the core of our analysis, </w:t>
      </w:r>
      <w:r w:rsidR="00E70BB4">
        <w:rPr>
          <w:rFonts w:ascii="Times New Roman" w:hAnsi="Times New Roman" w:cs="Times New Roman"/>
          <w:sz w:val="24"/>
          <w:szCs w:val="24"/>
        </w:rPr>
        <w:t>we</w:t>
      </w:r>
      <w:r w:rsidR="007A31D4">
        <w:rPr>
          <w:rFonts w:ascii="Times New Roman" w:hAnsi="Times New Roman" w:cs="Times New Roman"/>
          <w:sz w:val="24"/>
          <w:szCs w:val="24"/>
        </w:rPr>
        <w:t xml:space="preserve"> </w:t>
      </w:r>
      <w:r w:rsidR="00E70BB4">
        <w:rPr>
          <w:rFonts w:ascii="Times New Roman" w:hAnsi="Times New Roman" w:cs="Times New Roman"/>
          <w:sz w:val="24"/>
          <w:szCs w:val="24"/>
        </w:rPr>
        <w:t xml:space="preserve">take </w:t>
      </w:r>
      <w:r w:rsidR="00782F8D">
        <w:rPr>
          <w:rFonts w:ascii="Times New Roman" w:hAnsi="Times New Roman" w:cs="Times New Roman"/>
          <w:sz w:val="24"/>
          <w:szCs w:val="24"/>
        </w:rPr>
        <w:t>three steps to increase the comparability of</w:t>
      </w:r>
      <w:r w:rsidR="00E70BB4">
        <w:rPr>
          <w:rFonts w:ascii="Times New Roman" w:hAnsi="Times New Roman" w:cs="Times New Roman"/>
          <w:sz w:val="24"/>
          <w:szCs w:val="24"/>
        </w:rPr>
        <w:t xml:space="preserve"> market values and</w:t>
      </w:r>
      <w:r w:rsidR="00170922">
        <w:rPr>
          <w:rFonts w:ascii="Times New Roman" w:hAnsi="Times New Roman" w:cs="Times New Roman"/>
          <w:sz w:val="24"/>
          <w:szCs w:val="24"/>
        </w:rPr>
        <w:t xml:space="preserve"> accounting</w:t>
      </w:r>
      <w:r w:rsidR="00E70BB4">
        <w:rPr>
          <w:rFonts w:ascii="Times New Roman" w:hAnsi="Times New Roman" w:cs="Times New Roman"/>
          <w:sz w:val="24"/>
          <w:szCs w:val="24"/>
        </w:rPr>
        <w:t xml:space="preserve"> fundamentals.</w:t>
      </w:r>
      <w:r w:rsidR="00782F8D">
        <w:rPr>
          <w:rFonts w:ascii="Times New Roman" w:hAnsi="Times New Roman" w:cs="Times New Roman"/>
          <w:sz w:val="24"/>
          <w:szCs w:val="24"/>
        </w:rPr>
        <w:t xml:space="preserve"> First, we add back to the market value of equity the dollar amount of dividends paid since the balance sheet date.</w:t>
      </w:r>
      <w:r w:rsidR="00782F8D">
        <w:rPr>
          <w:rStyle w:val="FootnoteReference"/>
          <w:rFonts w:ascii="Times New Roman" w:hAnsi="Times New Roman" w:cs="Times New Roman"/>
          <w:sz w:val="24"/>
          <w:szCs w:val="24"/>
        </w:rPr>
        <w:footnoteReference w:id="16"/>
      </w:r>
      <w:r w:rsidR="00782F8D">
        <w:rPr>
          <w:rFonts w:ascii="Times New Roman" w:hAnsi="Times New Roman" w:cs="Times New Roman"/>
          <w:sz w:val="24"/>
          <w:szCs w:val="24"/>
        </w:rPr>
        <w:t xml:space="preserve"> Second, we account for differences in expected ownership dilution across firms by using the fully</w:t>
      </w:r>
      <w:r w:rsidR="001E1B14">
        <w:rPr>
          <w:rFonts w:ascii="Times New Roman" w:hAnsi="Times New Roman" w:cs="Times New Roman"/>
          <w:sz w:val="24"/>
          <w:szCs w:val="24"/>
        </w:rPr>
        <w:t xml:space="preserve"> </w:t>
      </w:r>
      <w:r w:rsidR="00782F8D">
        <w:rPr>
          <w:rFonts w:ascii="Times New Roman" w:hAnsi="Times New Roman" w:cs="Times New Roman"/>
          <w:sz w:val="24"/>
          <w:szCs w:val="24"/>
        </w:rPr>
        <w:t>diluted number of shares outstanding when computing the market value of equity. This has the effect of increasing the measured market value of equity of firms with dilutive securities outstanding.</w:t>
      </w:r>
      <w:r w:rsidR="00021BE6">
        <w:rPr>
          <w:rStyle w:val="FootnoteReference"/>
          <w:rFonts w:ascii="Times New Roman" w:hAnsi="Times New Roman" w:cs="Times New Roman"/>
          <w:sz w:val="24"/>
          <w:szCs w:val="24"/>
        </w:rPr>
        <w:footnoteReference w:id="17"/>
      </w:r>
      <w:r w:rsidR="00782F8D">
        <w:rPr>
          <w:rFonts w:ascii="Times New Roman" w:hAnsi="Times New Roman" w:cs="Times New Roman"/>
          <w:sz w:val="24"/>
          <w:szCs w:val="24"/>
        </w:rPr>
        <w:t xml:space="preserve"> Third, we purge earnings used in eq. (</w:t>
      </w:r>
      <w:r w:rsidR="006A2348">
        <w:rPr>
          <w:rFonts w:ascii="Times New Roman" w:hAnsi="Times New Roman" w:cs="Times New Roman"/>
          <w:sz w:val="24"/>
          <w:szCs w:val="24"/>
        </w:rPr>
        <w:t>6</w:t>
      </w:r>
      <w:r w:rsidR="00782F8D">
        <w:rPr>
          <w:rFonts w:ascii="Times New Roman" w:hAnsi="Times New Roman" w:cs="Times New Roman"/>
          <w:sz w:val="24"/>
          <w:szCs w:val="24"/>
        </w:rPr>
        <w:t xml:space="preserve">) from one-off </w:t>
      </w:r>
      <w:r w:rsidR="007A31D4">
        <w:rPr>
          <w:rFonts w:ascii="Times New Roman" w:hAnsi="Times New Roman" w:cs="Times New Roman"/>
          <w:sz w:val="24"/>
          <w:szCs w:val="24"/>
        </w:rPr>
        <w:t>items.</w:t>
      </w:r>
      <w:r w:rsidR="00782F8D">
        <w:rPr>
          <w:rFonts w:ascii="Times New Roman" w:hAnsi="Times New Roman" w:cs="Times New Roman"/>
          <w:sz w:val="24"/>
          <w:szCs w:val="24"/>
        </w:rPr>
        <w:t xml:space="preserve"> </w:t>
      </w:r>
      <w:r w:rsidR="00E94A4C">
        <w:rPr>
          <w:rFonts w:ascii="Times New Roman" w:hAnsi="Times New Roman" w:cs="Times New Roman"/>
          <w:sz w:val="24"/>
          <w:szCs w:val="24"/>
        </w:rPr>
        <w:t>All</w:t>
      </w:r>
      <w:r w:rsidR="00846105">
        <w:rPr>
          <w:rFonts w:ascii="Times New Roman" w:hAnsi="Times New Roman" w:cs="Times New Roman"/>
          <w:sz w:val="24"/>
          <w:szCs w:val="24"/>
        </w:rPr>
        <w:t xml:space="preserve"> </w:t>
      </w:r>
      <w:r w:rsidR="007A31D4">
        <w:rPr>
          <w:rFonts w:ascii="Times New Roman" w:hAnsi="Times New Roman" w:cs="Times New Roman"/>
          <w:sz w:val="24"/>
          <w:szCs w:val="24"/>
        </w:rPr>
        <w:t>adjustments</w:t>
      </w:r>
      <w:r w:rsidR="00021BE6">
        <w:rPr>
          <w:rFonts w:ascii="Times New Roman" w:hAnsi="Times New Roman" w:cs="Times New Roman"/>
          <w:sz w:val="24"/>
          <w:szCs w:val="24"/>
        </w:rPr>
        <w:t xml:space="preserve"> are detailed in variable definitions in the Appendix.</w:t>
      </w:r>
    </w:p>
    <w:p w14:paraId="1C04571B" w14:textId="6962968A" w:rsidR="005F1BB7" w:rsidRPr="00555BF1" w:rsidRDefault="005F1BB7" w:rsidP="002419BD">
      <w:pPr>
        <w:spacing w:before="120" w:after="0" w:line="480" w:lineRule="auto"/>
        <w:jc w:val="both"/>
        <w:rPr>
          <w:rFonts w:ascii="Times New Roman" w:hAnsi="Times New Roman" w:cs="Times New Roman"/>
          <w:b/>
          <w:bCs/>
          <w:iCs/>
          <w:sz w:val="24"/>
          <w:szCs w:val="24"/>
        </w:rPr>
      </w:pPr>
      <w:r w:rsidRPr="00555BF1">
        <w:rPr>
          <w:rFonts w:ascii="Times New Roman" w:hAnsi="Times New Roman" w:cs="Times New Roman"/>
          <w:b/>
          <w:bCs/>
          <w:iCs/>
          <w:sz w:val="24"/>
          <w:szCs w:val="24"/>
        </w:rPr>
        <w:lastRenderedPageBreak/>
        <w:t xml:space="preserve">Estimation </w:t>
      </w:r>
      <w:r w:rsidR="00555BF1">
        <w:rPr>
          <w:rFonts w:ascii="Times New Roman" w:hAnsi="Times New Roman" w:cs="Times New Roman"/>
          <w:b/>
          <w:bCs/>
          <w:iCs/>
          <w:sz w:val="24"/>
          <w:szCs w:val="24"/>
        </w:rPr>
        <w:t>R</w:t>
      </w:r>
      <w:r w:rsidRPr="00555BF1">
        <w:rPr>
          <w:rFonts w:ascii="Times New Roman" w:hAnsi="Times New Roman" w:cs="Times New Roman"/>
          <w:b/>
          <w:bCs/>
          <w:iCs/>
          <w:sz w:val="24"/>
          <w:szCs w:val="24"/>
        </w:rPr>
        <w:t>esults</w:t>
      </w:r>
    </w:p>
    <w:p w14:paraId="6D8E6871" w14:textId="15BDE8C2" w:rsidR="002164C2" w:rsidRDefault="007602D2"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Table </w:t>
      </w:r>
      <w:r w:rsidR="002017C3">
        <w:rPr>
          <w:rFonts w:ascii="Times New Roman" w:hAnsi="Times New Roman" w:cs="Times New Roman"/>
          <w:sz w:val="24"/>
          <w:szCs w:val="24"/>
        </w:rPr>
        <w:t>1</w:t>
      </w:r>
      <w:r w:rsidR="007C1097">
        <w:rPr>
          <w:rFonts w:ascii="Times New Roman" w:hAnsi="Times New Roman" w:cs="Times New Roman"/>
          <w:sz w:val="24"/>
          <w:szCs w:val="24"/>
        </w:rPr>
        <w:t xml:space="preserve"> presents the results </w:t>
      </w:r>
      <w:r w:rsidR="003E6094">
        <w:rPr>
          <w:rFonts w:ascii="Times New Roman" w:hAnsi="Times New Roman" w:cs="Times New Roman"/>
          <w:sz w:val="24"/>
          <w:szCs w:val="24"/>
        </w:rPr>
        <w:t>from</w:t>
      </w:r>
      <w:r w:rsidR="00BB0D8F">
        <w:rPr>
          <w:rFonts w:ascii="Times New Roman" w:hAnsi="Times New Roman" w:cs="Times New Roman"/>
          <w:sz w:val="24"/>
          <w:szCs w:val="24"/>
        </w:rPr>
        <w:t xml:space="preserve"> </w:t>
      </w:r>
      <w:r w:rsidR="005D3595">
        <w:rPr>
          <w:rFonts w:ascii="Times New Roman" w:hAnsi="Times New Roman" w:cs="Times New Roman"/>
          <w:sz w:val="24"/>
          <w:szCs w:val="24"/>
        </w:rPr>
        <w:t>estimating our</w:t>
      </w:r>
      <w:r>
        <w:rPr>
          <w:rFonts w:ascii="Times New Roman" w:hAnsi="Times New Roman" w:cs="Times New Roman"/>
          <w:sz w:val="24"/>
          <w:szCs w:val="24"/>
        </w:rPr>
        <w:t xml:space="preserve"> valuation model using OLS and quantile regressions</w:t>
      </w:r>
      <w:r w:rsidR="00B027D4">
        <w:rPr>
          <w:rFonts w:ascii="Times New Roman" w:hAnsi="Times New Roman" w:cs="Times New Roman"/>
          <w:sz w:val="24"/>
          <w:szCs w:val="24"/>
        </w:rPr>
        <w:t>.</w:t>
      </w:r>
      <w:r w:rsidR="0068222C">
        <w:rPr>
          <w:rFonts w:ascii="Times New Roman" w:hAnsi="Times New Roman" w:cs="Times New Roman"/>
          <w:sz w:val="24"/>
          <w:szCs w:val="24"/>
        </w:rPr>
        <w:t xml:space="preserve"> </w:t>
      </w:r>
      <w:r w:rsidR="00C14E80">
        <w:rPr>
          <w:rFonts w:ascii="Times New Roman" w:hAnsi="Times New Roman" w:cs="Times New Roman"/>
          <w:sz w:val="24"/>
          <w:szCs w:val="24"/>
        </w:rPr>
        <w:t xml:space="preserve">For brevity, these estimation results are </w:t>
      </w:r>
      <w:r w:rsidR="000557B1">
        <w:rPr>
          <w:rFonts w:ascii="Times New Roman" w:hAnsi="Times New Roman" w:cs="Times New Roman"/>
          <w:sz w:val="24"/>
          <w:szCs w:val="24"/>
        </w:rPr>
        <w:t xml:space="preserve">shown </w:t>
      </w:r>
      <w:r w:rsidR="00C14E80">
        <w:rPr>
          <w:rFonts w:ascii="Times New Roman" w:hAnsi="Times New Roman" w:cs="Times New Roman"/>
          <w:sz w:val="24"/>
          <w:szCs w:val="24"/>
        </w:rPr>
        <w:t>for three representative Fama-French</w:t>
      </w:r>
      <w:r w:rsidR="00934776">
        <w:rPr>
          <w:rFonts w:ascii="Times New Roman" w:hAnsi="Times New Roman" w:cs="Times New Roman"/>
          <w:sz w:val="24"/>
          <w:szCs w:val="24"/>
        </w:rPr>
        <w:t xml:space="preserve"> 12</w:t>
      </w:r>
      <w:r w:rsidR="00C14E80">
        <w:rPr>
          <w:rFonts w:ascii="Times New Roman" w:hAnsi="Times New Roman" w:cs="Times New Roman"/>
          <w:sz w:val="24"/>
          <w:szCs w:val="24"/>
        </w:rPr>
        <w:t xml:space="preserve"> industries: manufacturing, business equipment, and utilities.</w:t>
      </w:r>
      <w:r w:rsidR="000557B1">
        <w:rPr>
          <w:rFonts w:ascii="Times New Roman" w:hAnsi="Times New Roman" w:cs="Times New Roman"/>
          <w:sz w:val="24"/>
          <w:szCs w:val="24"/>
        </w:rPr>
        <w:t xml:space="preserve"> Output for remaining industries can be found in</w:t>
      </w:r>
      <w:r w:rsidR="00AC2338">
        <w:rPr>
          <w:rFonts w:ascii="Times New Roman" w:hAnsi="Times New Roman" w:cs="Times New Roman"/>
          <w:sz w:val="24"/>
          <w:szCs w:val="24"/>
        </w:rPr>
        <w:t xml:space="preserve"> Table A2 of</w:t>
      </w:r>
      <w:r w:rsidR="000557B1">
        <w:rPr>
          <w:rFonts w:ascii="Times New Roman" w:hAnsi="Times New Roman" w:cs="Times New Roman"/>
          <w:sz w:val="24"/>
          <w:szCs w:val="24"/>
        </w:rPr>
        <w:t xml:space="preserve"> the Online Appendix. </w:t>
      </w:r>
      <w:r w:rsidR="0068222C">
        <w:rPr>
          <w:rFonts w:ascii="Times New Roman" w:hAnsi="Times New Roman" w:cs="Times New Roman"/>
          <w:sz w:val="24"/>
          <w:szCs w:val="24"/>
        </w:rPr>
        <w:t xml:space="preserve">The </w:t>
      </w:r>
      <w:r w:rsidR="009A5D1C">
        <w:rPr>
          <w:rFonts w:ascii="Times New Roman" w:hAnsi="Times New Roman" w:cs="Times New Roman"/>
          <w:sz w:val="24"/>
          <w:szCs w:val="24"/>
        </w:rPr>
        <w:t xml:space="preserve">reported </w:t>
      </w:r>
      <w:r w:rsidR="0068222C">
        <w:rPr>
          <w:rFonts w:ascii="Times New Roman" w:hAnsi="Times New Roman" w:cs="Times New Roman"/>
          <w:sz w:val="24"/>
          <w:szCs w:val="24"/>
        </w:rPr>
        <w:t>coefficients</w:t>
      </w:r>
      <w:r w:rsidR="0021632E">
        <w:rPr>
          <w:rFonts w:ascii="Times New Roman" w:hAnsi="Times New Roman" w:cs="Times New Roman"/>
          <w:sz w:val="24"/>
          <w:szCs w:val="24"/>
        </w:rPr>
        <w:t xml:space="preserve"> </w:t>
      </w:r>
      <w:r w:rsidR="0068222C">
        <w:rPr>
          <w:rFonts w:ascii="Times New Roman" w:hAnsi="Times New Roman" w:cs="Times New Roman"/>
          <w:sz w:val="24"/>
          <w:szCs w:val="24"/>
        </w:rPr>
        <w:t>and R</w:t>
      </w:r>
      <w:r w:rsidR="0068222C" w:rsidRPr="005D3595">
        <w:rPr>
          <w:rFonts w:ascii="Times New Roman" w:hAnsi="Times New Roman" w:cs="Times New Roman"/>
          <w:sz w:val="24"/>
          <w:szCs w:val="24"/>
          <w:vertAlign w:val="superscript"/>
        </w:rPr>
        <w:t>2</w:t>
      </w:r>
      <w:r w:rsidR="0021632E">
        <w:rPr>
          <w:rFonts w:ascii="Times New Roman" w:hAnsi="Times New Roman" w:cs="Times New Roman"/>
          <w:sz w:val="24"/>
          <w:szCs w:val="24"/>
        </w:rPr>
        <w:t>s</w:t>
      </w:r>
      <w:r w:rsidR="0068222C">
        <w:rPr>
          <w:rFonts w:ascii="Times New Roman" w:hAnsi="Times New Roman" w:cs="Times New Roman"/>
          <w:sz w:val="24"/>
          <w:szCs w:val="24"/>
        </w:rPr>
        <w:t xml:space="preserve"> are time-series averages across </w:t>
      </w:r>
      <w:r w:rsidR="00BC6C11">
        <w:rPr>
          <w:rFonts w:ascii="Times New Roman" w:hAnsi="Times New Roman" w:cs="Times New Roman"/>
          <w:sz w:val="24"/>
          <w:szCs w:val="24"/>
        </w:rPr>
        <w:t xml:space="preserve">48 </w:t>
      </w:r>
      <w:r w:rsidR="0068222C">
        <w:rPr>
          <w:rFonts w:ascii="Times New Roman" w:hAnsi="Times New Roman" w:cs="Times New Roman"/>
          <w:sz w:val="24"/>
          <w:szCs w:val="24"/>
        </w:rPr>
        <w:t>sample years. For quantile regressions, w</w:t>
      </w:r>
      <w:r w:rsidR="005D7343">
        <w:rPr>
          <w:rFonts w:ascii="Times New Roman" w:hAnsi="Times New Roman" w:cs="Times New Roman"/>
          <w:sz w:val="24"/>
          <w:szCs w:val="24"/>
        </w:rPr>
        <w:t>e</w:t>
      </w:r>
      <w:r w:rsidR="00C14E80">
        <w:rPr>
          <w:rFonts w:ascii="Times New Roman" w:hAnsi="Times New Roman" w:cs="Times New Roman"/>
          <w:sz w:val="24"/>
          <w:szCs w:val="24"/>
        </w:rPr>
        <w:t xml:space="preserve"> </w:t>
      </w:r>
      <w:r w:rsidR="005D7343">
        <w:rPr>
          <w:rFonts w:ascii="Times New Roman" w:hAnsi="Times New Roman" w:cs="Times New Roman"/>
          <w:sz w:val="24"/>
          <w:szCs w:val="24"/>
        </w:rPr>
        <w:t xml:space="preserve">report </w:t>
      </w:r>
      <w:r w:rsidR="005949E0">
        <w:rPr>
          <w:rFonts w:ascii="Times New Roman" w:hAnsi="Times New Roman" w:cs="Times New Roman"/>
          <w:sz w:val="24"/>
          <w:szCs w:val="24"/>
        </w:rPr>
        <w:t>results for</w:t>
      </w:r>
      <w:r w:rsidR="00712E91">
        <w:rPr>
          <w:rFonts w:ascii="Times New Roman" w:hAnsi="Times New Roman" w:cs="Times New Roman"/>
          <w:sz w:val="24"/>
          <w:szCs w:val="24"/>
        </w:rPr>
        <w:t xml:space="preserve"> the 25</w:t>
      </w:r>
      <w:r w:rsidR="00712E91" w:rsidRPr="00712E91">
        <w:rPr>
          <w:rFonts w:ascii="Times New Roman" w:hAnsi="Times New Roman" w:cs="Times New Roman"/>
          <w:sz w:val="24"/>
          <w:szCs w:val="24"/>
          <w:vertAlign w:val="superscript"/>
        </w:rPr>
        <w:t>th</w:t>
      </w:r>
      <w:r w:rsidR="005949E0">
        <w:rPr>
          <w:rFonts w:ascii="Times New Roman" w:hAnsi="Times New Roman" w:cs="Times New Roman"/>
          <w:sz w:val="24"/>
          <w:szCs w:val="24"/>
        </w:rPr>
        <w:t xml:space="preserve"> </w:t>
      </w:r>
      <w:r w:rsidR="005D7343">
        <w:rPr>
          <w:rFonts w:ascii="Times New Roman" w:hAnsi="Times New Roman" w:cs="Times New Roman"/>
          <w:sz w:val="24"/>
          <w:szCs w:val="24"/>
        </w:rPr>
        <w:t>and</w:t>
      </w:r>
      <w:r w:rsidR="00712E91">
        <w:rPr>
          <w:rFonts w:ascii="Times New Roman" w:hAnsi="Times New Roman" w:cs="Times New Roman"/>
          <w:sz w:val="24"/>
          <w:szCs w:val="24"/>
        </w:rPr>
        <w:t xml:space="preserve"> 75</w:t>
      </w:r>
      <w:r w:rsidR="00712E91" w:rsidRPr="00712E91">
        <w:rPr>
          <w:rFonts w:ascii="Times New Roman" w:hAnsi="Times New Roman" w:cs="Times New Roman"/>
          <w:sz w:val="24"/>
          <w:szCs w:val="24"/>
          <w:vertAlign w:val="superscript"/>
        </w:rPr>
        <w:t>th</w:t>
      </w:r>
      <w:r w:rsidR="00712E91">
        <w:rPr>
          <w:rFonts w:ascii="Times New Roman" w:hAnsi="Times New Roman" w:cs="Times New Roman"/>
          <w:sz w:val="24"/>
          <w:szCs w:val="24"/>
        </w:rPr>
        <w:t xml:space="preserve"> percentiles</w:t>
      </w:r>
      <w:r w:rsidR="005D7343">
        <w:rPr>
          <w:rFonts w:ascii="Times New Roman" w:hAnsi="Times New Roman" w:cs="Times New Roman"/>
          <w:sz w:val="24"/>
          <w:szCs w:val="24"/>
        </w:rPr>
        <w:t>, which are the two quantiles</w:t>
      </w:r>
      <w:r w:rsidR="0068222C">
        <w:rPr>
          <w:rFonts w:ascii="Times New Roman" w:hAnsi="Times New Roman" w:cs="Times New Roman"/>
          <w:sz w:val="24"/>
          <w:szCs w:val="24"/>
        </w:rPr>
        <w:t xml:space="preserve"> </w:t>
      </w:r>
      <w:r w:rsidR="0021632E">
        <w:rPr>
          <w:rFonts w:ascii="Times New Roman" w:hAnsi="Times New Roman" w:cs="Times New Roman"/>
          <w:sz w:val="24"/>
          <w:szCs w:val="24"/>
        </w:rPr>
        <w:t>that</w:t>
      </w:r>
      <w:r w:rsidR="005D7343">
        <w:rPr>
          <w:rFonts w:ascii="Times New Roman" w:hAnsi="Times New Roman" w:cs="Times New Roman"/>
          <w:sz w:val="24"/>
          <w:szCs w:val="24"/>
        </w:rPr>
        <w:t xml:space="preserve"> feed into the valuation uncertainty measure.</w:t>
      </w:r>
      <w:r w:rsidR="009028AC">
        <w:rPr>
          <w:rFonts w:ascii="Times New Roman" w:hAnsi="Times New Roman" w:cs="Times New Roman"/>
          <w:sz w:val="24"/>
          <w:szCs w:val="24"/>
        </w:rPr>
        <w:t xml:space="preserve"> We also </w:t>
      </w:r>
      <w:r w:rsidR="001944CD">
        <w:rPr>
          <w:rFonts w:ascii="Times New Roman" w:hAnsi="Times New Roman" w:cs="Times New Roman"/>
          <w:sz w:val="24"/>
          <w:szCs w:val="24"/>
        </w:rPr>
        <w:t>report</w:t>
      </w:r>
      <w:r w:rsidR="003E6094">
        <w:rPr>
          <w:rFonts w:ascii="Times New Roman" w:hAnsi="Times New Roman" w:cs="Times New Roman"/>
          <w:sz w:val="24"/>
          <w:szCs w:val="24"/>
        </w:rPr>
        <w:t xml:space="preserve"> the difference between</w:t>
      </w:r>
      <w:r w:rsidR="00712E91">
        <w:rPr>
          <w:rFonts w:ascii="Times New Roman" w:hAnsi="Times New Roman" w:cs="Times New Roman"/>
          <w:sz w:val="24"/>
          <w:szCs w:val="24"/>
        </w:rPr>
        <w:t xml:space="preserve"> the</w:t>
      </w:r>
      <w:r w:rsidR="003B24F6">
        <w:rPr>
          <w:rFonts w:ascii="Times New Roman" w:hAnsi="Times New Roman" w:cs="Times New Roman"/>
          <w:sz w:val="24"/>
          <w:szCs w:val="24"/>
        </w:rPr>
        <w:t xml:space="preserve"> corresponding coefficients in the two quantile regressions (75</w:t>
      </w:r>
      <w:r w:rsidR="003B24F6" w:rsidRPr="003B24F6">
        <w:rPr>
          <w:rFonts w:ascii="Times New Roman" w:hAnsi="Times New Roman" w:cs="Times New Roman"/>
          <w:sz w:val="24"/>
          <w:szCs w:val="24"/>
          <w:vertAlign w:val="superscript"/>
        </w:rPr>
        <w:t>th</w:t>
      </w:r>
      <w:r w:rsidR="003B24F6">
        <w:rPr>
          <w:rFonts w:ascii="Times New Roman" w:hAnsi="Times New Roman" w:cs="Times New Roman"/>
          <w:sz w:val="24"/>
          <w:szCs w:val="24"/>
        </w:rPr>
        <w:t xml:space="preserve"> </w:t>
      </w:r>
      <w:r w:rsidR="002F3EED">
        <w:rPr>
          <w:rFonts w:ascii="Times New Roman" w:hAnsi="Times New Roman" w:cs="Times New Roman"/>
          <w:sz w:val="24"/>
          <w:szCs w:val="24"/>
        </w:rPr>
        <w:t>minus</w:t>
      </w:r>
      <w:r w:rsidR="003B24F6">
        <w:rPr>
          <w:rFonts w:ascii="Times New Roman" w:hAnsi="Times New Roman" w:cs="Times New Roman"/>
          <w:sz w:val="24"/>
          <w:szCs w:val="24"/>
        </w:rPr>
        <w:t xml:space="preserve"> 25</w:t>
      </w:r>
      <w:r w:rsidR="003B24F6" w:rsidRPr="003B24F6">
        <w:rPr>
          <w:rFonts w:ascii="Times New Roman" w:hAnsi="Times New Roman" w:cs="Times New Roman"/>
          <w:sz w:val="24"/>
          <w:szCs w:val="24"/>
          <w:vertAlign w:val="superscript"/>
        </w:rPr>
        <w:t>th</w:t>
      </w:r>
      <w:r w:rsidR="003B24F6">
        <w:rPr>
          <w:rFonts w:ascii="Times New Roman" w:hAnsi="Times New Roman" w:cs="Times New Roman"/>
          <w:sz w:val="24"/>
          <w:szCs w:val="24"/>
        </w:rPr>
        <w:t>)</w:t>
      </w:r>
      <w:r w:rsidR="00C862ED">
        <w:rPr>
          <w:rFonts w:ascii="Times New Roman" w:hAnsi="Times New Roman" w:cs="Times New Roman"/>
          <w:sz w:val="24"/>
          <w:szCs w:val="24"/>
        </w:rPr>
        <w:t>, labelled as IQR</w:t>
      </w:r>
      <w:r w:rsidR="003B24F6">
        <w:rPr>
          <w:rFonts w:ascii="Times New Roman" w:hAnsi="Times New Roman" w:cs="Times New Roman"/>
          <w:sz w:val="24"/>
          <w:szCs w:val="24"/>
        </w:rPr>
        <w:t>.</w:t>
      </w:r>
      <w:r w:rsidR="00E33BE8">
        <w:rPr>
          <w:rFonts w:ascii="Times New Roman" w:hAnsi="Times New Roman" w:cs="Times New Roman"/>
          <w:sz w:val="24"/>
          <w:szCs w:val="24"/>
        </w:rPr>
        <w:t xml:space="preserve"> Applying </w:t>
      </w:r>
      <w:r w:rsidR="00C862ED">
        <w:rPr>
          <w:rFonts w:ascii="Times New Roman" w:hAnsi="Times New Roman" w:cs="Times New Roman"/>
          <w:sz w:val="24"/>
          <w:szCs w:val="24"/>
        </w:rPr>
        <w:t>the IQR</w:t>
      </w:r>
      <w:r w:rsidR="003B24F6">
        <w:rPr>
          <w:rFonts w:ascii="Times New Roman" w:hAnsi="Times New Roman" w:cs="Times New Roman"/>
          <w:sz w:val="24"/>
          <w:szCs w:val="24"/>
        </w:rPr>
        <w:t xml:space="preserve"> coefficients</w:t>
      </w:r>
      <w:r w:rsidR="00E33BE8">
        <w:rPr>
          <w:rFonts w:ascii="Times New Roman" w:hAnsi="Times New Roman" w:cs="Times New Roman"/>
          <w:sz w:val="24"/>
          <w:szCs w:val="24"/>
        </w:rPr>
        <w:t xml:space="preserve"> to the valuation model inputs</w:t>
      </w:r>
      <w:r w:rsidR="003B24F6">
        <w:rPr>
          <w:rFonts w:ascii="Times New Roman" w:hAnsi="Times New Roman" w:cs="Times New Roman"/>
          <w:sz w:val="24"/>
          <w:szCs w:val="24"/>
        </w:rPr>
        <w:t xml:space="preserve"> </w:t>
      </w:r>
      <w:r w:rsidR="002F3EED">
        <w:rPr>
          <w:rFonts w:ascii="Times New Roman" w:hAnsi="Times New Roman" w:cs="Times New Roman"/>
          <w:sz w:val="24"/>
          <w:szCs w:val="24"/>
        </w:rPr>
        <w:t>re</w:t>
      </w:r>
      <w:r w:rsidR="00E33BE8">
        <w:rPr>
          <w:rFonts w:ascii="Times New Roman" w:hAnsi="Times New Roman" w:cs="Times New Roman"/>
          <w:sz w:val="24"/>
          <w:szCs w:val="24"/>
        </w:rPr>
        <w:t>produces</w:t>
      </w:r>
      <w:r w:rsidR="003B24F6">
        <w:rPr>
          <w:rFonts w:ascii="Times New Roman" w:hAnsi="Times New Roman" w:cs="Times New Roman"/>
          <w:sz w:val="24"/>
          <w:szCs w:val="24"/>
        </w:rPr>
        <w:t xml:space="preserve"> the interquartile range of the predicted distribution of</w:t>
      </w:r>
      <w:r w:rsidR="00E33BE8">
        <w:rPr>
          <w:rFonts w:ascii="Times New Roman" w:hAnsi="Times New Roman" w:cs="Times New Roman"/>
          <w:sz w:val="24"/>
          <w:szCs w:val="24"/>
        </w:rPr>
        <w:t xml:space="preserve"> log</w:t>
      </w:r>
      <w:r w:rsidR="003B24F6">
        <w:rPr>
          <w:rFonts w:ascii="Times New Roman" w:hAnsi="Times New Roman" w:cs="Times New Roman"/>
          <w:sz w:val="24"/>
          <w:szCs w:val="24"/>
        </w:rPr>
        <w:t xml:space="preserve"> </w:t>
      </w:r>
      <w:r w:rsidR="00A7458C">
        <w:rPr>
          <w:rFonts w:ascii="Times New Roman" w:hAnsi="Times New Roman" w:cs="Times New Roman"/>
          <w:sz w:val="24"/>
          <w:szCs w:val="24"/>
        </w:rPr>
        <w:t>fundamental value</w:t>
      </w:r>
      <w:r w:rsidR="002F3EED">
        <w:rPr>
          <w:rFonts w:ascii="Times New Roman" w:hAnsi="Times New Roman" w:cs="Times New Roman"/>
          <w:sz w:val="24"/>
          <w:szCs w:val="24"/>
        </w:rPr>
        <w:t xml:space="preserve">, </w:t>
      </w:r>
      <w:r w:rsidR="003B24F6" w:rsidRPr="003B24F6">
        <w:rPr>
          <w:rFonts w:ascii="Times New Roman" w:hAnsi="Times New Roman" w:cs="Times New Roman"/>
          <w:i/>
          <w:sz w:val="24"/>
          <w:szCs w:val="24"/>
        </w:rPr>
        <w:t>q</w:t>
      </w:r>
      <w:r w:rsidR="003B24F6" w:rsidRPr="003B24F6">
        <w:rPr>
          <w:rFonts w:ascii="Times New Roman" w:hAnsi="Times New Roman" w:cs="Times New Roman"/>
          <w:i/>
          <w:sz w:val="24"/>
          <w:szCs w:val="24"/>
          <w:vertAlign w:val="subscript"/>
        </w:rPr>
        <w:t>75</w:t>
      </w:r>
      <w:r w:rsidR="003B24F6">
        <w:rPr>
          <w:rFonts w:ascii="Times New Roman" w:hAnsi="Times New Roman" w:cs="Times New Roman"/>
          <w:sz w:val="24"/>
          <w:szCs w:val="24"/>
        </w:rPr>
        <w:t xml:space="preserve"> – </w:t>
      </w:r>
      <w:r w:rsidR="003B24F6" w:rsidRPr="003B24F6">
        <w:rPr>
          <w:rFonts w:ascii="Times New Roman" w:hAnsi="Times New Roman" w:cs="Times New Roman"/>
          <w:i/>
          <w:sz w:val="24"/>
          <w:szCs w:val="24"/>
        </w:rPr>
        <w:t>q</w:t>
      </w:r>
      <w:r w:rsidR="003B24F6" w:rsidRPr="003B24F6">
        <w:rPr>
          <w:rFonts w:ascii="Times New Roman" w:hAnsi="Times New Roman" w:cs="Times New Roman"/>
          <w:i/>
          <w:sz w:val="24"/>
          <w:szCs w:val="24"/>
          <w:vertAlign w:val="subscript"/>
        </w:rPr>
        <w:t>25</w:t>
      </w:r>
      <w:r w:rsidR="00512CB9">
        <w:rPr>
          <w:rFonts w:ascii="Times New Roman" w:hAnsi="Times New Roman" w:cs="Times New Roman"/>
          <w:iCs/>
          <w:sz w:val="24"/>
          <w:szCs w:val="24"/>
        </w:rPr>
        <w:t>, as in eq. (</w:t>
      </w:r>
      <w:r w:rsidR="001D07AC">
        <w:rPr>
          <w:rFonts w:ascii="Times New Roman" w:hAnsi="Times New Roman" w:cs="Times New Roman"/>
          <w:iCs/>
          <w:sz w:val="24"/>
          <w:szCs w:val="24"/>
        </w:rPr>
        <w:t>7</w:t>
      </w:r>
      <w:r w:rsidR="00512CB9">
        <w:rPr>
          <w:rFonts w:ascii="Times New Roman" w:hAnsi="Times New Roman" w:cs="Times New Roman"/>
          <w:iCs/>
          <w:sz w:val="24"/>
          <w:szCs w:val="24"/>
        </w:rPr>
        <w:t>)</w:t>
      </w:r>
      <w:r w:rsidR="003B24F6">
        <w:rPr>
          <w:rFonts w:ascii="Times New Roman" w:hAnsi="Times New Roman" w:cs="Times New Roman"/>
          <w:sz w:val="24"/>
          <w:szCs w:val="24"/>
        </w:rPr>
        <w:t xml:space="preserve">. </w:t>
      </w:r>
      <w:r w:rsidR="00BC6C11">
        <w:rPr>
          <w:rFonts w:ascii="Times New Roman" w:hAnsi="Times New Roman" w:cs="Times New Roman"/>
          <w:sz w:val="24"/>
          <w:szCs w:val="24"/>
        </w:rPr>
        <w:t>T</w:t>
      </w:r>
      <w:r w:rsidR="002F3EED">
        <w:rPr>
          <w:rFonts w:ascii="Times New Roman" w:hAnsi="Times New Roman" w:cs="Times New Roman"/>
          <w:sz w:val="24"/>
          <w:szCs w:val="24"/>
        </w:rPr>
        <w:t>hese</w:t>
      </w:r>
      <w:r w:rsidR="003B24F6">
        <w:rPr>
          <w:rFonts w:ascii="Times New Roman" w:hAnsi="Times New Roman" w:cs="Times New Roman"/>
          <w:sz w:val="24"/>
          <w:szCs w:val="24"/>
        </w:rPr>
        <w:t xml:space="preserve"> coefficients </w:t>
      </w:r>
      <w:r w:rsidR="00BC6C11">
        <w:rPr>
          <w:rFonts w:ascii="Times New Roman" w:hAnsi="Times New Roman" w:cs="Times New Roman"/>
          <w:sz w:val="24"/>
          <w:szCs w:val="24"/>
        </w:rPr>
        <w:t xml:space="preserve">show </w:t>
      </w:r>
      <w:r w:rsidR="00A7458C">
        <w:rPr>
          <w:rFonts w:ascii="Times New Roman" w:hAnsi="Times New Roman" w:cs="Times New Roman"/>
          <w:sz w:val="24"/>
          <w:szCs w:val="24"/>
        </w:rPr>
        <w:t>the impact of the valuation model predictors on the spread of the</w:t>
      </w:r>
      <w:r w:rsidR="00C50631">
        <w:rPr>
          <w:rFonts w:ascii="Times New Roman" w:hAnsi="Times New Roman" w:cs="Times New Roman"/>
          <w:sz w:val="24"/>
          <w:szCs w:val="24"/>
        </w:rPr>
        <w:t xml:space="preserve"> resulting</w:t>
      </w:r>
      <w:r w:rsidR="00A7458C">
        <w:rPr>
          <w:rFonts w:ascii="Times New Roman" w:hAnsi="Times New Roman" w:cs="Times New Roman"/>
          <w:sz w:val="24"/>
          <w:szCs w:val="24"/>
        </w:rPr>
        <w:t xml:space="preserve"> distribution, which is our concept of valuation uncertainty</w:t>
      </w:r>
      <w:r w:rsidR="00E33BE8">
        <w:rPr>
          <w:rFonts w:ascii="Times New Roman" w:hAnsi="Times New Roman" w:cs="Times New Roman"/>
          <w:sz w:val="24"/>
          <w:szCs w:val="24"/>
        </w:rPr>
        <w:t xml:space="preserve"> (</w:t>
      </w:r>
      <w:r w:rsidR="002F3EED">
        <w:rPr>
          <w:rFonts w:ascii="Times New Roman" w:hAnsi="Times New Roman" w:cs="Times New Roman"/>
          <w:sz w:val="24"/>
          <w:szCs w:val="24"/>
        </w:rPr>
        <w:t>note that</w:t>
      </w:r>
      <w:r w:rsidR="00E33BE8">
        <w:rPr>
          <w:rFonts w:ascii="Times New Roman" w:hAnsi="Times New Roman" w:cs="Times New Roman"/>
          <w:sz w:val="24"/>
          <w:szCs w:val="24"/>
        </w:rPr>
        <w:t xml:space="preserve"> </w:t>
      </w:r>
      <w:r w:rsidR="00E33BE8">
        <w:rPr>
          <w:rFonts w:ascii="Times New Roman" w:hAnsi="Times New Roman" w:cs="Times New Roman"/>
          <w:i/>
          <w:sz w:val="24"/>
          <w:szCs w:val="24"/>
        </w:rPr>
        <w:t>q</w:t>
      </w:r>
      <w:r w:rsidR="00E33BE8" w:rsidRPr="0070153A">
        <w:rPr>
          <w:rFonts w:ascii="Times New Roman" w:hAnsi="Times New Roman" w:cs="Times New Roman"/>
          <w:i/>
          <w:sz w:val="24"/>
          <w:szCs w:val="24"/>
          <w:vertAlign w:val="subscript"/>
        </w:rPr>
        <w:t>75</w:t>
      </w:r>
      <w:r w:rsidR="00E33BE8">
        <w:rPr>
          <w:rFonts w:ascii="Times New Roman" w:hAnsi="Times New Roman" w:cs="Times New Roman"/>
          <w:sz w:val="24"/>
          <w:szCs w:val="24"/>
        </w:rPr>
        <w:t xml:space="preserve"> – </w:t>
      </w:r>
      <w:r w:rsidR="00E33BE8">
        <w:rPr>
          <w:rFonts w:ascii="Times New Roman" w:hAnsi="Times New Roman" w:cs="Times New Roman"/>
          <w:i/>
          <w:sz w:val="24"/>
          <w:szCs w:val="24"/>
        </w:rPr>
        <w:t>q</w:t>
      </w:r>
      <w:r w:rsidR="00E33BE8" w:rsidRPr="0070153A">
        <w:rPr>
          <w:rFonts w:ascii="Times New Roman" w:hAnsi="Times New Roman" w:cs="Times New Roman"/>
          <w:i/>
          <w:sz w:val="24"/>
          <w:szCs w:val="24"/>
          <w:vertAlign w:val="subscript"/>
        </w:rPr>
        <w:t>25</w:t>
      </w:r>
      <w:r w:rsidR="00E33BE8">
        <w:rPr>
          <w:rFonts w:ascii="Times New Roman" w:hAnsi="Times New Roman" w:cs="Times New Roman"/>
          <w:i/>
          <w:sz w:val="24"/>
          <w:szCs w:val="24"/>
          <w:vertAlign w:val="subscript"/>
        </w:rPr>
        <w:t xml:space="preserve"> </w:t>
      </w:r>
      <w:r w:rsidR="00E33BE8">
        <w:rPr>
          <w:rFonts w:ascii="Times New Roman" w:hAnsi="Times New Roman" w:cs="Times New Roman"/>
          <w:sz w:val="24"/>
          <w:szCs w:val="24"/>
        </w:rPr>
        <w:t xml:space="preserve">= </w:t>
      </w:r>
      <w:r w:rsidR="00E33BE8" w:rsidRPr="00A87EBF">
        <w:rPr>
          <w:rFonts w:ascii="Times New Roman" w:hAnsi="Times New Roman" w:cs="Times New Roman"/>
          <w:i/>
          <w:sz w:val="24"/>
          <w:szCs w:val="24"/>
        </w:rPr>
        <w:t>log(Q</w:t>
      </w:r>
      <w:r w:rsidR="00E33BE8" w:rsidRPr="00A87EBF">
        <w:rPr>
          <w:rFonts w:ascii="Times New Roman" w:hAnsi="Times New Roman" w:cs="Times New Roman"/>
          <w:i/>
          <w:sz w:val="24"/>
          <w:szCs w:val="24"/>
          <w:vertAlign w:val="subscript"/>
        </w:rPr>
        <w:t>75</w:t>
      </w:r>
      <w:r w:rsidR="00E33BE8" w:rsidRPr="00A87EBF">
        <w:rPr>
          <w:rFonts w:ascii="Times New Roman" w:hAnsi="Times New Roman" w:cs="Times New Roman"/>
          <w:i/>
          <w:sz w:val="24"/>
          <w:szCs w:val="24"/>
        </w:rPr>
        <w:t>/Q</w:t>
      </w:r>
      <w:r w:rsidR="00E33BE8" w:rsidRPr="00A87EBF">
        <w:rPr>
          <w:rFonts w:ascii="Times New Roman" w:hAnsi="Times New Roman" w:cs="Times New Roman"/>
          <w:i/>
          <w:sz w:val="24"/>
          <w:szCs w:val="24"/>
          <w:vertAlign w:val="subscript"/>
        </w:rPr>
        <w:t>25</w:t>
      </w:r>
      <w:r w:rsidR="00E33BE8" w:rsidRPr="00A87EBF">
        <w:rPr>
          <w:rFonts w:ascii="Times New Roman" w:hAnsi="Times New Roman" w:cs="Times New Roman"/>
          <w:i/>
          <w:sz w:val="24"/>
          <w:szCs w:val="24"/>
        </w:rPr>
        <w:t>)</w:t>
      </w:r>
      <w:r w:rsidR="00E33BE8">
        <w:rPr>
          <w:rFonts w:ascii="Times New Roman" w:hAnsi="Times New Roman" w:cs="Times New Roman"/>
          <w:i/>
          <w:sz w:val="24"/>
          <w:szCs w:val="24"/>
        </w:rPr>
        <w:t xml:space="preserve"> </w:t>
      </w:r>
      <w:r w:rsidR="00E33BE8" w:rsidRPr="00E33BE8">
        <w:rPr>
          <w:rFonts w:ascii="Times New Roman" w:hAnsi="Times New Roman" w:cs="Times New Roman"/>
          <w:sz w:val="24"/>
          <w:szCs w:val="24"/>
        </w:rPr>
        <w:t>and</w:t>
      </w:r>
      <w:r w:rsidR="00E33BE8">
        <w:rPr>
          <w:rFonts w:ascii="Times New Roman" w:hAnsi="Times New Roman" w:cs="Times New Roman"/>
          <w:i/>
          <w:sz w:val="24"/>
          <w:szCs w:val="24"/>
        </w:rPr>
        <w:t xml:space="preserve"> </w:t>
      </w:r>
      <w:r w:rsidR="00E33BE8" w:rsidRPr="00E737F8">
        <w:rPr>
          <w:rFonts w:ascii="Times New Roman" w:hAnsi="Times New Roman" w:cs="Times New Roman"/>
          <w:i/>
          <w:sz w:val="24"/>
          <w:szCs w:val="24"/>
        </w:rPr>
        <w:t>VU</w:t>
      </w:r>
      <w:r w:rsidR="00E33BE8">
        <w:rPr>
          <w:rFonts w:ascii="Times New Roman" w:hAnsi="Times New Roman" w:cs="Times New Roman"/>
          <w:sz w:val="24"/>
          <w:szCs w:val="24"/>
        </w:rPr>
        <w:t xml:space="preserve"> </w:t>
      </w:r>
      <w:r w:rsidR="00E33BE8" w:rsidRPr="00DD53C8">
        <w:rPr>
          <w:rFonts w:ascii="Times New Roman" w:hAnsi="Times New Roman" w:cs="Times New Roman"/>
          <w:i/>
          <w:sz w:val="24"/>
          <w:szCs w:val="24"/>
        </w:rPr>
        <w:t>= (Q</w:t>
      </w:r>
      <w:r w:rsidR="00E33BE8" w:rsidRPr="00DD53C8">
        <w:rPr>
          <w:rFonts w:ascii="Times New Roman" w:hAnsi="Times New Roman" w:cs="Times New Roman"/>
          <w:i/>
          <w:sz w:val="24"/>
          <w:szCs w:val="24"/>
          <w:vertAlign w:val="subscript"/>
        </w:rPr>
        <w:t>75</w:t>
      </w:r>
      <w:r w:rsidR="00E33BE8" w:rsidRPr="00DD53C8">
        <w:rPr>
          <w:rFonts w:ascii="Times New Roman" w:hAnsi="Times New Roman" w:cs="Times New Roman"/>
          <w:i/>
          <w:sz w:val="24"/>
          <w:szCs w:val="24"/>
        </w:rPr>
        <w:t xml:space="preserve"> – Q</w:t>
      </w:r>
      <w:r w:rsidR="00E33BE8" w:rsidRPr="00DD53C8">
        <w:rPr>
          <w:rFonts w:ascii="Times New Roman" w:hAnsi="Times New Roman" w:cs="Times New Roman"/>
          <w:i/>
          <w:sz w:val="24"/>
          <w:szCs w:val="24"/>
          <w:vertAlign w:val="subscript"/>
        </w:rPr>
        <w:t>25</w:t>
      </w:r>
      <w:r w:rsidR="00E33BE8" w:rsidRPr="00DD53C8">
        <w:rPr>
          <w:rFonts w:ascii="Times New Roman" w:hAnsi="Times New Roman" w:cs="Times New Roman"/>
          <w:i/>
          <w:sz w:val="24"/>
          <w:szCs w:val="24"/>
        </w:rPr>
        <w:t>)/((Q</w:t>
      </w:r>
      <w:r w:rsidR="00E33BE8" w:rsidRPr="00DD53C8">
        <w:rPr>
          <w:rFonts w:ascii="Times New Roman" w:hAnsi="Times New Roman" w:cs="Times New Roman"/>
          <w:i/>
          <w:sz w:val="24"/>
          <w:szCs w:val="24"/>
          <w:vertAlign w:val="subscript"/>
        </w:rPr>
        <w:t>75</w:t>
      </w:r>
      <w:r w:rsidR="00E33BE8" w:rsidRPr="00DD53C8">
        <w:rPr>
          <w:rFonts w:ascii="Times New Roman" w:hAnsi="Times New Roman" w:cs="Times New Roman"/>
          <w:i/>
          <w:sz w:val="24"/>
          <w:szCs w:val="24"/>
        </w:rPr>
        <w:t xml:space="preserve"> + Q</w:t>
      </w:r>
      <w:r w:rsidR="00E33BE8" w:rsidRPr="00DD53C8">
        <w:rPr>
          <w:rFonts w:ascii="Times New Roman" w:hAnsi="Times New Roman" w:cs="Times New Roman"/>
          <w:i/>
          <w:sz w:val="24"/>
          <w:szCs w:val="24"/>
          <w:vertAlign w:val="subscript"/>
        </w:rPr>
        <w:t>25</w:t>
      </w:r>
      <w:r w:rsidR="00E33BE8" w:rsidRPr="00DD53C8">
        <w:rPr>
          <w:rFonts w:ascii="Times New Roman" w:hAnsi="Times New Roman" w:cs="Times New Roman"/>
          <w:i/>
          <w:sz w:val="24"/>
          <w:szCs w:val="24"/>
        </w:rPr>
        <w:t>)/2)</w:t>
      </w:r>
      <w:r w:rsidR="00E33BE8">
        <w:rPr>
          <w:rFonts w:ascii="Times New Roman" w:hAnsi="Times New Roman" w:cs="Times New Roman"/>
          <w:sz w:val="24"/>
          <w:szCs w:val="24"/>
        </w:rPr>
        <w:t>; the two quantities are collinear</w:t>
      </w:r>
      <w:r w:rsidR="00E33BE8" w:rsidRPr="00E33BE8">
        <w:rPr>
          <w:rFonts w:ascii="Times New Roman" w:hAnsi="Times New Roman" w:cs="Times New Roman"/>
          <w:sz w:val="24"/>
          <w:szCs w:val="24"/>
        </w:rPr>
        <w:t>)</w:t>
      </w:r>
      <w:r w:rsidR="00A7458C">
        <w:rPr>
          <w:rFonts w:ascii="Times New Roman" w:hAnsi="Times New Roman" w:cs="Times New Roman"/>
          <w:sz w:val="24"/>
          <w:szCs w:val="24"/>
        </w:rPr>
        <w:t>.</w:t>
      </w:r>
      <w:r w:rsidR="005949E0">
        <w:rPr>
          <w:rFonts w:ascii="Times New Roman" w:hAnsi="Times New Roman" w:cs="Times New Roman"/>
          <w:sz w:val="24"/>
          <w:szCs w:val="24"/>
        </w:rPr>
        <w:t xml:space="preserve"> </w:t>
      </w:r>
    </w:p>
    <w:p w14:paraId="0B49BBC1" w14:textId="6AA72BE9" w:rsidR="0068222C" w:rsidRDefault="000557B1"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First, consider the</w:t>
      </w:r>
      <w:r w:rsidR="005A664A">
        <w:rPr>
          <w:rFonts w:ascii="Times New Roman" w:hAnsi="Times New Roman" w:cs="Times New Roman"/>
          <w:sz w:val="24"/>
          <w:szCs w:val="24"/>
        </w:rPr>
        <w:t xml:space="preserve"> OLS coefficients. The intercept –</w:t>
      </w:r>
      <w:r w:rsidR="00BA67C8">
        <w:rPr>
          <w:rFonts w:ascii="Times New Roman" w:hAnsi="Times New Roman" w:cs="Times New Roman"/>
          <w:sz w:val="24"/>
          <w:szCs w:val="24"/>
        </w:rPr>
        <w:t xml:space="preserve"> which captures</w:t>
      </w:r>
      <w:r w:rsidR="00DC312F">
        <w:rPr>
          <w:rFonts w:ascii="Times New Roman" w:hAnsi="Times New Roman" w:cs="Times New Roman"/>
          <w:sz w:val="24"/>
          <w:szCs w:val="24"/>
        </w:rPr>
        <w:t xml:space="preserve"> </w:t>
      </w:r>
      <w:r w:rsidR="00B8386C">
        <w:rPr>
          <w:rFonts w:ascii="Times New Roman" w:hAnsi="Times New Roman" w:cs="Times New Roman"/>
          <w:sz w:val="24"/>
          <w:szCs w:val="24"/>
        </w:rPr>
        <w:t xml:space="preserve">the </w:t>
      </w:r>
      <w:r w:rsidR="00DC312F">
        <w:rPr>
          <w:rFonts w:ascii="Times New Roman" w:hAnsi="Times New Roman" w:cs="Times New Roman"/>
          <w:sz w:val="24"/>
          <w:szCs w:val="24"/>
        </w:rPr>
        <w:t>expected</w:t>
      </w:r>
      <w:r w:rsidR="005A664A">
        <w:rPr>
          <w:rFonts w:ascii="Times New Roman" w:hAnsi="Times New Roman" w:cs="Times New Roman"/>
          <w:sz w:val="24"/>
          <w:szCs w:val="24"/>
        </w:rPr>
        <w:t xml:space="preserve"> </w:t>
      </w:r>
      <w:r w:rsidR="00B8386C">
        <w:rPr>
          <w:rFonts w:ascii="Times New Roman" w:hAnsi="Times New Roman" w:cs="Times New Roman"/>
          <w:sz w:val="24"/>
          <w:szCs w:val="24"/>
        </w:rPr>
        <w:t xml:space="preserve">log </w:t>
      </w:r>
      <w:r w:rsidR="005A664A">
        <w:rPr>
          <w:rFonts w:ascii="Times New Roman" w:hAnsi="Times New Roman" w:cs="Times New Roman"/>
          <w:sz w:val="24"/>
          <w:szCs w:val="24"/>
        </w:rPr>
        <w:t xml:space="preserve">market </w:t>
      </w:r>
      <w:r w:rsidR="00B00CC3">
        <w:rPr>
          <w:rFonts w:ascii="Times New Roman" w:hAnsi="Times New Roman" w:cs="Times New Roman"/>
          <w:sz w:val="24"/>
          <w:szCs w:val="24"/>
        </w:rPr>
        <w:t>equity of</w:t>
      </w:r>
      <w:r w:rsidR="005A664A">
        <w:rPr>
          <w:rFonts w:ascii="Times New Roman" w:hAnsi="Times New Roman" w:cs="Times New Roman"/>
          <w:sz w:val="24"/>
          <w:szCs w:val="24"/>
        </w:rPr>
        <w:t xml:space="preserve"> a firm with </w:t>
      </w:r>
      <w:r w:rsidR="007D5C4D">
        <w:rPr>
          <w:rFonts w:ascii="Times New Roman" w:hAnsi="Times New Roman" w:cs="Times New Roman"/>
          <w:sz w:val="24"/>
          <w:szCs w:val="24"/>
        </w:rPr>
        <w:t>$</w:t>
      </w:r>
      <w:r w:rsidR="00DC312F">
        <w:rPr>
          <w:rFonts w:ascii="Times New Roman" w:hAnsi="Times New Roman" w:cs="Times New Roman"/>
          <w:sz w:val="24"/>
          <w:szCs w:val="24"/>
        </w:rPr>
        <w:t>1 million</w:t>
      </w:r>
      <w:r w:rsidR="007D5C4D">
        <w:rPr>
          <w:rFonts w:ascii="Times New Roman" w:hAnsi="Times New Roman" w:cs="Times New Roman"/>
          <w:sz w:val="24"/>
          <w:szCs w:val="24"/>
        </w:rPr>
        <w:t xml:space="preserve"> in net assets, $1 million </w:t>
      </w:r>
      <w:r w:rsidR="00A87EBF">
        <w:rPr>
          <w:rFonts w:ascii="Times New Roman" w:hAnsi="Times New Roman" w:cs="Times New Roman"/>
          <w:sz w:val="24"/>
          <w:szCs w:val="24"/>
        </w:rPr>
        <w:t xml:space="preserve">of </w:t>
      </w:r>
      <w:r w:rsidR="005A664A">
        <w:rPr>
          <w:rFonts w:ascii="Times New Roman" w:hAnsi="Times New Roman" w:cs="Times New Roman"/>
          <w:sz w:val="24"/>
          <w:szCs w:val="24"/>
        </w:rPr>
        <w:t xml:space="preserve">earnings, </w:t>
      </w:r>
      <w:r w:rsidR="00171CF0">
        <w:rPr>
          <w:rFonts w:ascii="Times New Roman" w:hAnsi="Times New Roman" w:cs="Times New Roman"/>
          <w:sz w:val="24"/>
          <w:szCs w:val="24"/>
        </w:rPr>
        <w:t>zero</w:t>
      </w:r>
      <w:r w:rsidR="005A664A">
        <w:rPr>
          <w:rFonts w:ascii="Times New Roman" w:hAnsi="Times New Roman" w:cs="Times New Roman"/>
          <w:sz w:val="24"/>
          <w:szCs w:val="24"/>
        </w:rPr>
        <w:t xml:space="preserve"> R&amp;D</w:t>
      </w:r>
      <w:r w:rsidR="00186763">
        <w:rPr>
          <w:rFonts w:ascii="Times New Roman" w:hAnsi="Times New Roman" w:cs="Times New Roman"/>
          <w:sz w:val="24"/>
          <w:szCs w:val="24"/>
        </w:rPr>
        <w:t xml:space="preserve"> capital</w:t>
      </w:r>
      <w:r w:rsidR="005A664A">
        <w:rPr>
          <w:rFonts w:ascii="Times New Roman" w:hAnsi="Times New Roman" w:cs="Times New Roman"/>
          <w:sz w:val="24"/>
          <w:szCs w:val="24"/>
        </w:rPr>
        <w:t xml:space="preserve">, and </w:t>
      </w:r>
      <w:r w:rsidR="00B8386C">
        <w:rPr>
          <w:rFonts w:ascii="Times New Roman" w:hAnsi="Times New Roman" w:cs="Times New Roman"/>
          <w:sz w:val="24"/>
          <w:szCs w:val="24"/>
        </w:rPr>
        <w:t xml:space="preserve">zero </w:t>
      </w:r>
      <w:r w:rsidR="005A664A">
        <w:rPr>
          <w:rFonts w:ascii="Times New Roman" w:hAnsi="Times New Roman" w:cs="Times New Roman"/>
          <w:sz w:val="24"/>
          <w:szCs w:val="24"/>
        </w:rPr>
        <w:t>leverage – can be</w:t>
      </w:r>
      <w:r w:rsidR="007D5C4D">
        <w:rPr>
          <w:rFonts w:ascii="Times New Roman" w:hAnsi="Times New Roman" w:cs="Times New Roman"/>
          <w:sz w:val="24"/>
          <w:szCs w:val="24"/>
        </w:rPr>
        <w:t xml:space="preserve"> loosely</w:t>
      </w:r>
      <w:r w:rsidR="005A664A">
        <w:rPr>
          <w:rFonts w:ascii="Times New Roman" w:hAnsi="Times New Roman" w:cs="Times New Roman"/>
          <w:sz w:val="24"/>
          <w:szCs w:val="24"/>
        </w:rPr>
        <w:t xml:space="preserve"> interpreted as the average value </w:t>
      </w:r>
      <w:r w:rsidR="008A6574">
        <w:rPr>
          <w:rFonts w:ascii="Times New Roman" w:hAnsi="Times New Roman" w:cs="Times New Roman"/>
          <w:sz w:val="24"/>
          <w:szCs w:val="24"/>
        </w:rPr>
        <w:t xml:space="preserve">(in logs) </w:t>
      </w:r>
      <w:r w:rsidR="005A664A">
        <w:rPr>
          <w:rFonts w:ascii="Times New Roman" w:hAnsi="Times New Roman" w:cs="Times New Roman"/>
          <w:sz w:val="24"/>
          <w:szCs w:val="24"/>
        </w:rPr>
        <w:t xml:space="preserve">of </w:t>
      </w:r>
      <w:r w:rsidR="00B00CC3">
        <w:rPr>
          <w:rFonts w:ascii="Times New Roman" w:hAnsi="Times New Roman" w:cs="Times New Roman"/>
          <w:sz w:val="24"/>
          <w:szCs w:val="24"/>
        </w:rPr>
        <w:t xml:space="preserve">unrecognized </w:t>
      </w:r>
      <w:r w:rsidR="005A664A">
        <w:rPr>
          <w:rFonts w:ascii="Times New Roman" w:hAnsi="Times New Roman" w:cs="Times New Roman"/>
          <w:sz w:val="24"/>
          <w:szCs w:val="24"/>
        </w:rPr>
        <w:t xml:space="preserve">intangible capital within </w:t>
      </w:r>
      <w:r w:rsidR="00BA67C8">
        <w:rPr>
          <w:rFonts w:ascii="Times New Roman" w:hAnsi="Times New Roman" w:cs="Times New Roman"/>
          <w:sz w:val="24"/>
          <w:szCs w:val="24"/>
        </w:rPr>
        <w:t>an</w:t>
      </w:r>
      <w:r w:rsidR="005A664A">
        <w:rPr>
          <w:rFonts w:ascii="Times New Roman" w:hAnsi="Times New Roman" w:cs="Times New Roman"/>
          <w:sz w:val="24"/>
          <w:szCs w:val="24"/>
        </w:rPr>
        <w:t xml:space="preserve"> industry. </w:t>
      </w:r>
      <w:r>
        <w:rPr>
          <w:rFonts w:ascii="Times New Roman" w:hAnsi="Times New Roman" w:cs="Times New Roman"/>
          <w:sz w:val="24"/>
          <w:szCs w:val="24"/>
        </w:rPr>
        <w:t xml:space="preserve">In line </w:t>
      </w:r>
      <w:r w:rsidR="005A664A">
        <w:rPr>
          <w:rFonts w:ascii="Times New Roman" w:hAnsi="Times New Roman" w:cs="Times New Roman"/>
          <w:sz w:val="24"/>
          <w:szCs w:val="24"/>
        </w:rPr>
        <w:t xml:space="preserve">with this interpretation, we find that the intercept is the lowest for utilities and the highest for </w:t>
      </w:r>
      <w:r w:rsidR="00B00CC3">
        <w:rPr>
          <w:rFonts w:ascii="Times New Roman" w:hAnsi="Times New Roman" w:cs="Times New Roman"/>
          <w:sz w:val="24"/>
          <w:szCs w:val="24"/>
        </w:rPr>
        <w:t xml:space="preserve">the </w:t>
      </w:r>
      <w:r w:rsidR="005A664A">
        <w:rPr>
          <w:rFonts w:ascii="Times New Roman" w:hAnsi="Times New Roman" w:cs="Times New Roman"/>
          <w:sz w:val="24"/>
          <w:szCs w:val="24"/>
        </w:rPr>
        <w:t>business equipment industry</w:t>
      </w:r>
      <w:r w:rsidR="00BA67C8">
        <w:rPr>
          <w:rFonts w:ascii="Times New Roman" w:hAnsi="Times New Roman" w:cs="Times New Roman"/>
          <w:sz w:val="24"/>
          <w:szCs w:val="24"/>
        </w:rPr>
        <w:t xml:space="preserve"> (</w:t>
      </w:r>
      <w:r w:rsidR="005A664A">
        <w:rPr>
          <w:rFonts w:ascii="Times New Roman" w:hAnsi="Times New Roman" w:cs="Times New Roman"/>
          <w:sz w:val="24"/>
          <w:szCs w:val="24"/>
        </w:rPr>
        <w:t>the latter is dominated by high-</w:t>
      </w:r>
      <w:r w:rsidR="005A664A">
        <w:rPr>
          <w:rFonts w:ascii="Times New Roman" w:hAnsi="Times New Roman" w:cs="Times New Roman"/>
          <w:sz w:val="24"/>
          <w:szCs w:val="24"/>
        </w:rPr>
        <w:lastRenderedPageBreak/>
        <w:t>tech firms</w:t>
      </w:r>
      <w:r w:rsidR="00BA67C8">
        <w:rPr>
          <w:rFonts w:ascii="Times New Roman" w:hAnsi="Times New Roman" w:cs="Times New Roman"/>
          <w:sz w:val="24"/>
          <w:szCs w:val="24"/>
        </w:rPr>
        <w:t>)</w:t>
      </w:r>
      <w:r w:rsidR="005A664A">
        <w:rPr>
          <w:rFonts w:ascii="Times New Roman" w:hAnsi="Times New Roman" w:cs="Times New Roman"/>
          <w:sz w:val="24"/>
          <w:szCs w:val="24"/>
        </w:rPr>
        <w:t>. The coefficient on capitaliz</w:t>
      </w:r>
      <w:r w:rsidR="005D3595">
        <w:rPr>
          <w:rFonts w:ascii="Times New Roman" w:hAnsi="Times New Roman" w:cs="Times New Roman"/>
          <w:sz w:val="24"/>
          <w:szCs w:val="24"/>
        </w:rPr>
        <w:t>ed R&amp;D follows the same pattern</w:t>
      </w:r>
      <w:r w:rsidR="005A664A">
        <w:rPr>
          <w:rFonts w:ascii="Times New Roman" w:hAnsi="Times New Roman" w:cs="Times New Roman"/>
          <w:sz w:val="24"/>
          <w:szCs w:val="24"/>
        </w:rPr>
        <w:t>: R&amp;D capital contributes positively to a firm’s market</w:t>
      </w:r>
      <w:r w:rsidR="00E737F8">
        <w:rPr>
          <w:rFonts w:ascii="Times New Roman" w:hAnsi="Times New Roman" w:cs="Times New Roman"/>
          <w:sz w:val="24"/>
          <w:szCs w:val="24"/>
        </w:rPr>
        <w:t xml:space="preserve"> equity</w:t>
      </w:r>
      <w:r w:rsidR="005A664A">
        <w:rPr>
          <w:rFonts w:ascii="Times New Roman" w:hAnsi="Times New Roman" w:cs="Times New Roman"/>
          <w:sz w:val="24"/>
          <w:szCs w:val="24"/>
        </w:rPr>
        <w:t xml:space="preserve"> in manufacturing and business equipment industries, but the effect is virtually zero for utilities firms.</w:t>
      </w:r>
      <w:r w:rsidR="00B45445">
        <w:rPr>
          <w:rFonts w:ascii="Times New Roman" w:hAnsi="Times New Roman" w:cs="Times New Roman"/>
          <w:sz w:val="24"/>
          <w:szCs w:val="24"/>
        </w:rPr>
        <w:t xml:space="preserve"> </w:t>
      </w:r>
      <w:r w:rsidR="00174B98">
        <w:rPr>
          <w:rFonts w:ascii="Times New Roman" w:hAnsi="Times New Roman" w:cs="Times New Roman"/>
          <w:sz w:val="24"/>
          <w:szCs w:val="24"/>
        </w:rPr>
        <w:t>B</w:t>
      </w:r>
      <w:r w:rsidR="00B45445">
        <w:rPr>
          <w:rFonts w:ascii="Times New Roman" w:hAnsi="Times New Roman" w:cs="Times New Roman"/>
          <w:sz w:val="24"/>
          <w:szCs w:val="24"/>
        </w:rPr>
        <w:t xml:space="preserve">ook value </w:t>
      </w:r>
      <w:r w:rsidR="00174B98">
        <w:rPr>
          <w:rFonts w:ascii="Times New Roman" w:hAnsi="Times New Roman" w:cs="Times New Roman"/>
          <w:sz w:val="24"/>
          <w:szCs w:val="24"/>
        </w:rPr>
        <w:t xml:space="preserve">of equity </w:t>
      </w:r>
      <w:r w:rsidR="00B45445">
        <w:rPr>
          <w:rFonts w:ascii="Times New Roman" w:hAnsi="Times New Roman" w:cs="Times New Roman"/>
          <w:sz w:val="24"/>
          <w:szCs w:val="24"/>
        </w:rPr>
        <w:t xml:space="preserve">and earnings </w:t>
      </w:r>
      <w:r w:rsidR="00174B98">
        <w:rPr>
          <w:rFonts w:ascii="Times New Roman" w:hAnsi="Times New Roman" w:cs="Times New Roman"/>
          <w:sz w:val="24"/>
          <w:szCs w:val="24"/>
        </w:rPr>
        <w:t xml:space="preserve">attract </w:t>
      </w:r>
      <w:r w:rsidR="00B45445">
        <w:rPr>
          <w:rFonts w:ascii="Times New Roman" w:hAnsi="Times New Roman" w:cs="Times New Roman"/>
          <w:sz w:val="24"/>
          <w:szCs w:val="24"/>
        </w:rPr>
        <w:t xml:space="preserve">multiples </w:t>
      </w:r>
      <w:r w:rsidR="00174B98">
        <w:rPr>
          <w:rFonts w:ascii="Times New Roman" w:hAnsi="Times New Roman" w:cs="Times New Roman"/>
          <w:sz w:val="24"/>
          <w:szCs w:val="24"/>
        </w:rPr>
        <w:t xml:space="preserve">that </w:t>
      </w:r>
      <w:r w:rsidR="00B45445">
        <w:rPr>
          <w:rFonts w:ascii="Times New Roman" w:hAnsi="Times New Roman" w:cs="Times New Roman"/>
          <w:sz w:val="24"/>
          <w:szCs w:val="24"/>
        </w:rPr>
        <w:t xml:space="preserve">are similar across the three industries. Interestingly, we find that the coefficient on </w:t>
      </w:r>
      <w:r w:rsidR="007F295D">
        <w:rPr>
          <w:rFonts w:ascii="Times New Roman" w:hAnsi="Times New Roman" w:cs="Times New Roman"/>
          <w:sz w:val="24"/>
          <w:szCs w:val="24"/>
        </w:rPr>
        <w:t>the loss dummy interaction</w:t>
      </w:r>
      <w:r w:rsidR="00B45445">
        <w:rPr>
          <w:rFonts w:ascii="Times New Roman" w:hAnsi="Times New Roman" w:cs="Times New Roman"/>
          <w:sz w:val="24"/>
          <w:szCs w:val="24"/>
        </w:rPr>
        <w:t xml:space="preserve"> is negative and highly statistically significant in manufacturing and business equipment industries, but not for utilities. </w:t>
      </w:r>
      <w:r w:rsidR="00745738">
        <w:rPr>
          <w:rFonts w:ascii="Times New Roman" w:hAnsi="Times New Roman" w:cs="Times New Roman"/>
          <w:sz w:val="24"/>
          <w:szCs w:val="24"/>
          <w:lang w:val="en-US"/>
        </w:rPr>
        <w:t>This suggests that investors view losses in the utilities industry as more transitory</w:t>
      </w:r>
      <w:r w:rsidR="00B45445">
        <w:rPr>
          <w:rFonts w:ascii="Times New Roman" w:hAnsi="Times New Roman" w:cs="Times New Roman"/>
          <w:sz w:val="24"/>
          <w:szCs w:val="24"/>
        </w:rPr>
        <w:t>.</w:t>
      </w:r>
      <w:r w:rsidR="002A2FBE">
        <w:rPr>
          <w:rFonts w:ascii="Times New Roman" w:hAnsi="Times New Roman" w:cs="Times New Roman"/>
          <w:sz w:val="24"/>
          <w:szCs w:val="24"/>
        </w:rPr>
        <w:t xml:space="preserve"> The coefficient on leverage is insignificant for all three industries. </w:t>
      </w:r>
      <w:r w:rsidR="008221C0">
        <w:rPr>
          <w:rFonts w:ascii="Times New Roman" w:hAnsi="Times New Roman" w:cs="Times New Roman"/>
          <w:sz w:val="24"/>
          <w:szCs w:val="24"/>
        </w:rPr>
        <w:t>One</w:t>
      </w:r>
      <w:r w:rsidR="002A2FBE">
        <w:rPr>
          <w:rFonts w:ascii="Times New Roman" w:hAnsi="Times New Roman" w:cs="Times New Roman"/>
          <w:sz w:val="24"/>
          <w:szCs w:val="24"/>
        </w:rPr>
        <w:t xml:space="preserve"> possible interpretation of this result is that, on average, firms operate at their optimal capital</w:t>
      </w:r>
      <w:r w:rsidR="00BA67C8">
        <w:rPr>
          <w:rFonts w:ascii="Times New Roman" w:hAnsi="Times New Roman" w:cs="Times New Roman"/>
          <w:sz w:val="24"/>
          <w:szCs w:val="24"/>
        </w:rPr>
        <w:t xml:space="preserve"> structure.</w:t>
      </w:r>
    </w:p>
    <w:p w14:paraId="76031D37" w14:textId="5D82F6C5" w:rsidR="002164C2" w:rsidRDefault="005F2D42"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We now turn to the results </w:t>
      </w:r>
      <w:r w:rsidR="002A5FAB">
        <w:rPr>
          <w:rFonts w:ascii="Times New Roman" w:hAnsi="Times New Roman" w:cs="Times New Roman"/>
          <w:sz w:val="24"/>
          <w:szCs w:val="24"/>
        </w:rPr>
        <w:t xml:space="preserve">from </w:t>
      </w:r>
      <w:r>
        <w:rPr>
          <w:rFonts w:ascii="Times New Roman" w:hAnsi="Times New Roman" w:cs="Times New Roman"/>
          <w:sz w:val="24"/>
          <w:szCs w:val="24"/>
        </w:rPr>
        <w:t>quantile regression</w:t>
      </w:r>
      <w:r w:rsidR="007F5AF9">
        <w:rPr>
          <w:rFonts w:ascii="Times New Roman" w:hAnsi="Times New Roman" w:cs="Times New Roman"/>
          <w:sz w:val="24"/>
          <w:szCs w:val="24"/>
        </w:rPr>
        <w:t>s</w:t>
      </w:r>
      <w:r>
        <w:rPr>
          <w:rFonts w:ascii="Times New Roman" w:hAnsi="Times New Roman" w:cs="Times New Roman"/>
          <w:sz w:val="24"/>
          <w:szCs w:val="24"/>
        </w:rPr>
        <w:t xml:space="preserve">. </w:t>
      </w:r>
      <w:r w:rsidR="008857C4">
        <w:rPr>
          <w:rFonts w:ascii="Times New Roman" w:hAnsi="Times New Roman" w:cs="Times New Roman"/>
          <w:sz w:val="24"/>
          <w:szCs w:val="24"/>
        </w:rPr>
        <w:t>Here, it</w:t>
      </w:r>
      <w:r>
        <w:rPr>
          <w:rFonts w:ascii="Times New Roman" w:hAnsi="Times New Roman" w:cs="Times New Roman"/>
          <w:sz w:val="24"/>
          <w:szCs w:val="24"/>
        </w:rPr>
        <w:t xml:space="preserve"> is most informative </w:t>
      </w:r>
      <w:r w:rsidR="008857C4">
        <w:rPr>
          <w:rFonts w:ascii="Times New Roman" w:hAnsi="Times New Roman" w:cs="Times New Roman"/>
          <w:sz w:val="24"/>
          <w:szCs w:val="24"/>
        </w:rPr>
        <w:t xml:space="preserve">to </w:t>
      </w:r>
      <w:r>
        <w:rPr>
          <w:rFonts w:ascii="Times New Roman" w:hAnsi="Times New Roman" w:cs="Times New Roman"/>
          <w:sz w:val="24"/>
          <w:szCs w:val="24"/>
        </w:rPr>
        <w:t xml:space="preserve">focus on the </w:t>
      </w:r>
      <w:r w:rsidRPr="00C50631">
        <w:rPr>
          <w:rFonts w:ascii="Times New Roman" w:hAnsi="Times New Roman" w:cs="Times New Roman"/>
          <w:sz w:val="24"/>
          <w:szCs w:val="24"/>
        </w:rPr>
        <w:t>IQR</w:t>
      </w:r>
      <w:r>
        <w:rPr>
          <w:rFonts w:ascii="Times New Roman" w:hAnsi="Times New Roman" w:cs="Times New Roman"/>
          <w:sz w:val="24"/>
          <w:szCs w:val="24"/>
        </w:rPr>
        <w:t xml:space="preserve"> coefficients</w:t>
      </w:r>
      <w:r w:rsidR="008857C4">
        <w:rPr>
          <w:rFonts w:ascii="Times New Roman" w:hAnsi="Times New Roman" w:cs="Times New Roman"/>
          <w:sz w:val="24"/>
          <w:szCs w:val="24"/>
        </w:rPr>
        <w:t>, as</w:t>
      </w:r>
      <w:r w:rsidR="00DD53C8">
        <w:rPr>
          <w:rFonts w:ascii="Times New Roman" w:hAnsi="Times New Roman" w:cs="Times New Roman"/>
          <w:sz w:val="24"/>
          <w:szCs w:val="24"/>
        </w:rPr>
        <w:t xml:space="preserve"> </w:t>
      </w:r>
      <w:r w:rsidR="00C862ED">
        <w:rPr>
          <w:rFonts w:ascii="Times New Roman" w:hAnsi="Times New Roman" w:cs="Times New Roman"/>
          <w:sz w:val="24"/>
          <w:szCs w:val="24"/>
        </w:rPr>
        <w:t>these</w:t>
      </w:r>
      <w:r w:rsidR="00DD53C8" w:rsidRPr="00DD53C8">
        <w:rPr>
          <w:rFonts w:ascii="Times New Roman" w:hAnsi="Times New Roman" w:cs="Times New Roman"/>
          <w:sz w:val="24"/>
          <w:szCs w:val="24"/>
        </w:rPr>
        <w:t xml:space="preserve"> coefficients</w:t>
      </w:r>
      <w:r w:rsidR="00543084" w:rsidRPr="00DD53C8">
        <w:rPr>
          <w:rFonts w:ascii="Times New Roman" w:hAnsi="Times New Roman" w:cs="Times New Roman"/>
          <w:sz w:val="24"/>
          <w:szCs w:val="24"/>
        </w:rPr>
        <w:t xml:space="preserve"> indicate</w:t>
      </w:r>
      <w:r w:rsidR="00543084">
        <w:rPr>
          <w:rFonts w:ascii="Times New Roman" w:hAnsi="Times New Roman" w:cs="Times New Roman"/>
          <w:sz w:val="24"/>
          <w:szCs w:val="24"/>
        </w:rPr>
        <w:t xml:space="preserve"> the impact of fundamentals in our valuation model on valuation uncertainty (</w:t>
      </w:r>
      <w:r w:rsidR="00543084" w:rsidRPr="00A87EBF">
        <w:rPr>
          <w:rFonts w:ascii="Times New Roman" w:hAnsi="Times New Roman" w:cs="Times New Roman"/>
          <w:i/>
          <w:sz w:val="24"/>
          <w:szCs w:val="24"/>
        </w:rPr>
        <w:t>VU</w:t>
      </w:r>
      <w:r w:rsidR="00543084">
        <w:rPr>
          <w:rFonts w:ascii="Times New Roman" w:hAnsi="Times New Roman" w:cs="Times New Roman"/>
          <w:sz w:val="24"/>
          <w:szCs w:val="24"/>
        </w:rPr>
        <w:t xml:space="preserve">). </w:t>
      </w:r>
      <w:r w:rsidR="00DD53C8">
        <w:rPr>
          <w:rFonts w:ascii="Times New Roman" w:hAnsi="Times New Roman" w:cs="Times New Roman"/>
          <w:sz w:val="24"/>
          <w:szCs w:val="24"/>
        </w:rPr>
        <w:t xml:space="preserve">In fact, </w:t>
      </w:r>
      <w:r w:rsidR="001715C1">
        <w:rPr>
          <w:rFonts w:ascii="Times New Roman" w:hAnsi="Times New Roman" w:cs="Times New Roman"/>
          <w:sz w:val="24"/>
          <w:szCs w:val="24"/>
        </w:rPr>
        <w:t xml:space="preserve">the variation in </w:t>
      </w:r>
      <w:r w:rsidR="001715C1" w:rsidRPr="00A87EBF">
        <w:rPr>
          <w:rFonts w:ascii="Times New Roman" w:hAnsi="Times New Roman" w:cs="Times New Roman"/>
          <w:i/>
          <w:sz w:val="24"/>
          <w:szCs w:val="24"/>
        </w:rPr>
        <w:t>VU</w:t>
      </w:r>
      <w:r w:rsidR="001715C1">
        <w:rPr>
          <w:rFonts w:ascii="Times New Roman" w:hAnsi="Times New Roman" w:cs="Times New Roman"/>
          <w:sz w:val="24"/>
          <w:szCs w:val="24"/>
        </w:rPr>
        <w:t xml:space="preserve"> comes from two sources: i) the variation in fundamentals across firms, and ii) the variation in </w:t>
      </w:r>
      <w:r w:rsidR="001715C1" w:rsidRPr="00C50631">
        <w:rPr>
          <w:rFonts w:ascii="Times New Roman" w:hAnsi="Times New Roman" w:cs="Times New Roman"/>
          <w:sz w:val="24"/>
          <w:szCs w:val="24"/>
        </w:rPr>
        <w:t>IQR</w:t>
      </w:r>
      <w:r w:rsidR="001715C1">
        <w:rPr>
          <w:rFonts w:ascii="Times New Roman" w:hAnsi="Times New Roman" w:cs="Times New Roman"/>
          <w:sz w:val="24"/>
          <w:szCs w:val="24"/>
        </w:rPr>
        <w:t xml:space="preserve"> coefficients across industr</w:t>
      </w:r>
      <w:r w:rsidR="008857C4">
        <w:rPr>
          <w:rFonts w:ascii="Times New Roman" w:hAnsi="Times New Roman" w:cs="Times New Roman"/>
          <w:sz w:val="24"/>
          <w:szCs w:val="24"/>
        </w:rPr>
        <w:t>y-years</w:t>
      </w:r>
      <w:r w:rsidR="001715C1">
        <w:rPr>
          <w:rFonts w:ascii="Times New Roman" w:hAnsi="Times New Roman" w:cs="Times New Roman"/>
          <w:sz w:val="24"/>
          <w:szCs w:val="24"/>
        </w:rPr>
        <w:t>.</w:t>
      </w:r>
      <w:r w:rsidR="00543084">
        <w:rPr>
          <w:rFonts w:ascii="Times New Roman" w:hAnsi="Times New Roman" w:cs="Times New Roman"/>
          <w:sz w:val="24"/>
          <w:szCs w:val="24"/>
        </w:rPr>
        <w:t xml:space="preserve"> The results indicate that</w:t>
      </w:r>
      <w:r>
        <w:rPr>
          <w:rFonts w:ascii="Times New Roman" w:hAnsi="Times New Roman" w:cs="Times New Roman"/>
          <w:sz w:val="24"/>
          <w:szCs w:val="24"/>
        </w:rPr>
        <w:t xml:space="preserve"> book value of equity</w:t>
      </w:r>
      <w:r w:rsidR="00C66098">
        <w:rPr>
          <w:rFonts w:ascii="Times New Roman" w:hAnsi="Times New Roman" w:cs="Times New Roman"/>
          <w:sz w:val="24"/>
          <w:szCs w:val="24"/>
        </w:rPr>
        <w:t xml:space="preserve"> </w:t>
      </w:r>
      <w:r w:rsidR="0017571A">
        <w:rPr>
          <w:rFonts w:ascii="Times New Roman" w:hAnsi="Times New Roman" w:cs="Times New Roman"/>
          <w:sz w:val="24"/>
          <w:szCs w:val="24"/>
        </w:rPr>
        <w:t>–</w:t>
      </w:r>
      <w:r w:rsidR="00D21D1B">
        <w:rPr>
          <w:rFonts w:ascii="Times New Roman" w:hAnsi="Times New Roman" w:cs="Times New Roman"/>
          <w:sz w:val="24"/>
          <w:szCs w:val="24"/>
        </w:rPr>
        <w:t xml:space="preserve"> </w:t>
      </w:r>
      <w:r w:rsidR="00C66098">
        <w:rPr>
          <w:rFonts w:ascii="Times New Roman" w:hAnsi="Times New Roman" w:cs="Times New Roman"/>
          <w:sz w:val="24"/>
          <w:szCs w:val="24"/>
        </w:rPr>
        <w:t>a measure of size</w:t>
      </w:r>
      <w:r w:rsidR="0017571A">
        <w:rPr>
          <w:rFonts w:ascii="Times New Roman" w:hAnsi="Times New Roman" w:cs="Times New Roman"/>
          <w:sz w:val="24"/>
          <w:szCs w:val="24"/>
        </w:rPr>
        <w:t xml:space="preserve"> –</w:t>
      </w:r>
      <w:r>
        <w:rPr>
          <w:rFonts w:ascii="Times New Roman" w:hAnsi="Times New Roman" w:cs="Times New Roman"/>
          <w:sz w:val="24"/>
          <w:szCs w:val="24"/>
        </w:rPr>
        <w:t xml:space="preserve"> has a negative impact on valuation uncertainty in manufacturing and business equipment industries. Interestingly, the same effect is </w:t>
      </w:r>
      <w:r w:rsidR="003501EF">
        <w:rPr>
          <w:rFonts w:ascii="Times New Roman" w:hAnsi="Times New Roman" w:cs="Times New Roman"/>
          <w:sz w:val="24"/>
          <w:szCs w:val="24"/>
        </w:rPr>
        <w:t xml:space="preserve">positive </w:t>
      </w:r>
      <w:r>
        <w:rPr>
          <w:rFonts w:ascii="Times New Roman" w:hAnsi="Times New Roman" w:cs="Times New Roman"/>
          <w:sz w:val="24"/>
          <w:szCs w:val="24"/>
        </w:rPr>
        <w:t>in the utilities industry</w:t>
      </w:r>
      <w:r w:rsidR="003501EF">
        <w:rPr>
          <w:rFonts w:ascii="Times New Roman" w:hAnsi="Times New Roman" w:cs="Times New Roman"/>
          <w:sz w:val="24"/>
          <w:szCs w:val="24"/>
        </w:rPr>
        <w:t>, albeit not statistically significant</w:t>
      </w:r>
      <w:r>
        <w:rPr>
          <w:rFonts w:ascii="Times New Roman" w:hAnsi="Times New Roman" w:cs="Times New Roman"/>
          <w:sz w:val="24"/>
          <w:szCs w:val="24"/>
        </w:rPr>
        <w:t>. Firms with larger earnings are associated with lower valuation uncertainty in utilities and manufacturing industries, but the effect is insignificant for business equipment firms. The coefficient on negative earnings is positive for all three industries, but</w:t>
      </w:r>
      <w:r w:rsidR="0001233B">
        <w:rPr>
          <w:rFonts w:ascii="Times New Roman" w:hAnsi="Times New Roman" w:cs="Times New Roman"/>
          <w:sz w:val="24"/>
          <w:szCs w:val="24"/>
        </w:rPr>
        <w:t xml:space="preserve"> statistically</w:t>
      </w:r>
      <w:r>
        <w:rPr>
          <w:rFonts w:ascii="Times New Roman" w:hAnsi="Times New Roman" w:cs="Times New Roman"/>
          <w:sz w:val="24"/>
          <w:szCs w:val="24"/>
        </w:rPr>
        <w:t xml:space="preserve"> significant only for manufacturing and business equipment firms: the size of losses does not contribute to valuation uncertainty in the utilities industry.</w:t>
      </w:r>
      <w:r w:rsidR="006761EF">
        <w:rPr>
          <w:rFonts w:ascii="Times New Roman" w:hAnsi="Times New Roman" w:cs="Times New Roman"/>
          <w:sz w:val="24"/>
          <w:szCs w:val="24"/>
        </w:rPr>
        <w:t xml:space="preserve"> The value of R&amp;D capital positively contributes to the spread of the distribution of estimated fundamental values in manufacturing and business equipment industries, but not in the </w:t>
      </w:r>
      <w:r w:rsidR="006761EF">
        <w:rPr>
          <w:rFonts w:ascii="Times New Roman" w:hAnsi="Times New Roman" w:cs="Times New Roman"/>
          <w:sz w:val="24"/>
          <w:szCs w:val="24"/>
        </w:rPr>
        <w:lastRenderedPageBreak/>
        <w:t>utilities industry.</w:t>
      </w:r>
      <w:r w:rsidR="003552CD">
        <w:rPr>
          <w:rStyle w:val="FootnoteReference"/>
          <w:rFonts w:ascii="Times New Roman" w:hAnsi="Times New Roman" w:cs="Times New Roman"/>
          <w:sz w:val="24"/>
          <w:szCs w:val="24"/>
        </w:rPr>
        <w:footnoteReference w:id="18"/>
      </w:r>
      <w:r w:rsidR="006761EF">
        <w:rPr>
          <w:rFonts w:ascii="Times New Roman" w:hAnsi="Times New Roman" w:cs="Times New Roman"/>
          <w:sz w:val="24"/>
          <w:szCs w:val="24"/>
        </w:rPr>
        <w:t xml:space="preserve"> The effect of leverage is insignificant throughout.</w:t>
      </w:r>
      <w:r w:rsidR="00A726BC">
        <w:rPr>
          <w:rFonts w:ascii="Times New Roman" w:hAnsi="Times New Roman" w:cs="Times New Roman"/>
          <w:sz w:val="24"/>
          <w:szCs w:val="24"/>
        </w:rPr>
        <w:t xml:space="preserve"> Finally, firms in the utilities industry have the lowest “base” level of valuation uncertainty, as evidenced by the intercept.</w:t>
      </w:r>
    </w:p>
    <w:p w14:paraId="7084CDEC" w14:textId="30F54395" w:rsidR="00580801" w:rsidRDefault="00E25C9B"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Figure </w:t>
      </w:r>
      <w:r w:rsidR="001C2129">
        <w:rPr>
          <w:rFonts w:ascii="Times New Roman" w:hAnsi="Times New Roman" w:cs="Times New Roman"/>
          <w:sz w:val="24"/>
          <w:szCs w:val="24"/>
        </w:rPr>
        <w:t xml:space="preserve">1 </w:t>
      </w:r>
      <w:r>
        <w:rPr>
          <w:rFonts w:ascii="Times New Roman" w:hAnsi="Times New Roman" w:cs="Times New Roman"/>
          <w:sz w:val="24"/>
          <w:szCs w:val="24"/>
        </w:rPr>
        <w:t xml:space="preserve">illustrates the core of our measurement framework using estimates for three sample firms as of the most recent year of our data (June 30, </w:t>
      </w:r>
      <w:r w:rsidR="0058673D">
        <w:rPr>
          <w:rFonts w:ascii="Times New Roman" w:hAnsi="Times New Roman" w:cs="Times New Roman"/>
          <w:sz w:val="24"/>
          <w:szCs w:val="24"/>
        </w:rPr>
        <w:t>2022</w:t>
      </w:r>
      <w:r>
        <w:rPr>
          <w:rFonts w:ascii="Times New Roman" w:hAnsi="Times New Roman" w:cs="Times New Roman"/>
          <w:sz w:val="24"/>
          <w:szCs w:val="24"/>
        </w:rPr>
        <w:t xml:space="preserve">). The three firms </w:t>
      </w:r>
      <w:r>
        <w:rPr>
          <w:rFonts w:ascii="Times New Roman" w:hAnsi="Times New Roman" w:cs="Times New Roman"/>
          <w:sz w:val="24"/>
          <w:szCs w:val="24"/>
        </w:rPr>
        <w:softHyphen/>
        <w:t xml:space="preserve">– NVidia Corp., </w:t>
      </w:r>
      <w:r w:rsidR="00261681">
        <w:rPr>
          <w:rFonts w:ascii="Times New Roman" w:hAnsi="Times New Roman" w:cs="Times New Roman"/>
          <w:sz w:val="24"/>
          <w:szCs w:val="24"/>
        </w:rPr>
        <w:t>Timken Co</w:t>
      </w:r>
      <w:r>
        <w:rPr>
          <w:rFonts w:ascii="Times New Roman" w:hAnsi="Times New Roman" w:cs="Times New Roman"/>
          <w:sz w:val="24"/>
          <w:szCs w:val="24"/>
        </w:rPr>
        <w:t xml:space="preserve">., and </w:t>
      </w:r>
      <w:r w:rsidR="00261681">
        <w:rPr>
          <w:rFonts w:ascii="Times New Roman" w:hAnsi="Times New Roman" w:cs="Times New Roman"/>
          <w:sz w:val="24"/>
          <w:szCs w:val="24"/>
        </w:rPr>
        <w:t>York Water Co</w:t>
      </w:r>
      <w:r>
        <w:rPr>
          <w:rFonts w:ascii="Times New Roman" w:hAnsi="Times New Roman" w:cs="Times New Roman"/>
          <w:sz w:val="24"/>
          <w:szCs w:val="24"/>
        </w:rPr>
        <w:t>. – come from the three industries discussed above, namely, business equipment, manufacturing, and utilities, respectively. For each firm we plot the predicted value of log market equity for various quantiles (from eq. (</w:t>
      </w:r>
      <w:r w:rsidR="001D07AC">
        <w:rPr>
          <w:rFonts w:ascii="Times New Roman" w:hAnsi="Times New Roman" w:cs="Times New Roman"/>
          <w:sz w:val="24"/>
          <w:szCs w:val="24"/>
        </w:rPr>
        <w:t>6</w:t>
      </w:r>
      <w:r>
        <w:rPr>
          <w:rFonts w:ascii="Times New Roman" w:hAnsi="Times New Roman" w:cs="Times New Roman"/>
          <w:sz w:val="24"/>
          <w:szCs w:val="24"/>
        </w:rPr>
        <w:t xml:space="preserve">)) on the horizontal axis, and the corresponding quantile </w:t>
      </w:r>
      <w:r w:rsidRPr="00051DFA">
        <w:rPr>
          <w:rFonts w:ascii="Times New Roman" w:hAnsi="Times New Roman" w:cs="Times New Roman"/>
          <w:i/>
          <w:sz w:val="24"/>
          <w:szCs w:val="24"/>
        </w:rPr>
        <w:t>x</w:t>
      </w:r>
      <w:r>
        <w:rPr>
          <w:rFonts w:ascii="Times New Roman" w:hAnsi="Times New Roman" w:cs="Times New Roman"/>
          <w:sz w:val="24"/>
          <w:szCs w:val="24"/>
        </w:rPr>
        <w:t xml:space="preserve"> on the vertical axis. Quantiles above the 50</w:t>
      </w:r>
      <w:r w:rsidRPr="00A36D09">
        <w:rPr>
          <w:rFonts w:ascii="Times New Roman" w:hAnsi="Times New Roman" w:cs="Times New Roman"/>
          <w:sz w:val="24"/>
          <w:szCs w:val="24"/>
          <w:vertAlign w:val="superscript"/>
        </w:rPr>
        <w:t>th</w:t>
      </w:r>
      <w:r>
        <w:rPr>
          <w:rFonts w:ascii="Times New Roman" w:hAnsi="Times New Roman" w:cs="Times New Roman"/>
          <w:sz w:val="24"/>
          <w:szCs w:val="24"/>
        </w:rPr>
        <w:t xml:space="preserve"> percentile are inverted as (1 – </w:t>
      </w:r>
      <w:r w:rsidRPr="00E8670C">
        <w:rPr>
          <w:rFonts w:ascii="Times New Roman" w:hAnsi="Times New Roman" w:cs="Times New Roman"/>
          <w:i/>
          <w:sz w:val="24"/>
          <w:szCs w:val="24"/>
        </w:rPr>
        <w:t>x</w:t>
      </w:r>
      <w:r>
        <w:rPr>
          <w:rFonts w:ascii="Times New Roman" w:hAnsi="Times New Roman" w:cs="Times New Roman"/>
          <w:sz w:val="24"/>
          <w:szCs w:val="24"/>
        </w:rPr>
        <w:t xml:space="preserve">), resulting in </w:t>
      </w:r>
      <w:r w:rsidR="000E0664">
        <w:rPr>
          <w:rFonts w:ascii="Times New Roman" w:hAnsi="Times New Roman" w:cs="Times New Roman"/>
          <w:sz w:val="24"/>
          <w:szCs w:val="24"/>
        </w:rPr>
        <w:t xml:space="preserve">a </w:t>
      </w:r>
      <w:r>
        <w:rPr>
          <w:rFonts w:ascii="Times New Roman" w:hAnsi="Times New Roman" w:cs="Times New Roman"/>
          <w:sz w:val="24"/>
          <w:szCs w:val="24"/>
        </w:rPr>
        <w:t>visual presentation that resembles the density function. The spread of the resulting distribution is summarized by its interquartile range</w:t>
      </w:r>
      <w:r w:rsidR="002F3EED" w:rsidRPr="002F3EED">
        <w:rPr>
          <w:rFonts w:ascii="Times New Roman" w:hAnsi="Times New Roman" w:cs="Times New Roman"/>
          <w:i/>
          <w:sz w:val="24"/>
          <w:szCs w:val="24"/>
        </w:rPr>
        <w:t xml:space="preserve"> </w:t>
      </w:r>
      <w:r w:rsidR="002F3EED" w:rsidRPr="003B24F6">
        <w:rPr>
          <w:rFonts w:ascii="Times New Roman" w:hAnsi="Times New Roman" w:cs="Times New Roman"/>
          <w:i/>
          <w:sz w:val="24"/>
          <w:szCs w:val="24"/>
        </w:rPr>
        <w:t>q</w:t>
      </w:r>
      <w:r w:rsidR="002F3EED" w:rsidRPr="003B24F6">
        <w:rPr>
          <w:rFonts w:ascii="Times New Roman" w:hAnsi="Times New Roman" w:cs="Times New Roman"/>
          <w:i/>
          <w:sz w:val="24"/>
          <w:szCs w:val="24"/>
          <w:vertAlign w:val="subscript"/>
        </w:rPr>
        <w:t>75</w:t>
      </w:r>
      <w:r w:rsidR="002F3EED">
        <w:rPr>
          <w:rFonts w:ascii="Times New Roman" w:hAnsi="Times New Roman" w:cs="Times New Roman"/>
          <w:sz w:val="24"/>
          <w:szCs w:val="24"/>
        </w:rPr>
        <w:t xml:space="preserve"> – </w:t>
      </w:r>
      <w:r w:rsidR="002F3EED" w:rsidRPr="003B24F6">
        <w:rPr>
          <w:rFonts w:ascii="Times New Roman" w:hAnsi="Times New Roman" w:cs="Times New Roman"/>
          <w:i/>
          <w:sz w:val="24"/>
          <w:szCs w:val="24"/>
        </w:rPr>
        <w:t>q</w:t>
      </w:r>
      <w:r w:rsidR="002F3EED" w:rsidRPr="003B24F6">
        <w:rPr>
          <w:rFonts w:ascii="Times New Roman" w:hAnsi="Times New Roman" w:cs="Times New Roman"/>
          <w:i/>
          <w:sz w:val="24"/>
          <w:szCs w:val="24"/>
          <w:vertAlign w:val="subscript"/>
        </w:rPr>
        <w:t>25</w:t>
      </w:r>
      <w:r>
        <w:rPr>
          <w:rFonts w:ascii="Times New Roman" w:hAnsi="Times New Roman" w:cs="Times New Roman"/>
          <w:sz w:val="24"/>
          <w:szCs w:val="24"/>
        </w:rPr>
        <w:t xml:space="preserve">. </w:t>
      </w:r>
      <w:r w:rsidRPr="0041248A">
        <w:rPr>
          <w:rFonts w:ascii="Times New Roman" w:hAnsi="Times New Roman" w:cs="Times New Roman"/>
          <w:sz w:val="24"/>
          <w:szCs w:val="24"/>
        </w:rPr>
        <w:t xml:space="preserve">Note that the logarithmic scale of the horizontal axis implies that </w:t>
      </w:r>
      <w:r w:rsidR="002F3EED" w:rsidRPr="003B24F6">
        <w:rPr>
          <w:rFonts w:ascii="Times New Roman" w:hAnsi="Times New Roman" w:cs="Times New Roman"/>
          <w:i/>
          <w:sz w:val="24"/>
          <w:szCs w:val="24"/>
        </w:rPr>
        <w:t>q</w:t>
      </w:r>
      <w:r w:rsidR="002F3EED" w:rsidRPr="003B24F6">
        <w:rPr>
          <w:rFonts w:ascii="Times New Roman" w:hAnsi="Times New Roman" w:cs="Times New Roman"/>
          <w:i/>
          <w:sz w:val="24"/>
          <w:szCs w:val="24"/>
          <w:vertAlign w:val="subscript"/>
        </w:rPr>
        <w:t>75</w:t>
      </w:r>
      <w:r w:rsidR="002F3EED">
        <w:rPr>
          <w:rFonts w:ascii="Times New Roman" w:hAnsi="Times New Roman" w:cs="Times New Roman"/>
          <w:sz w:val="24"/>
          <w:szCs w:val="24"/>
        </w:rPr>
        <w:t xml:space="preserve"> – </w:t>
      </w:r>
      <w:r w:rsidR="002F3EED" w:rsidRPr="003B24F6">
        <w:rPr>
          <w:rFonts w:ascii="Times New Roman" w:hAnsi="Times New Roman" w:cs="Times New Roman"/>
          <w:i/>
          <w:sz w:val="24"/>
          <w:szCs w:val="24"/>
        </w:rPr>
        <w:t>q</w:t>
      </w:r>
      <w:r w:rsidR="002F3EED" w:rsidRPr="003B24F6">
        <w:rPr>
          <w:rFonts w:ascii="Times New Roman" w:hAnsi="Times New Roman" w:cs="Times New Roman"/>
          <w:i/>
          <w:sz w:val="24"/>
          <w:szCs w:val="24"/>
          <w:vertAlign w:val="subscript"/>
        </w:rPr>
        <w:t>25</w:t>
      </w:r>
      <w:r w:rsidRPr="0041248A">
        <w:rPr>
          <w:rFonts w:ascii="Times New Roman" w:hAnsi="Times New Roman" w:cs="Times New Roman"/>
          <w:sz w:val="24"/>
          <w:szCs w:val="24"/>
        </w:rPr>
        <w:t xml:space="preserve"> is comparable across firms of different size.</w:t>
      </w:r>
      <w:r>
        <w:rPr>
          <w:rFonts w:ascii="Times New Roman" w:hAnsi="Times New Roman" w:cs="Times New Roman"/>
          <w:sz w:val="24"/>
          <w:szCs w:val="24"/>
        </w:rPr>
        <w:t xml:space="preserve"> The figure shows that the predicted equity values of NVidia Corp. are more spread out than those of </w:t>
      </w:r>
      <w:r w:rsidR="00261681">
        <w:rPr>
          <w:rFonts w:ascii="Times New Roman" w:hAnsi="Times New Roman" w:cs="Times New Roman"/>
          <w:sz w:val="24"/>
          <w:szCs w:val="24"/>
        </w:rPr>
        <w:t>Timken Co</w:t>
      </w:r>
      <w:r>
        <w:rPr>
          <w:rFonts w:ascii="Times New Roman" w:hAnsi="Times New Roman" w:cs="Times New Roman"/>
          <w:sz w:val="24"/>
          <w:szCs w:val="24"/>
        </w:rPr>
        <w:t xml:space="preserve">., while the predicted equity values of </w:t>
      </w:r>
      <w:r w:rsidR="00261681">
        <w:rPr>
          <w:rFonts w:ascii="Times New Roman" w:hAnsi="Times New Roman" w:cs="Times New Roman"/>
          <w:sz w:val="24"/>
          <w:szCs w:val="24"/>
        </w:rPr>
        <w:t>Timken Co</w:t>
      </w:r>
      <w:r>
        <w:rPr>
          <w:rFonts w:ascii="Times New Roman" w:hAnsi="Times New Roman" w:cs="Times New Roman"/>
          <w:sz w:val="24"/>
          <w:szCs w:val="24"/>
        </w:rPr>
        <w:t xml:space="preserve">. are more dispersed than those of </w:t>
      </w:r>
      <w:r w:rsidR="00261681">
        <w:rPr>
          <w:rFonts w:ascii="Times New Roman" w:hAnsi="Times New Roman" w:cs="Times New Roman"/>
          <w:sz w:val="24"/>
          <w:szCs w:val="24"/>
        </w:rPr>
        <w:t>York Water Co</w:t>
      </w:r>
      <w:r>
        <w:rPr>
          <w:rFonts w:ascii="Times New Roman" w:hAnsi="Times New Roman" w:cs="Times New Roman"/>
          <w:sz w:val="24"/>
          <w:szCs w:val="24"/>
        </w:rPr>
        <w:t xml:space="preserve">. Therefore, NVidia is subject to greater valuation uncertainty than </w:t>
      </w:r>
      <w:r w:rsidR="00261681">
        <w:rPr>
          <w:rFonts w:ascii="Times New Roman" w:hAnsi="Times New Roman" w:cs="Times New Roman"/>
          <w:sz w:val="24"/>
          <w:szCs w:val="24"/>
        </w:rPr>
        <w:t>Timken</w:t>
      </w:r>
      <w:r>
        <w:rPr>
          <w:rFonts w:ascii="Times New Roman" w:hAnsi="Times New Roman" w:cs="Times New Roman"/>
          <w:sz w:val="24"/>
          <w:szCs w:val="24"/>
        </w:rPr>
        <w:t xml:space="preserve">, while </w:t>
      </w:r>
      <w:r w:rsidR="00261681">
        <w:rPr>
          <w:rFonts w:ascii="Times New Roman" w:hAnsi="Times New Roman" w:cs="Times New Roman"/>
          <w:sz w:val="24"/>
          <w:szCs w:val="24"/>
        </w:rPr>
        <w:t>York Water</w:t>
      </w:r>
      <w:r>
        <w:rPr>
          <w:rFonts w:ascii="Times New Roman" w:hAnsi="Times New Roman" w:cs="Times New Roman"/>
          <w:sz w:val="24"/>
          <w:szCs w:val="24"/>
        </w:rPr>
        <w:t xml:space="preserve"> exhibits the lowest valuation uncertainty of the three firms.</w:t>
      </w:r>
      <w:r w:rsidR="00C320BD">
        <w:rPr>
          <w:rFonts w:ascii="Times New Roman" w:hAnsi="Times New Roman" w:cs="Times New Roman"/>
          <w:sz w:val="24"/>
          <w:szCs w:val="24"/>
        </w:rPr>
        <w:t xml:space="preserve"> </w:t>
      </w:r>
      <w:r w:rsidR="00C4527C">
        <w:rPr>
          <w:rFonts w:ascii="Times New Roman" w:hAnsi="Times New Roman" w:cs="Times New Roman"/>
          <w:sz w:val="24"/>
          <w:szCs w:val="24"/>
        </w:rPr>
        <w:t>Figu</w:t>
      </w:r>
      <w:r w:rsidR="00100C45">
        <w:rPr>
          <w:rFonts w:ascii="Times New Roman" w:hAnsi="Times New Roman" w:cs="Times New Roman"/>
          <w:sz w:val="24"/>
          <w:szCs w:val="24"/>
        </w:rPr>
        <w:t xml:space="preserve">re </w:t>
      </w:r>
      <w:r w:rsidR="001C2129">
        <w:rPr>
          <w:rFonts w:ascii="Times New Roman" w:hAnsi="Times New Roman" w:cs="Times New Roman"/>
          <w:sz w:val="24"/>
          <w:szCs w:val="24"/>
        </w:rPr>
        <w:t xml:space="preserve">1 </w:t>
      </w:r>
      <w:r w:rsidR="00100C45">
        <w:rPr>
          <w:rFonts w:ascii="Times New Roman" w:hAnsi="Times New Roman" w:cs="Times New Roman"/>
          <w:sz w:val="24"/>
          <w:szCs w:val="24"/>
        </w:rPr>
        <w:t>also demonstrates</w:t>
      </w:r>
      <w:r w:rsidR="00C4527C">
        <w:rPr>
          <w:rFonts w:ascii="Times New Roman" w:hAnsi="Times New Roman" w:cs="Times New Roman"/>
          <w:sz w:val="24"/>
          <w:szCs w:val="24"/>
        </w:rPr>
        <w:t xml:space="preserve"> the pitfalls of </w:t>
      </w:r>
      <w:r w:rsidR="00F526A8">
        <w:rPr>
          <w:rFonts w:ascii="Times New Roman" w:hAnsi="Times New Roman" w:cs="Times New Roman"/>
          <w:sz w:val="24"/>
          <w:szCs w:val="24"/>
        </w:rPr>
        <w:t>using</w:t>
      </w:r>
      <w:r w:rsidR="00C4527C">
        <w:rPr>
          <w:rFonts w:ascii="Times New Roman" w:hAnsi="Times New Roman" w:cs="Times New Roman"/>
          <w:sz w:val="24"/>
          <w:szCs w:val="24"/>
        </w:rPr>
        <w:t xml:space="preserve"> indirect proxies</w:t>
      </w:r>
      <w:r w:rsidR="00100C45">
        <w:rPr>
          <w:rFonts w:ascii="Times New Roman" w:hAnsi="Times New Roman" w:cs="Times New Roman"/>
          <w:sz w:val="24"/>
          <w:szCs w:val="24"/>
        </w:rPr>
        <w:t xml:space="preserve"> for valuation uncertainty</w:t>
      </w:r>
      <w:r w:rsidR="00C320BD">
        <w:rPr>
          <w:rFonts w:ascii="Times New Roman" w:hAnsi="Times New Roman" w:cs="Times New Roman"/>
          <w:sz w:val="24"/>
          <w:szCs w:val="24"/>
        </w:rPr>
        <w:t>. I</w:t>
      </w:r>
      <w:r w:rsidR="00C4527C">
        <w:rPr>
          <w:rFonts w:ascii="Times New Roman" w:hAnsi="Times New Roman" w:cs="Times New Roman"/>
          <w:sz w:val="24"/>
          <w:szCs w:val="24"/>
        </w:rPr>
        <w:t>n particular</w:t>
      </w:r>
      <w:r w:rsidR="00C320BD">
        <w:rPr>
          <w:rFonts w:ascii="Times New Roman" w:hAnsi="Times New Roman" w:cs="Times New Roman"/>
          <w:sz w:val="24"/>
          <w:szCs w:val="24"/>
        </w:rPr>
        <w:t>,</w:t>
      </w:r>
      <w:r w:rsidR="00100C45">
        <w:rPr>
          <w:rFonts w:ascii="Times New Roman" w:hAnsi="Times New Roman" w:cs="Times New Roman"/>
          <w:sz w:val="24"/>
          <w:szCs w:val="24"/>
        </w:rPr>
        <w:t xml:space="preserve"> note that</w:t>
      </w:r>
      <w:r w:rsidR="00C320BD">
        <w:rPr>
          <w:rFonts w:ascii="Times New Roman" w:hAnsi="Times New Roman" w:cs="Times New Roman"/>
          <w:sz w:val="24"/>
          <w:szCs w:val="24"/>
        </w:rPr>
        <w:t xml:space="preserve"> the horizontal axis reflects firm size </w:t>
      </w:r>
      <w:r w:rsidR="00C320BD">
        <w:rPr>
          <w:rFonts w:ascii="Times New Roman" w:hAnsi="Times New Roman" w:cs="Times New Roman"/>
          <w:sz w:val="24"/>
          <w:szCs w:val="24"/>
        </w:rPr>
        <w:softHyphen/>
        <w:t xml:space="preserve">– a commonly used </w:t>
      </w:r>
      <w:r w:rsidR="00100C45">
        <w:rPr>
          <w:rFonts w:ascii="Times New Roman" w:hAnsi="Times New Roman" w:cs="Times New Roman"/>
          <w:sz w:val="24"/>
          <w:szCs w:val="24"/>
        </w:rPr>
        <w:t>(inverse) measure</w:t>
      </w:r>
      <w:r w:rsidR="00C4527C">
        <w:rPr>
          <w:rFonts w:ascii="Times New Roman" w:hAnsi="Times New Roman" w:cs="Times New Roman"/>
          <w:sz w:val="24"/>
          <w:szCs w:val="24"/>
        </w:rPr>
        <w:t>.</w:t>
      </w:r>
      <w:r w:rsidR="00100C45">
        <w:rPr>
          <w:rFonts w:ascii="Times New Roman" w:hAnsi="Times New Roman" w:cs="Times New Roman"/>
          <w:sz w:val="24"/>
          <w:szCs w:val="24"/>
        </w:rPr>
        <w:t xml:space="preserve"> According to firm size,</w:t>
      </w:r>
      <w:r w:rsidR="00C320BD">
        <w:rPr>
          <w:rFonts w:ascii="Times New Roman" w:hAnsi="Times New Roman" w:cs="Times New Roman"/>
          <w:sz w:val="24"/>
          <w:szCs w:val="24"/>
        </w:rPr>
        <w:t xml:space="preserve"> </w:t>
      </w:r>
      <w:r w:rsidR="00C4527C">
        <w:rPr>
          <w:rFonts w:ascii="Times New Roman" w:hAnsi="Times New Roman" w:cs="Times New Roman"/>
          <w:sz w:val="24"/>
          <w:szCs w:val="24"/>
        </w:rPr>
        <w:t>NVidia</w:t>
      </w:r>
      <w:r w:rsidR="00C320BD">
        <w:rPr>
          <w:rFonts w:ascii="Times New Roman" w:hAnsi="Times New Roman" w:cs="Times New Roman"/>
          <w:sz w:val="24"/>
          <w:szCs w:val="24"/>
        </w:rPr>
        <w:t xml:space="preserve"> </w:t>
      </w:r>
      <w:r w:rsidR="00100C45">
        <w:rPr>
          <w:rFonts w:ascii="Times New Roman" w:hAnsi="Times New Roman" w:cs="Times New Roman"/>
          <w:sz w:val="24"/>
          <w:szCs w:val="24"/>
        </w:rPr>
        <w:t>i</w:t>
      </w:r>
      <w:r w:rsidR="00C320BD">
        <w:rPr>
          <w:rFonts w:ascii="Times New Roman" w:hAnsi="Times New Roman" w:cs="Times New Roman"/>
          <w:sz w:val="24"/>
          <w:szCs w:val="24"/>
        </w:rPr>
        <w:t xml:space="preserve">s the </w:t>
      </w:r>
      <w:r w:rsidR="003A5DF4">
        <w:rPr>
          <w:rFonts w:ascii="Times New Roman" w:hAnsi="Times New Roman" w:cs="Times New Roman"/>
          <w:sz w:val="24"/>
          <w:szCs w:val="24"/>
        </w:rPr>
        <w:t xml:space="preserve">least </w:t>
      </w:r>
      <w:r w:rsidR="00C320BD">
        <w:rPr>
          <w:rFonts w:ascii="Times New Roman" w:hAnsi="Times New Roman" w:cs="Times New Roman"/>
          <w:sz w:val="24"/>
          <w:szCs w:val="24"/>
        </w:rPr>
        <w:t>uncertain firm and</w:t>
      </w:r>
      <w:r w:rsidR="00C4527C">
        <w:rPr>
          <w:rFonts w:ascii="Times New Roman" w:hAnsi="Times New Roman" w:cs="Times New Roman"/>
          <w:sz w:val="24"/>
          <w:szCs w:val="24"/>
        </w:rPr>
        <w:t xml:space="preserve"> </w:t>
      </w:r>
      <w:r w:rsidR="00261681">
        <w:rPr>
          <w:rFonts w:ascii="Times New Roman" w:hAnsi="Times New Roman" w:cs="Times New Roman"/>
          <w:sz w:val="24"/>
          <w:szCs w:val="24"/>
        </w:rPr>
        <w:t xml:space="preserve">York </w:t>
      </w:r>
      <w:r w:rsidR="00C4527C">
        <w:rPr>
          <w:rFonts w:ascii="Times New Roman" w:hAnsi="Times New Roman" w:cs="Times New Roman"/>
          <w:sz w:val="24"/>
          <w:szCs w:val="24"/>
        </w:rPr>
        <w:t xml:space="preserve">Water </w:t>
      </w:r>
      <w:r w:rsidR="00AA578E">
        <w:rPr>
          <w:rFonts w:ascii="Times New Roman" w:hAnsi="Times New Roman" w:cs="Times New Roman"/>
          <w:sz w:val="24"/>
          <w:szCs w:val="24"/>
        </w:rPr>
        <w:t>i</w:t>
      </w:r>
      <w:r w:rsidR="00C320BD">
        <w:rPr>
          <w:rFonts w:ascii="Times New Roman" w:hAnsi="Times New Roman" w:cs="Times New Roman"/>
          <w:sz w:val="24"/>
          <w:szCs w:val="24"/>
        </w:rPr>
        <w:t xml:space="preserve">s the </w:t>
      </w:r>
      <w:r w:rsidR="003A5DF4">
        <w:rPr>
          <w:rFonts w:ascii="Times New Roman" w:hAnsi="Times New Roman" w:cs="Times New Roman"/>
          <w:sz w:val="24"/>
          <w:szCs w:val="24"/>
        </w:rPr>
        <w:t xml:space="preserve">most </w:t>
      </w:r>
      <w:r w:rsidR="00C320BD">
        <w:rPr>
          <w:rFonts w:ascii="Times New Roman" w:hAnsi="Times New Roman" w:cs="Times New Roman"/>
          <w:sz w:val="24"/>
          <w:szCs w:val="24"/>
        </w:rPr>
        <w:t>uncertain</w:t>
      </w:r>
      <w:r w:rsidR="00C4527C">
        <w:rPr>
          <w:rFonts w:ascii="Times New Roman" w:hAnsi="Times New Roman" w:cs="Times New Roman"/>
          <w:sz w:val="24"/>
          <w:szCs w:val="24"/>
        </w:rPr>
        <w:t xml:space="preserve"> – exactly opposite </w:t>
      </w:r>
      <w:r w:rsidR="00AC161A">
        <w:rPr>
          <w:rFonts w:ascii="Times New Roman" w:hAnsi="Times New Roman" w:cs="Times New Roman"/>
          <w:sz w:val="24"/>
          <w:szCs w:val="24"/>
        </w:rPr>
        <w:t>to</w:t>
      </w:r>
      <w:r w:rsidR="007266FB">
        <w:rPr>
          <w:rFonts w:ascii="Times New Roman" w:hAnsi="Times New Roman" w:cs="Times New Roman"/>
          <w:sz w:val="24"/>
          <w:szCs w:val="24"/>
        </w:rPr>
        <w:t xml:space="preserve"> </w:t>
      </w:r>
      <w:r w:rsidR="00C320BD">
        <w:rPr>
          <w:rFonts w:ascii="Times New Roman" w:hAnsi="Times New Roman" w:cs="Times New Roman"/>
          <w:sz w:val="24"/>
          <w:szCs w:val="24"/>
        </w:rPr>
        <w:t>our inference.</w:t>
      </w:r>
      <w:r w:rsidR="00580801">
        <w:rPr>
          <w:rFonts w:ascii="Times New Roman" w:hAnsi="Times New Roman" w:cs="Times New Roman"/>
          <w:sz w:val="24"/>
          <w:szCs w:val="24"/>
        </w:rPr>
        <w:t xml:space="preserve"> </w:t>
      </w:r>
    </w:p>
    <w:p w14:paraId="2E76451E" w14:textId="5B07EBD0" w:rsidR="00647636" w:rsidRDefault="00E25C9B"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 our analysis below, we work with exponentiated values of predicted quantiles and compute our valuation uncertainty measure </w:t>
      </w:r>
      <w:r w:rsidRPr="0041248A">
        <w:rPr>
          <w:rFonts w:ascii="Times New Roman" w:hAnsi="Times New Roman" w:cs="Times New Roman"/>
          <w:i/>
          <w:sz w:val="24"/>
          <w:szCs w:val="24"/>
        </w:rPr>
        <w:t>VU</w:t>
      </w:r>
      <w:r>
        <w:rPr>
          <w:rFonts w:ascii="Times New Roman" w:hAnsi="Times New Roman" w:cs="Times New Roman"/>
          <w:sz w:val="24"/>
          <w:szCs w:val="24"/>
        </w:rPr>
        <w:t xml:space="preserve"> as the interquartile range scaled by the midpoint, as shown in eq. (</w:t>
      </w:r>
      <w:r w:rsidR="001D07AC">
        <w:rPr>
          <w:rFonts w:ascii="Times New Roman" w:hAnsi="Times New Roman" w:cs="Times New Roman"/>
          <w:sz w:val="24"/>
          <w:szCs w:val="24"/>
        </w:rPr>
        <w:t>10</w:t>
      </w:r>
      <w:r>
        <w:rPr>
          <w:rFonts w:ascii="Times New Roman" w:hAnsi="Times New Roman" w:cs="Times New Roman"/>
          <w:sz w:val="24"/>
          <w:szCs w:val="24"/>
        </w:rPr>
        <w:t xml:space="preserve">). </w:t>
      </w:r>
      <w:r w:rsidR="002663A5">
        <w:rPr>
          <w:rFonts w:ascii="Times New Roman" w:hAnsi="Times New Roman" w:cs="Times New Roman"/>
          <w:sz w:val="24"/>
          <w:szCs w:val="24"/>
        </w:rPr>
        <w:t xml:space="preserve">Prior to computing </w:t>
      </w:r>
      <w:r w:rsidR="002663A5" w:rsidRPr="002663A5">
        <w:rPr>
          <w:rFonts w:ascii="Times New Roman" w:hAnsi="Times New Roman" w:cs="Times New Roman"/>
          <w:i/>
          <w:sz w:val="24"/>
          <w:szCs w:val="24"/>
        </w:rPr>
        <w:t>VU</w:t>
      </w:r>
      <w:r w:rsidR="002663A5" w:rsidRPr="002663A5">
        <w:rPr>
          <w:rFonts w:ascii="Times New Roman" w:hAnsi="Times New Roman" w:cs="Times New Roman"/>
          <w:sz w:val="24"/>
          <w:szCs w:val="24"/>
        </w:rPr>
        <w:t>, we ensure that the distributions of</w:t>
      </w:r>
      <w:r w:rsidR="008E15B2">
        <w:rPr>
          <w:rFonts w:ascii="Times New Roman" w:hAnsi="Times New Roman" w:cs="Times New Roman"/>
          <w:sz w:val="24"/>
          <w:szCs w:val="24"/>
        </w:rPr>
        <w:t xml:space="preserve"> implied</w:t>
      </w:r>
      <w:r w:rsidR="002663A5" w:rsidRPr="002663A5">
        <w:rPr>
          <w:rFonts w:ascii="Times New Roman" w:hAnsi="Times New Roman" w:cs="Times New Roman"/>
          <w:sz w:val="24"/>
          <w:szCs w:val="24"/>
        </w:rPr>
        <w:t xml:space="preserve"> fundamental value are well-behaved. Specifically, we require that </w:t>
      </w:r>
      <w:r w:rsidR="00663642" w:rsidRPr="00C221D0">
        <w:rPr>
          <w:rFonts w:ascii="Times New Roman" w:hAnsi="Times New Roman" w:cs="Times New Roman"/>
          <w:i/>
          <w:sz w:val="24"/>
          <w:szCs w:val="24"/>
        </w:rPr>
        <w:t>Q</w:t>
      </w:r>
      <w:r w:rsidR="00CC5441" w:rsidRPr="00C221D0">
        <w:rPr>
          <w:rFonts w:ascii="Times New Roman" w:hAnsi="Times New Roman" w:cs="Times New Roman"/>
          <w:i/>
          <w:sz w:val="24"/>
          <w:szCs w:val="24"/>
          <w:vertAlign w:val="subscript"/>
        </w:rPr>
        <w:t>12.</w:t>
      </w:r>
      <w:r w:rsidR="00663642" w:rsidRPr="00C221D0">
        <w:rPr>
          <w:rFonts w:ascii="Times New Roman" w:hAnsi="Times New Roman" w:cs="Times New Roman"/>
          <w:i/>
          <w:sz w:val="24"/>
          <w:szCs w:val="24"/>
          <w:vertAlign w:val="subscript"/>
        </w:rPr>
        <w:t>5</w:t>
      </w:r>
      <w:r w:rsidR="003428D3" w:rsidRPr="00C221D0">
        <w:rPr>
          <w:rFonts w:ascii="Times New Roman" w:hAnsi="Times New Roman" w:cs="Times New Roman"/>
          <w:i/>
          <w:sz w:val="24"/>
          <w:szCs w:val="24"/>
        </w:rPr>
        <w:t xml:space="preserve"> </w:t>
      </w:r>
      <w:r w:rsidR="00663642" w:rsidRPr="00C221D0">
        <w:rPr>
          <w:rFonts w:ascii="Times New Roman" w:hAnsi="Times New Roman" w:cs="Times New Roman"/>
          <w:i/>
          <w:sz w:val="24"/>
          <w:szCs w:val="24"/>
        </w:rPr>
        <w:t>&lt;</w:t>
      </w:r>
      <w:r w:rsidR="003428D3" w:rsidRPr="00C221D0">
        <w:rPr>
          <w:rFonts w:ascii="Times New Roman" w:hAnsi="Times New Roman" w:cs="Times New Roman"/>
          <w:i/>
          <w:sz w:val="24"/>
          <w:szCs w:val="24"/>
        </w:rPr>
        <w:t xml:space="preserve"> </w:t>
      </w:r>
      <w:r w:rsidR="00663642" w:rsidRPr="00C221D0">
        <w:rPr>
          <w:rFonts w:ascii="Times New Roman" w:hAnsi="Times New Roman" w:cs="Times New Roman"/>
          <w:i/>
          <w:sz w:val="24"/>
          <w:szCs w:val="24"/>
        </w:rPr>
        <w:t>Q</w:t>
      </w:r>
      <w:r w:rsidR="00663642" w:rsidRPr="00C221D0">
        <w:rPr>
          <w:rFonts w:ascii="Times New Roman" w:hAnsi="Times New Roman" w:cs="Times New Roman"/>
          <w:i/>
          <w:sz w:val="24"/>
          <w:szCs w:val="24"/>
          <w:vertAlign w:val="subscript"/>
        </w:rPr>
        <w:t>25</w:t>
      </w:r>
      <w:r w:rsidR="003428D3" w:rsidRPr="00C221D0">
        <w:rPr>
          <w:rFonts w:ascii="Times New Roman" w:hAnsi="Times New Roman" w:cs="Times New Roman"/>
          <w:i/>
          <w:sz w:val="24"/>
          <w:szCs w:val="24"/>
        </w:rPr>
        <w:t xml:space="preserve"> </w:t>
      </w:r>
      <w:r w:rsidR="00663642" w:rsidRPr="00C221D0">
        <w:rPr>
          <w:rFonts w:ascii="Times New Roman" w:hAnsi="Times New Roman" w:cs="Times New Roman"/>
          <w:i/>
          <w:sz w:val="24"/>
          <w:szCs w:val="24"/>
        </w:rPr>
        <w:t>&lt;</w:t>
      </w:r>
      <w:r w:rsidR="003428D3" w:rsidRPr="00C221D0">
        <w:rPr>
          <w:rFonts w:ascii="Times New Roman" w:hAnsi="Times New Roman" w:cs="Times New Roman"/>
          <w:i/>
          <w:sz w:val="24"/>
          <w:szCs w:val="24"/>
        </w:rPr>
        <w:t xml:space="preserve"> </w:t>
      </w:r>
      <w:r w:rsidR="00CC5441" w:rsidRPr="00C221D0">
        <w:rPr>
          <w:rFonts w:ascii="Times New Roman" w:hAnsi="Times New Roman" w:cs="Times New Roman"/>
          <w:i/>
          <w:sz w:val="24"/>
          <w:szCs w:val="24"/>
        </w:rPr>
        <w:t>Q</w:t>
      </w:r>
      <w:r w:rsidR="00CC5441" w:rsidRPr="00C221D0">
        <w:rPr>
          <w:rFonts w:ascii="Times New Roman" w:hAnsi="Times New Roman" w:cs="Times New Roman"/>
          <w:i/>
          <w:sz w:val="24"/>
          <w:szCs w:val="24"/>
          <w:vertAlign w:val="subscript"/>
        </w:rPr>
        <w:t>37.</w:t>
      </w:r>
      <w:r w:rsidR="00663642" w:rsidRPr="00C221D0">
        <w:rPr>
          <w:rFonts w:ascii="Times New Roman" w:hAnsi="Times New Roman" w:cs="Times New Roman"/>
          <w:i/>
          <w:sz w:val="24"/>
          <w:szCs w:val="24"/>
          <w:vertAlign w:val="subscript"/>
        </w:rPr>
        <w:t>5</w:t>
      </w:r>
      <w:r w:rsidR="003428D3" w:rsidRPr="00C221D0">
        <w:rPr>
          <w:rFonts w:ascii="Times New Roman" w:hAnsi="Times New Roman" w:cs="Times New Roman"/>
          <w:i/>
          <w:sz w:val="24"/>
          <w:szCs w:val="24"/>
        </w:rPr>
        <w:t xml:space="preserve"> </w:t>
      </w:r>
      <w:r w:rsidR="00663642" w:rsidRPr="00C221D0">
        <w:rPr>
          <w:rFonts w:ascii="Times New Roman" w:hAnsi="Times New Roman" w:cs="Times New Roman"/>
          <w:i/>
          <w:sz w:val="24"/>
          <w:szCs w:val="24"/>
        </w:rPr>
        <w:t>&lt;</w:t>
      </w:r>
      <w:r w:rsidR="00CC5441" w:rsidRPr="00C221D0">
        <w:rPr>
          <w:rFonts w:ascii="Times New Roman" w:hAnsi="Times New Roman" w:cs="Times New Roman"/>
          <w:i/>
          <w:sz w:val="24"/>
          <w:szCs w:val="24"/>
        </w:rPr>
        <w:t xml:space="preserve"> Q</w:t>
      </w:r>
      <w:r w:rsidR="00CC5441" w:rsidRPr="00C221D0">
        <w:rPr>
          <w:rFonts w:ascii="Times New Roman" w:hAnsi="Times New Roman" w:cs="Times New Roman"/>
          <w:i/>
          <w:sz w:val="24"/>
          <w:szCs w:val="24"/>
          <w:vertAlign w:val="subscript"/>
        </w:rPr>
        <w:t>50</w:t>
      </w:r>
      <w:r w:rsidR="00CC5441" w:rsidRPr="00C221D0">
        <w:rPr>
          <w:rFonts w:ascii="Times New Roman" w:hAnsi="Times New Roman" w:cs="Times New Roman"/>
          <w:i/>
          <w:sz w:val="24"/>
          <w:szCs w:val="24"/>
        </w:rPr>
        <w:t xml:space="preserve"> &lt; Q</w:t>
      </w:r>
      <w:r w:rsidR="00CC5441" w:rsidRPr="00C221D0">
        <w:rPr>
          <w:rFonts w:ascii="Times New Roman" w:hAnsi="Times New Roman" w:cs="Times New Roman"/>
          <w:i/>
          <w:sz w:val="24"/>
          <w:szCs w:val="24"/>
          <w:vertAlign w:val="subscript"/>
        </w:rPr>
        <w:t>62.</w:t>
      </w:r>
      <w:r w:rsidR="003428D3" w:rsidRPr="00C221D0">
        <w:rPr>
          <w:rFonts w:ascii="Times New Roman" w:hAnsi="Times New Roman" w:cs="Times New Roman"/>
          <w:i/>
          <w:sz w:val="24"/>
          <w:szCs w:val="24"/>
          <w:vertAlign w:val="subscript"/>
        </w:rPr>
        <w:t>5</w:t>
      </w:r>
      <w:r w:rsidR="003428D3" w:rsidRPr="00C221D0">
        <w:rPr>
          <w:rFonts w:ascii="Times New Roman" w:hAnsi="Times New Roman" w:cs="Times New Roman"/>
          <w:i/>
          <w:sz w:val="24"/>
          <w:szCs w:val="24"/>
        </w:rPr>
        <w:t xml:space="preserve"> </w:t>
      </w:r>
      <w:r w:rsidR="003428D3" w:rsidRPr="00C221D0">
        <w:rPr>
          <w:rFonts w:ascii="Times New Roman" w:hAnsi="Times New Roman" w:cs="Times New Roman"/>
          <w:i/>
          <w:sz w:val="24"/>
          <w:szCs w:val="24"/>
        </w:rPr>
        <w:lastRenderedPageBreak/>
        <w:t>&lt; Q</w:t>
      </w:r>
      <w:r w:rsidR="003428D3" w:rsidRPr="00C221D0">
        <w:rPr>
          <w:rFonts w:ascii="Times New Roman" w:hAnsi="Times New Roman" w:cs="Times New Roman"/>
          <w:i/>
          <w:sz w:val="24"/>
          <w:szCs w:val="24"/>
          <w:vertAlign w:val="subscript"/>
        </w:rPr>
        <w:t>75</w:t>
      </w:r>
      <w:r w:rsidR="003428D3" w:rsidRPr="00C221D0">
        <w:rPr>
          <w:rFonts w:ascii="Times New Roman" w:hAnsi="Times New Roman" w:cs="Times New Roman"/>
          <w:i/>
          <w:sz w:val="24"/>
          <w:szCs w:val="24"/>
        </w:rPr>
        <w:t xml:space="preserve"> &lt; Q</w:t>
      </w:r>
      <w:r w:rsidR="00CC5441" w:rsidRPr="00C221D0">
        <w:rPr>
          <w:rFonts w:ascii="Times New Roman" w:hAnsi="Times New Roman" w:cs="Times New Roman"/>
          <w:i/>
          <w:sz w:val="24"/>
          <w:szCs w:val="24"/>
          <w:vertAlign w:val="subscript"/>
        </w:rPr>
        <w:t>87.</w:t>
      </w:r>
      <w:r w:rsidR="003428D3" w:rsidRPr="00C221D0">
        <w:rPr>
          <w:rFonts w:ascii="Times New Roman" w:hAnsi="Times New Roman" w:cs="Times New Roman"/>
          <w:i/>
          <w:sz w:val="24"/>
          <w:szCs w:val="24"/>
          <w:vertAlign w:val="subscript"/>
        </w:rPr>
        <w:t>5</w:t>
      </w:r>
      <w:r w:rsidR="003428D3">
        <w:rPr>
          <w:rFonts w:ascii="Times New Roman" w:hAnsi="Times New Roman" w:cs="Times New Roman"/>
          <w:sz w:val="24"/>
          <w:szCs w:val="24"/>
        </w:rPr>
        <w:t xml:space="preserve">, and that </w:t>
      </w:r>
      <w:r w:rsidR="008F3D97">
        <w:rPr>
          <w:rFonts w:ascii="Times New Roman" w:hAnsi="Times New Roman" w:cs="Times New Roman"/>
          <w:sz w:val="24"/>
          <w:szCs w:val="24"/>
        </w:rPr>
        <w:t>the difference</w:t>
      </w:r>
      <w:r w:rsidR="00EC6DE4">
        <w:rPr>
          <w:rFonts w:ascii="Times New Roman" w:hAnsi="Times New Roman" w:cs="Times New Roman"/>
          <w:sz w:val="24"/>
          <w:szCs w:val="24"/>
        </w:rPr>
        <w:t xml:space="preserve"> in predicted value</w:t>
      </w:r>
      <w:r w:rsidR="002C7C88">
        <w:rPr>
          <w:rFonts w:ascii="Times New Roman" w:hAnsi="Times New Roman" w:cs="Times New Roman"/>
          <w:sz w:val="24"/>
          <w:szCs w:val="24"/>
        </w:rPr>
        <w:t>s</w:t>
      </w:r>
      <w:r w:rsidR="00EC6DE4">
        <w:rPr>
          <w:rFonts w:ascii="Times New Roman" w:hAnsi="Times New Roman" w:cs="Times New Roman"/>
          <w:sz w:val="24"/>
          <w:szCs w:val="24"/>
        </w:rPr>
        <w:t xml:space="preserve"> </w:t>
      </w:r>
      <w:r w:rsidR="00BE7DFA">
        <w:rPr>
          <w:rFonts w:ascii="Times New Roman" w:hAnsi="Times New Roman" w:cs="Times New Roman"/>
          <w:sz w:val="24"/>
          <w:szCs w:val="24"/>
        </w:rPr>
        <w:t>for</w:t>
      </w:r>
      <w:r w:rsidR="00EC6DE4">
        <w:rPr>
          <w:rFonts w:ascii="Times New Roman" w:hAnsi="Times New Roman" w:cs="Times New Roman"/>
          <w:sz w:val="24"/>
          <w:szCs w:val="24"/>
        </w:rPr>
        <w:t xml:space="preserve"> each of these increments</w:t>
      </w:r>
      <w:r w:rsidR="008F3D97">
        <w:rPr>
          <w:rFonts w:ascii="Times New Roman" w:hAnsi="Times New Roman" w:cs="Times New Roman"/>
          <w:sz w:val="24"/>
          <w:szCs w:val="24"/>
        </w:rPr>
        <w:t xml:space="preserve"> is at least </w:t>
      </w:r>
      <w:r w:rsidR="003428D3">
        <w:rPr>
          <w:rFonts w:ascii="Times New Roman" w:hAnsi="Times New Roman" w:cs="Times New Roman"/>
          <w:sz w:val="24"/>
          <w:szCs w:val="24"/>
        </w:rPr>
        <w:t xml:space="preserve">1%. </w:t>
      </w:r>
      <w:r w:rsidR="00EC6DE4">
        <w:rPr>
          <w:rFonts w:ascii="Times New Roman" w:hAnsi="Times New Roman" w:cs="Times New Roman"/>
          <w:sz w:val="24"/>
          <w:szCs w:val="24"/>
        </w:rPr>
        <w:t>Our</w:t>
      </w:r>
      <w:r w:rsidR="008F3D97">
        <w:rPr>
          <w:rFonts w:ascii="Times New Roman" w:hAnsi="Times New Roman" w:cs="Times New Roman"/>
          <w:sz w:val="24"/>
          <w:szCs w:val="24"/>
        </w:rPr>
        <w:t xml:space="preserve"> </w:t>
      </w:r>
      <w:r w:rsidR="00EC6DE4">
        <w:rPr>
          <w:rFonts w:ascii="Times New Roman" w:hAnsi="Times New Roman" w:cs="Times New Roman"/>
          <w:sz w:val="24"/>
          <w:szCs w:val="24"/>
        </w:rPr>
        <w:t>resulting</w:t>
      </w:r>
      <w:r w:rsidR="008F3D97">
        <w:rPr>
          <w:rFonts w:ascii="Times New Roman" w:hAnsi="Times New Roman" w:cs="Times New Roman"/>
          <w:sz w:val="24"/>
          <w:szCs w:val="24"/>
        </w:rPr>
        <w:t xml:space="preserve"> </w:t>
      </w:r>
      <w:r w:rsidR="00EC6DE4">
        <w:rPr>
          <w:rFonts w:ascii="Times New Roman" w:hAnsi="Times New Roman" w:cs="Times New Roman"/>
          <w:sz w:val="24"/>
          <w:szCs w:val="24"/>
        </w:rPr>
        <w:t>sample contains</w:t>
      </w:r>
      <w:r w:rsidR="008F3D97">
        <w:rPr>
          <w:rFonts w:ascii="Times New Roman" w:hAnsi="Times New Roman" w:cs="Times New Roman"/>
          <w:sz w:val="24"/>
          <w:szCs w:val="24"/>
        </w:rPr>
        <w:t xml:space="preserve"> </w:t>
      </w:r>
      <w:r w:rsidR="0058673D">
        <w:rPr>
          <w:rFonts w:ascii="Times New Roman" w:hAnsi="Times New Roman" w:cs="Times New Roman"/>
          <w:sz w:val="24"/>
          <w:szCs w:val="24"/>
        </w:rPr>
        <w:t>120,183</w:t>
      </w:r>
      <w:r w:rsidR="008F3D97">
        <w:rPr>
          <w:rFonts w:ascii="Times New Roman" w:hAnsi="Times New Roman" w:cs="Times New Roman"/>
          <w:sz w:val="24"/>
          <w:szCs w:val="24"/>
        </w:rPr>
        <w:t xml:space="preserve"> firm-year observations for 13,</w:t>
      </w:r>
      <w:r w:rsidR="0058673D">
        <w:rPr>
          <w:rFonts w:ascii="Times New Roman" w:hAnsi="Times New Roman" w:cs="Times New Roman"/>
          <w:sz w:val="24"/>
          <w:szCs w:val="24"/>
        </w:rPr>
        <w:t xml:space="preserve">952 </w:t>
      </w:r>
      <w:r w:rsidR="008F3D97">
        <w:rPr>
          <w:rFonts w:ascii="Times New Roman" w:hAnsi="Times New Roman" w:cs="Times New Roman"/>
          <w:sz w:val="24"/>
          <w:szCs w:val="24"/>
        </w:rPr>
        <w:t>unique fi</w:t>
      </w:r>
      <w:r w:rsidR="0088585F">
        <w:rPr>
          <w:rFonts w:ascii="Times New Roman" w:hAnsi="Times New Roman" w:cs="Times New Roman"/>
          <w:sz w:val="24"/>
          <w:szCs w:val="24"/>
        </w:rPr>
        <w:t>rms over the period 1974</w:t>
      </w:r>
      <w:r w:rsidR="0048218A">
        <w:rPr>
          <w:rFonts w:ascii="Times New Roman" w:hAnsi="Times New Roman" w:cs="Times New Roman"/>
          <w:sz w:val="24"/>
          <w:szCs w:val="24"/>
        </w:rPr>
        <w:t>–</w:t>
      </w:r>
      <w:r w:rsidR="0058673D">
        <w:rPr>
          <w:rFonts w:ascii="Times New Roman" w:hAnsi="Times New Roman" w:cs="Times New Roman"/>
          <w:sz w:val="24"/>
          <w:szCs w:val="24"/>
        </w:rPr>
        <w:t>2022</w:t>
      </w:r>
      <w:r w:rsidR="0088585F">
        <w:rPr>
          <w:rFonts w:ascii="Times New Roman" w:hAnsi="Times New Roman" w:cs="Times New Roman"/>
          <w:sz w:val="24"/>
          <w:szCs w:val="24"/>
        </w:rPr>
        <w:t>.</w:t>
      </w:r>
      <w:r w:rsidR="00D66905">
        <w:rPr>
          <w:rStyle w:val="FootnoteReference"/>
          <w:rFonts w:ascii="Times New Roman" w:hAnsi="Times New Roman" w:cs="Times New Roman"/>
          <w:sz w:val="24"/>
          <w:szCs w:val="24"/>
        </w:rPr>
        <w:footnoteReference w:id="19"/>
      </w:r>
      <w:r w:rsidR="0034571B">
        <w:rPr>
          <w:rFonts w:ascii="Times New Roman" w:hAnsi="Times New Roman" w:cs="Times New Roman"/>
          <w:sz w:val="24"/>
          <w:szCs w:val="24"/>
        </w:rPr>
        <w:t xml:space="preserve"> Table </w:t>
      </w:r>
      <w:r w:rsidR="00851822">
        <w:rPr>
          <w:rFonts w:ascii="Times New Roman" w:hAnsi="Times New Roman" w:cs="Times New Roman"/>
          <w:sz w:val="24"/>
          <w:szCs w:val="24"/>
        </w:rPr>
        <w:t>A</w:t>
      </w:r>
      <w:r w:rsidR="00AC2338">
        <w:rPr>
          <w:rFonts w:ascii="Times New Roman" w:hAnsi="Times New Roman" w:cs="Times New Roman"/>
          <w:sz w:val="24"/>
          <w:szCs w:val="24"/>
        </w:rPr>
        <w:t>3</w:t>
      </w:r>
      <w:r w:rsidR="00851822">
        <w:rPr>
          <w:rFonts w:ascii="Times New Roman" w:hAnsi="Times New Roman" w:cs="Times New Roman"/>
          <w:sz w:val="24"/>
          <w:szCs w:val="24"/>
        </w:rPr>
        <w:t xml:space="preserve"> of the Online Appendix</w:t>
      </w:r>
      <w:r w:rsidR="0034571B">
        <w:rPr>
          <w:rFonts w:ascii="Times New Roman" w:hAnsi="Times New Roman" w:cs="Times New Roman"/>
          <w:sz w:val="24"/>
          <w:szCs w:val="24"/>
        </w:rPr>
        <w:t xml:space="preserve"> presents descriptive statistics of </w:t>
      </w:r>
      <w:r w:rsidR="0034571B" w:rsidRPr="0034571B">
        <w:rPr>
          <w:rFonts w:ascii="Times New Roman" w:hAnsi="Times New Roman" w:cs="Times New Roman"/>
          <w:i/>
          <w:iCs/>
          <w:sz w:val="24"/>
          <w:szCs w:val="24"/>
        </w:rPr>
        <w:t>VU</w:t>
      </w:r>
      <w:r w:rsidR="000C066B">
        <w:rPr>
          <w:rFonts w:ascii="Times New Roman" w:hAnsi="Times New Roman" w:cs="Times New Roman"/>
          <w:sz w:val="24"/>
          <w:szCs w:val="24"/>
        </w:rPr>
        <w:t xml:space="preserve"> </w:t>
      </w:r>
      <w:r w:rsidR="0034571B">
        <w:rPr>
          <w:rFonts w:ascii="Times New Roman" w:hAnsi="Times New Roman" w:cs="Times New Roman"/>
          <w:sz w:val="24"/>
          <w:szCs w:val="24"/>
        </w:rPr>
        <w:t>for the overall sample</w:t>
      </w:r>
      <w:r w:rsidR="008E15B2">
        <w:rPr>
          <w:rFonts w:ascii="Times New Roman" w:hAnsi="Times New Roman" w:cs="Times New Roman"/>
          <w:sz w:val="24"/>
          <w:szCs w:val="24"/>
        </w:rPr>
        <w:t xml:space="preserve"> and </w:t>
      </w:r>
      <w:r w:rsidR="0034571B">
        <w:rPr>
          <w:rFonts w:ascii="Times New Roman" w:hAnsi="Times New Roman" w:cs="Times New Roman"/>
          <w:sz w:val="24"/>
          <w:szCs w:val="24"/>
        </w:rPr>
        <w:t>by industry</w:t>
      </w:r>
      <w:r w:rsidR="00AE0B06">
        <w:rPr>
          <w:rFonts w:ascii="Times New Roman" w:hAnsi="Times New Roman" w:cs="Times New Roman"/>
          <w:sz w:val="24"/>
          <w:szCs w:val="24"/>
        </w:rPr>
        <w:t xml:space="preserve">. </w:t>
      </w:r>
      <w:r w:rsidR="008466EE">
        <w:rPr>
          <w:rFonts w:ascii="Times New Roman" w:hAnsi="Times New Roman" w:cs="Times New Roman"/>
          <w:sz w:val="24"/>
          <w:szCs w:val="24"/>
        </w:rPr>
        <w:t xml:space="preserve">On average, </w:t>
      </w:r>
      <w:r w:rsidR="001228E9">
        <w:rPr>
          <w:rFonts w:ascii="Times New Roman" w:hAnsi="Times New Roman" w:cs="Times New Roman"/>
          <w:sz w:val="24"/>
          <w:szCs w:val="24"/>
        </w:rPr>
        <w:t xml:space="preserve">the </w:t>
      </w:r>
      <w:r w:rsidR="008466EE">
        <w:rPr>
          <w:rFonts w:ascii="Times New Roman" w:hAnsi="Times New Roman" w:cs="Times New Roman"/>
          <w:sz w:val="24"/>
          <w:szCs w:val="24"/>
        </w:rPr>
        <w:t>sample mean of</w:t>
      </w:r>
      <w:r w:rsidR="001228E9">
        <w:rPr>
          <w:rFonts w:ascii="Times New Roman" w:hAnsi="Times New Roman" w:cs="Times New Roman"/>
          <w:sz w:val="24"/>
          <w:szCs w:val="24"/>
        </w:rPr>
        <w:t xml:space="preserve"> </w:t>
      </w:r>
      <w:r w:rsidR="001228E9" w:rsidRPr="00E626E7">
        <w:rPr>
          <w:rFonts w:ascii="Times New Roman" w:hAnsi="Times New Roman" w:cs="Times New Roman"/>
          <w:i/>
          <w:iCs/>
          <w:sz w:val="24"/>
          <w:szCs w:val="24"/>
        </w:rPr>
        <w:t>VU</w:t>
      </w:r>
      <w:r w:rsidR="001228E9">
        <w:rPr>
          <w:rFonts w:ascii="Times New Roman" w:hAnsi="Times New Roman" w:cs="Times New Roman"/>
          <w:sz w:val="24"/>
          <w:szCs w:val="24"/>
        </w:rPr>
        <w:t xml:space="preserve"> is</w:t>
      </w:r>
      <w:r w:rsidR="008466EE">
        <w:rPr>
          <w:rFonts w:ascii="Times New Roman" w:hAnsi="Times New Roman" w:cs="Times New Roman"/>
          <w:sz w:val="24"/>
          <w:szCs w:val="24"/>
        </w:rPr>
        <w:t xml:space="preserve"> 0.</w:t>
      </w:r>
      <w:r w:rsidR="0058673D">
        <w:rPr>
          <w:rFonts w:ascii="Times New Roman" w:hAnsi="Times New Roman" w:cs="Times New Roman"/>
          <w:sz w:val="24"/>
          <w:szCs w:val="24"/>
        </w:rPr>
        <w:t>777</w:t>
      </w:r>
      <w:r w:rsidR="008466EE">
        <w:rPr>
          <w:rFonts w:ascii="Times New Roman" w:hAnsi="Times New Roman" w:cs="Times New Roman"/>
          <w:sz w:val="24"/>
          <w:szCs w:val="24"/>
        </w:rPr>
        <w:t>, which implies that the range between the 75</w:t>
      </w:r>
      <w:r w:rsidR="008466EE" w:rsidRPr="008466EE">
        <w:rPr>
          <w:rFonts w:ascii="Times New Roman" w:hAnsi="Times New Roman" w:cs="Times New Roman"/>
          <w:sz w:val="24"/>
          <w:szCs w:val="24"/>
          <w:vertAlign w:val="superscript"/>
        </w:rPr>
        <w:t>th</w:t>
      </w:r>
      <w:r w:rsidR="008466EE">
        <w:rPr>
          <w:rFonts w:ascii="Times New Roman" w:hAnsi="Times New Roman" w:cs="Times New Roman"/>
          <w:sz w:val="24"/>
          <w:szCs w:val="24"/>
        </w:rPr>
        <w:t xml:space="preserve"> and 25</w:t>
      </w:r>
      <w:r w:rsidR="008466EE" w:rsidRPr="008466EE">
        <w:rPr>
          <w:rFonts w:ascii="Times New Roman" w:hAnsi="Times New Roman" w:cs="Times New Roman"/>
          <w:sz w:val="24"/>
          <w:szCs w:val="24"/>
          <w:vertAlign w:val="superscript"/>
        </w:rPr>
        <w:t>th</w:t>
      </w:r>
      <w:r w:rsidR="008466EE">
        <w:rPr>
          <w:rFonts w:ascii="Times New Roman" w:hAnsi="Times New Roman" w:cs="Times New Roman"/>
          <w:sz w:val="24"/>
          <w:szCs w:val="24"/>
        </w:rPr>
        <w:t xml:space="preserve"> percentiles of </w:t>
      </w:r>
      <w:r w:rsidR="008E15B2">
        <w:rPr>
          <w:rFonts w:ascii="Times New Roman" w:hAnsi="Times New Roman" w:cs="Times New Roman"/>
          <w:sz w:val="24"/>
          <w:szCs w:val="24"/>
        </w:rPr>
        <w:t>implied equity</w:t>
      </w:r>
      <w:r w:rsidR="002410DF">
        <w:rPr>
          <w:rFonts w:ascii="Times New Roman" w:hAnsi="Times New Roman" w:cs="Times New Roman"/>
          <w:sz w:val="24"/>
          <w:szCs w:val="24"/>
        </w:rPr>
        <w:t xml:space="preserve"> values equal</w:t>
      </w:r>
      <w:r w:rsidR="008E15B2">
        <w:rPr>
          <w:rFonts w:ascii="Times New Roman" w:hAnsi="Times New Roman" w:cs="Times New Roman"/>
          <w:sz w:val="24"/>
          <w:szCs w:val="24"/>
        </w:rPr>
        <w:t xml:space="preserve">s </w:t>
      </w:r>
      <w:r w:rsidR="0058673D">
        <w:rPr>
          <w:rFonts w:ascii="Times New Roman" w:hAnsi="Times New Roman" w:cs="Times New Roman"/>
          <w:sz w:val="24"/>
          <w:szCs w:val="24"/>
        </w:rPr>
        <w:t>77</w:t>
      </w:r>
      <w:r w:rsidR="002410DF">
        <w:rPr>
          <w:rFonts w:ascii="Times New Roman" w:hAnsi="Times New Roman" w:cs="Times New Roman"/>
          <w:sz w:val="24"/>
          <w:szCs w:val="24"/>
        </w:rPr>
        <w:t>.</w:t>
      </w:r>
      <w:r w:rsidR="0058673D">
        <w:rPr>
          <w:rFonts w:ascii="Times New Roman" w:hAnsi="Times New Roman" w:cs="Times New Roman"/>
          <w:sz w:val="24"/>
          <w:szCs w:val="24"/>
        </w:rPr>
        <w:t>7</w:t>
      </w:r>
      <w:r w:rsidR="008466EE">
        <w:rPr>
          <w:rFonts w:ascii="Times New Roman" w:hAnsi="Times New Roman" w:cs="Times New Roman"/>
          <w:sz w:val="24"/>
          <w:szCs w:val="24"/>
        </w:rPr>
        <w:t>% of the</w:t>
      </w:r>
      <w:r w:rsidR="002410DF">
        <w:rPr>
          <w:rFonts w:ascii="Times New Roman" w:hAnsi="Times New Roman" w:cs="Times New Roman"/>
          <w:sz w:val="24"/>
          <w:szCs w:val="24"/>
        </w:rPr>
        <w:t>ir</w:t>
      </w:r>
      <w:r w:rsidR="008466EE">
        <w:rPr>
          <w:rFonts w:ascii="Times New Roman" w:hAnsi="Times New Roman" w:cs="Times New Roman"/>
          <w:sz w:val="24"/>
          <w:szCs w:val="24"/>
        </w:rPr>
        <w:t xml:space="preserve"> midpoint. </w:t>
      </w:r>
      <w:r w:rsidR="008E15B2" w:rsidRPr="005475CC">
        <w:rPr>
          <w:rFonts w:ascii="Times New Roman" w:hAnsi="Times New Roman" w:cs="Times New Roman"/>
          <w:i/>
          <w:iCs/>
          <w:sz w:val="24"/>
          <w:szCs w:val="24"/>
        </w:rPr>
        <w:t>VU</w:t>
      </w:r>
      <w:r w:rsidR="00A27EF2">
        <w:rPr>
          <w:rFonts w:ascii="Times New Roman" w:hAnsi="Times New Roman" w:cs="Times New Roman"/>
          <w:sz w:val="24"/>
          <w:szCs w:val="24"/>
        </w:rPr>
        <w:t xml:space="preserve"> exhibits meaningful variability</w:t>
      </w:r>
      <w:r w:rsidR="000C066B">
        <w:rPr>
          <w:rFonts w:ascii="Times New Roman" w:hAnsi="Times New Roman" w:cs="Times New Roman"/>
          <w:sz w:val="24"/>
          <w:szCs w:val="24"/>
        </w:rPr>
        <w:t>, with a standard deviation of 0.</w:t>
      </w:r>
      <w:r w:rsidR="0058673D">
        <w:rPr>
          <w:rFonts w:ascii="Times New Roman" w:hAnsi="Times New Roman" w:cs="Times New Roman"/>
          <w:sz w:val="24"/>
          <w:szCs w:val="24"/>
        </w:rPr>
        <w:t>239</w:t>
      </w:r>
      <w:r w:rsidR="00412D69">
        <w:rPr>
          <w:rFonts w:ascii="Times New Roman" w:hAnsi="Times New Roman" w:cs="Times New Roman"/>
          <w:sz w:val="24"/>
          <w:szCs w:val="24"/>
        </w:rPr>
        <w:t xml:space="preserve"> –</w:t>
      </w:r>
      <w:r w:rsidR="008E15B2">
        <w:rPr>
          <w:rFonts w:ascii="Times New Roman" w:hAnsi="Times New Roman" w:cs="Times New Roman"/>
          <w:sz w:val="24"/>
          <w:szCs w:val="24"/>
        </w:rPr>
        <w:t xml:space="preserve"> and t</w:t>
      </w:r>
      <w:r w:rsidR="0034571B">
        <w:rPr>
          <w:rFonts w:ascii="Times New Roman" w:hAnsi="Times New Roman" w:cs="Times New Roman"/>
          <w:sz w:val="24"/>
          <w:szCs w:val="24"/>
        </w:rPr>
        <w:t>he variation across industries</w:t>
      </w:r>
      <w:r w:rsidR="00A27EF2">
        <w:rPr>
          <w:rFonts w:ascii="Times New Roman" w:hAnsi="Times New Roman" w:cs="Times New Roman"/>
          <w:sz w:val="24"/>
          <w:szCs w:val="24"/>
        </w:rPr>
        <w:t xml:space="preserve"> is intuitive</w:t>
      </w:r>
      <w:r w:rsidR="0034571B">
        <w:rPr>
          <w:rFonts w:ascii="Times New Roman" w:hAnsi="Times New Roman" w:cs="Times New Roman"/>
          <w:sz w:val="24"/>
          <w:szCs w:val="24"/>
        </w:rPr>
        <w:t xml:space="preserve">. For instance, </w:t>
      </w:r>
      <w:r w:rsidR="001228E9" w:rsidRPr="005475CC">
        <w:rPr>
          <w:rFonts w:ascii="Times New Roman" w:hAnsi="Times New Roman" w:cs="Times New Roman"/>
          <w:i/>
          <w:iCs/>
          <w:sz w:val="24"/>
          <w:szCs w:val="24"/>
        </w:rPr>
        <w:t>VU</w:t>
      </w:r>
      <w:r w:rsidR="0034571B">
        <w:rPr>
          <w:rFonts w:ascii="Times New Roman" w:hAnsi="Times New Roman" w:cs="Times New Roman"/>
          <w:sz w:val="24"/>
          <w:szCs w:val="24"/>
        </w:rPr>
        <w:t xml:space="preserve"> is lowest for utilities and highest for </w:t>
      </w:r>
      <w:r w:rsidR="005E3729">
        <w:rPr>
          <w:rFonts w:ascii="Times New Roman" w:hAnsi="Times New Roman" w:cs="Times New Roman"/>
          <w:sz w:val="24"/>
          <w:szCs w:val="24"/>
        </w:rPr>
        <w:t xml:space="preserve">the </w:t>
      </w:r>
      <w:r w:rsidR="002E4749">
        <w:rPr>
          <w:rFonts w:ascii="Times New Roman" w:hAnsi="Times New Roman" w:cs="Times New Roman"/>
          <w:sz w:val="24"/>
          <w:szCs w:val="24"/>
        </w:rPr>
        <w:t>“</w:t>
      </w:r>
      <w:r w:rsidR="0034571B">
        <w:rPr>
          <w:rFonts w:ascii="Times New Roman" w:hAnsi="Times New Roman" w:cs="Times New Roman"/>
          <w:sz w:val="24"/>
          <w:szCs w:val="24"/>
        </w:rPr>
        <w:t>business equipment</w:t>
      </w:r>
      <w:r w:rsidR="002E4749">
        <w:rPr>
          <w:rFonts w:ascii="Times New Roman" w:hAnsi="Times New Roman" w:cs="Times New Roman"/>
          <w:sz w:val="24"/>
          <w:szCs w:val="24"/>
        </w:rPr>
        <w:t xml:space="preserve">” </w:t>
      </w:r>
      <w:r w:rsidR="005E3729">
        <w:rPr>
          <w:rFonts w:ascii="Times New Roman" w:hAnsi="Times New Roman" w:cs="Times New Roman"/>
          <w:sz w:val="24"/>
          <w:szCs w:val="24"/>
        </w:rPr>
        <w:t>industry</w:t>
      </w:r>
      <w:r w:rsidR="0034571B">
        <w:rPr>
          <w:rFonts w:ascii="Times New Roman" w:hAnsi="Times New Roman" w:cs="Times New Roman"/>
          <w:sz w:val="24"/>
          <w:szCs w:val="24"/>
        </w:rPr>
        <w:t xml:space="preserve"> (dominated by tech</w:t>
      </w:r>
      <w:r w:rsidR="00AE7FDA">
        <w:rPr>
          <w:rFonts w:ascii="Times New Roman" w:hAnsi="Times New Roman" w:cs="Times New Roman"/>
          <w:sz w:val="24"/>
          <w:szCs w:val="24"/>
        </w:rPr>
        <w:t xml:space="preserve"> companies</w:t>
      </w:r>
      <w:r w:rsidR="0034571B">
        <w:rPr>
          <w:rFonts w:ascii="Times New Roman" w:hAnsi="Times New Roman" w:cs="Times New Roman"/>
          <w:sz w:val="24"/>
          <w:szCs w:val="24"/>
        </w:rPr>
        <w:t>) and</w:t>
      </w:r>
      <w:r w:rsidR="00AE7FDA">
        <w:rPr>
          <w:rFonts w:ascii="Times New Roman" w:hAnsi="Times New Roman" w:cs="Times New Roman"/>
          <w:sz w:val="24"/>
          <w:szCs w:val="24"/>
        </w:rPr>
        <w:t xml:space="preserve"> the</w:t>
      </w:r>
      <w:r w:rsidR="0034571B">
        <w:rPr>
          <w:rFonts w:ascii="Times New Roman" w:hAnsi="Times New Roman" w:cs="Times New Roman"/>
          <w:sz w:val="24"/>
          <w:szCs w:val="24"/>
        </w:rPr>
        <w:t xml:space="preserve"> medical</w:t>
      </w:r>
      <w:r w:rsidR="00AE7FDA">
        <w:rPr>
          <w:rFonts w:ascii="Times New Roman" w:hAnsi="Times New Roman" w:cs="Times New Roman"/>
          <w:sz w:val="24"/>
          <w:szCs w:val="24"/>
        </w:rPr>
        <w:t xml:space="preserve"> industry</w:t>
      </w:r>
      <w:r w:rsidR="0034571B">
        <w:rPr>
          <w:rFonts w:ascii="Times New Roman" w:hAnsi="Times New Roman" w:cs="Times New Roman"/>
          <w:sz w:val="24"/>
          <w:szCs w:val="24"/>
        </w:rPr>
        <w:t xml:space="preserve"> (dominated by biotech firms). Thus, our measure </w:t>
      </w:r>
      <w:r w:rsidR="008E15B2">
        <w:rPr>
          <w:rFonts w:ascii="Times New Roman" w:hAnsi="Times New Roman" w:cs="Times New Roman"/>
          <w:sz w:val="24"/>
          <w:szCs w:val="24"/>
        </w:rPr>
        <w:t>aligns</w:t>
      </w:r>
      <w:r w:rsidR="0034571B">
        <w:rPr>
          <w:rFonts w:ascii="Times New Roman" w:hAnsi="Times New Roman" w:cs="Times New Roman"/>
          <w:sz w:val="24"/>
          <w:szCs w:val="24"/>
        </w:rPr>
        <w:t xml:space="preserve"> with subjective assessments of relative valuation uncertainty based on industry affiliation and common wisdom.</w:t>
      </w:r>
      <w:r w:rsidR="00AE0B06">
        <w:rPr>
          <w:rFonts w:ascii="Times New Roman" w:hAnsi="Times New Roman" w:cs="Times New Roman"/>
          <w:sz w:val="24"/>
          <w:szCs w:val="24"/>
        </w:rPr>
        <w:t xml:space="preserve"> </w:t>
      </w:r>
    </w:p>
    <w:p w14:paraId="14896098" w14:textId="43CBB353" w:rsidR="004A2B64" w:rsidRPr="005D6376" w:rsidRDefault="00AE0B06" w:rsidP="00E53B52">
      <w:pPr>
        <w:spacing w:after="0" w:line="480" w:lineRule="auto"/>
        <w:ind w:firstLine="567"/>
        <w:jc w:val="both"/>
      </w:pPr>
      <w:r>
        <w:rPr>
          <w:rFonts w:ascii="Times New Roman" w:hAnsi="Times New Roman" w:cs="Times New Roman"/>
          <w:sz w:val="24"/>
          <w:szCs w:val="24"/>
        </w:rPr>
        <w:t xml:space="preserve">As </w:t>
      </w:r>
      <w:r w:rsidR="00083CC6">
        <w:rPr>
          <w:rFonts w:ascii="Times New Roman" w:hAnsi="Times New Roman" w:cs="Times New Roman"/>
          <w:sz w:val="24"/>
          <w:szCs w:val="24"/>
          <w:lang w:val="en-US"/>
        </w:rPr>
        <w:t>a final</w:t>
      </w:r>
      <w:r>
        <w:rPr>
          <w:rFonts w:ascii="Times New Roman" w:hAnsi="Times New Roman" w:cs="Times New Roman"/>
          <w:sz w:val="24"/>
          <w:szCs w:val="24"/>
          <w:lang w:val="en-US"/>
        </w:rPr>
        <w:t xml:space="preserve"> element of descriptive statistics</w:t>
      </w:r>
      <w:r w:rsidR="00412D69">
        <w:rPr>
          <w:rFonts w:ascii="Times New Roman" w:hAnsi="Times New Roman" w:cs="Times New Roman"/>
          <w:sz w:val="24"/>
          <w:szCs w:val="24"/>
          <w:lang w:val="en-US"/>
        </w:rPr>
        <w:t>, we examine</w:t>
      </w:r>
      <w:r w:rsidR="006E5412">
        <w:rPr>
          <w:rFonts w:ascii="Times New Roman" w:hAnsi="Times New Roman" w:cs="Times New Roman"/>
          <w:sz w:val="24"/>
          <w:szCs w:val="24"/>
          <w:lang w:val="en-US"/>
        </w:rPr>
        <w:t xml:space="preserve"> the extent to which </w:t>
      </w:r>
      <w:r w:rsidR="006C56CD">
        <w:rPr>
          <w:rFonts w:ascii="Times New Roman" w:hAnsi="Times New Roman" w:cs="Times New Roman"/>
          <w:sz w:val="24"/>
          <w:szCs w:val="24"/>
          <w:lang w:val="en-US"/>
        </w:rPr>
        <w:t>our measure</w:t>
      </w:r>
      <w:r w:rsidR="006E5412">
        <w:rPr>
          <w:rFonts w:ascii="Times New Roman" w:hAnsi="Times New Roman" w:cs="Times New Roman"/>
          <w:i/>
          <w:iCs/>
          <w:sz w:val="24"/>
          <w:szCs w:val="24"/>
          <w:lang w:val="en-US"/>
        </w:rPr>
        <w:t xml:space="preserve"> </w:t>
      </w:r>
      <w:r w:rsidR="006E5412">
        <w:rPr>
          <w:rFonts w:ascii="Times New Roman" w:hAnsi="Times New Roman" w:cs="Times New Roman"/>
          <w:sz w:val="24"/>
          <w:szCs w:val="24"/>
          <w:lang w:val="en-US"/>
        </w:rPr>
        <w:t>is explained by</w:t>
      </w:r>
      <w:r w:rsidR="004A2B64">
        <w:rPr>
          <w:rFonts w:ascii="Times New Roman" w:hAnsi="Times New Roman" w:cs="Times New Roman"/>
          <w:sz w:val="24"/>
          <w:szCs w:val="24"/>
          <w:lang w:val="en-US"/>
        </w:rPr>
        <w:t xml:space="preserve"> industry</w:t>
      </w:r>
      <w:r w:rsidR="006C56CD">
        <w:rPr>
          <w:rFonts w:ascii="Times New Roman" w:hAnsi="Times New Roman" w:cs="Times New Roman"/>
          <w:sz w:val="24"/>
          <w:szCs w:val="24"/>
          <w:lang w:val="en-US"/>
        </w:rPr>
        <w:t>-</w:t>
      </w:r>
      <w:r w:rsidR="004A2B64">
        <w:rPr>
          <w:rFonts w:ascii="Times New Roman" w:hAnsi="Times New Roman" w:cs="Times New Roman"/>
          <w:sz w:val="24"/>
          <w:szCs w:val="24"/>
          <w:lang w:val="en-US"/>
        </w:rPr>
        <w:t>, firm-</w:t>
      </w:r>
      <w:r w:rsidR="006C56CD">
        <w:rPr>
          <w:rFonts w:ascii="Times New Roman" w:hAnsi="Times New Roman" w:cs="Times New Roman"/>
          <w:sz w:val="24"/>
          <w:szCs w:val="24"/>
          <w:lang w:val="en-US"/>
        </w:rPr>
        <w:t>,</w:t>
      </w:r>
      <w:r w:rsidR="004A2B64">
        <w:rPr>
          <w:rFonts w:ascii="Times New Roman" w:hAnsi="Times New Roman" w:cs="Times New Roman"/>
          <w:sz w:val="24"/>
          <w:szCs w:val="24"/>
          <w:lang w:val="en-US"/>
        </w:rPr>
        <w:t xml:space="preserve"> and t</w:t>
      </w:r>
      <w:r w:rsidR="006C56CD">
        <w:rPr>
          <w:rFonts w:ascii="Times New Roman" w:hAnsi="Times New Roman" w:cs="Times New Roman"/>
          <w:sz w:val="24"/>
          <w:szCs w:val="24"/>
          <w:lang w:val="en-US"/>
        </w:rPr>
        <w:t>ime-specific</w:t>
      </w:r>
      <w:r w:rsidR="004A2B64">
        <w:rPr>
          <w:rFonts w:ascii="Times New Roman" w:hAnsi="Times New Roman" w:cs="Times New Roman"/>
          <w:sz w:val="24"/>
          <w:szCs w:val="24"/>
          <w:lang w:val="en-US"/>
        </w:rPr>
        <w:t xml:space="preserve"> factors</w:t>
      </w:r>
      <w:r w:rsidR="006C56CD">
        <w:rPr>
          <w:rFonts w:ascii="Times New Roman" w:hAnsi="Times New Roman" w:cs="Times New Roman"/>
          <w:sz w:val="24"/>
          <w:szCs w:val="24"/>
          <w:lang w:val="en-US"/>
        </w:rPr>
        <w:t xml:space="preserve"> – as reflected in</w:t>
      </w:r>
      <w:r w:rsidR="003246F3">
        <w:rPr>
          <w:rFonts w:ascii="Times New Roman" w:hAnsi="Times New Roman" w:cs="Times New Roman"/>
          <w:sz w:val="24"/>
          <w:szCs w:val="24"/>
          <w:lang w:val="en-US"/>
        </w:rPr>
        <w:t xml:space="preserve"> </w:t>
      </w:r>
      <w:r w:rsidR="007515FF">
        <w:rPr>
          <w:rFonts w:ascii="Times New Roman" w:hAnsi="Times New Roman" w:cs="Times New Roman"/>
          <w:sz w:val="24"/>
          <w:szCs w:val="24"/>
          <w:lang w:val="en-US"/>
        </w:rPr>
        <w:t xml:space="preserve">the </w:t>
      </w:r>
      <w:r w:rsidR="003246F3">
        <w:rPr>
          <w:rFonts w:ascii="Times New Roman" w:hAnsi="Times New Roman" w:cs="Times New Roman"/>
          <w:sz w:val="24"/>
          <w:szCs w:val="24"/>
          <w:lang w:val="en-US"/>
        </w:rPr>
        <w:t>R</w:t>
      </w:r>
      <w:r w:rsidR="00B27E89" w:rsidRPr="00083CC6">
        <w:rPr>
          <w:rFonts w:ascii="Times New Roman" w:hAnsi="Times New Roman" w:cs="Times New Roman"/>
          <w:sz w:val="24"/>
          <w:szCs w:val="24"/>
          <w:vertAlign w:val="superscript"/>
          <w:lang w:val="en-US"/>
        </w:rPr>
        <w:t>2</w:t>
      </w:r>
      <w:r w:rsidR="004A2B64">
        <w:rPr>
          <w:rFonts w:ascii="Times New Roman" w:hAnsi="Times New Roman" w:cs="Times New Roman"/>
          <w:sz w:val="24"/>
          <w:szCs w:val="24"/>
          <w:lang w:val="en-US"/>
        </w:rPr>
        <w:t xml:space="preserve"> </w:t>
      </w:r>
      <w:r w:rsidR="003246F3">
        <w:rPr>
          <w:rFonts w:ascii="Times New Roman" w:hAnsi="Times New Roman" w:cs="Times New Roman"/>
          <w:sz w:val="24"/>
          <w:szCs w:val="24"/>
          <w:lang w:val="en-US"/>
        </w:rPr>
        <w:t>of</w:t>
      </w:r>
      <w:r w:rsidR="004A2B64">
        <w:rPr>
          <w:rFonts w:ascii="Times New Roman" w:hAnsi="Times New Roman" w:cs="Times New Roman"/>
          <w:sz w:val="24"/>
          <w:szCs w:val="24"/>
          <w:lang w:val="en-US"/>
        </w:rPr>
        <w:t xml:space="preserve"> full-sample regressions of </w:t>
      </w:r>
      <w:r w:rsidR="004A2B64" w:rsidRPr="00083CC6">
        <w:rPr>
          <w:rFonts w:ascii="Times New Roman" w:hAnsi="Times New Roman" w:cs="Times New Roman"/>
          <w:i/>
          <w:iCs/>
          <w:sz w:val="24"/>
          <w:szCs w:val="24"/>
          <w:lang w:val="en-US"/>
        </w:rPr>
        <w:t>VU</w:t>
      </w:r>
      <w:r w:rsidR="004A2B64">
        <w:rPr>
          <w:rFonts w:ascii="Times New Roman" w:hAnsi="Times New Roman" w:cs="Times New Roman"/>
          <w:sz w:val="24"/>
          <w:szCs w:val="24"/>
          <w:lang w:val="en-US"/>
        </w:rPr>
        <w:t xml:space="preserve"> on </w:t>
      </w:r>
      <w:r w:rsidR="006E5412">
        <w:rPr>
          <w:rFonts w:ascii="Times New Roman" w:hAnsi="Times New Roman" w:cs="Times New Roman"/>
          <w:sz w:val="24"/>
          <w:szCs w:val="24"/>
          <w:lang w:val="en-US"/>
        </w:rPr>
        <w:t>various sets of</w:t>
      </w:r>
      <w:r w:rsidR="004A2B64">
        <w:rPr>
          <w:rFonts w:ascii="Times New Roman" w:hAnsi="Times New Roman" w:cs="Times New Roman"/>
          <w:sz w:val="24"/>
          <w:szCs w:val="24"/>
          <w:lang w:val="en-US"/>
        </w:rPr>
        <w:t xml:space="preserve"> fixed effects</w:t>
      </w:r>
      <w:r w:rsidR="003A75A2">
        <w:rPr>
          <w:rFonts w:ascii="Times New Roman" w:hAnsi="Times New Roman" w:cs="Times New Roman"/>
          <w:sz w:val="24"/>
          <w:szCs w:val="24"/>
          <w:lang w:val="en-US"/>
        </w:rPr>
        <w:t xml:space="preserve"> (Table A</w:t>
      </w:r>
      <w:r>
        <w:rPr>
          <w:rFonts w:ascii="Times New Roman" w:hAnsi="Times New Roman" w:cs="Times New Roman"/>
          <w:sz w:val="24"/>
          <w:szCs w:val="24"/>
          <w:lang w:val="en-US"/>
        </w:rPr>
        <w:t>4</w:t>
      </w:r>
      <w:r w:rsidR="003A75A2">
        <w:rPr>
          <w:rFonts w:ascii="Times New Roman" w:hAnsi="Times New Roman" w:cs="Times New Roman"/>
          <w:sz w:val="24"/>
          <w:szCs w:val="24"/>
          <w:lang w:val="en-US"/>
        </w:rPr>
        <w:t xml:space="preserve"> of the Online Appendix)</w:t>
      </w:r>
      <w:r w:rsidR="004A2B64">
        <w:rPr>
          <w:rFonts w:ascii="Times New Roman" w:hAnsi="Times New Roman" w:cs="Times New Roman"/>
          <w:sz w:val="24"/>
          <w:szCs w:val="24"/>
          <w:lang w:val="en-US"/>
        </w:rPr>
        <w:t>.</w:t>
      </w:r>
      <w:r w:rsidR="004A2B64" w:rsidRPr="004A2B64">
        <w:rPr>
          <w:rFonts w:ascii="Times New Roman" w:hAnsi="Times New Roman" w:cs="Times New Roman"/>
          <w:sz w:val="24"/>
          <w:szCs w:val="24"/>
          <w:lang w:val="en-US"/>
        </w:rPr>
        <w:t xml:space="preserve"> </w:t>
      </w:r>
      <w:r>
        <w:rPr>
          <w:rFonts w:ascii="Times New Roman" w:hAnsi="Times New Roman" w:cs="Times New Roman"/>
          <w:sz w:val="24"/>
          <w:szCs w:val="24"/>
          <w:lang w:val="en-US"/>
        </w:rPr>
        <w:t>Y</w:t>
      </w:r>
      <w:r w:rsidR="004A2B64">
        <w:rPr>
          <w:rFonts w:ascii="Times New Roman" w:hAnsi="Times New Roman" w:cs="Times New Roman"/>
          <w:sz w:val="24"/>
          <w:szCs w:val="24"/>
          <w:lang w:val="en-US"/>
        </w:rPr>
        <w:t>ear fixed effects (48 year</w:t>
      </w:r>
      <w:r>
        <w:rPr>
          <w:rFonts w:ascii="Times New Roman" w:hAnsi="Times New Roman" w:cs="Times New Roman"/>
          <w:sz w:val="24"/>
          <w:szCs w:val="24"/>
          <w:lang w:val="en-US"/>
        </w:rPr>
        <w:t>-dummies</w:t>
      </w:r>
      <w:r w:rsidR="004A2B64">
        <w:rPr>
          <w:rFonts w:ascii="Times New Roman" w:hAnsi="Times New Roman" w:cs="Times New Roman"/>
          <w:sz w:val="24"/>
          <w:szCs w:val="24"/>
          <w:lang w:val="en-US"/>
        </w:rPr>
        <w:t>) account for a non-trivial 22.8% of the variation in our measure.</w:t>
      </w:r>
      <w:r w:rsidR="009F6BD7">
        <w:rPr>
          <w:rFonts w:ascii="Times New Roman" w:hAnsi="Times New Roman" w:cs="Times New Roman"/>
          <w:sz w:val="24"/>
          <w:szCs w:val="24"/>
          <w:lang w:val="en-US"/>
        </w:rPr>
        <w:t xml:space="preserve"> </w:t>
      </w:r>
      <w:r w:rsidR="006C56CD">
        <w:rPr>
          <w:rFonts w:ascii="Times New Roman" w:hAnsi="Times New Roman" w:cs="Times New Roman"/>
          <w:sz w:val="24"/>
          <w:szCs w:val="24"/>
          <w:lang w:val="en-US"/>
        </w:rPr>
        <w:t>Dummies for</w:t>
      </w:r>
      <w:r w:rsidR="009F6BD7">
        <w:rPr>
          <w:rFonts w:ascii="Times New Roman" w:hAnsi="Times New Roman" w:cs="Times New Roman"/>
          <w:sz w:val="24"/>
          <w:szCs w:val="24"/>
          <w:lang w:val="en-US"/>
        </w:rPr>
        <w:t xml:space="preserve"> Fama-French 48 industr</w:t>
      </w:r>
      <w:r w:rsidR="006C56CD">
        <w:rPr>
          <w:rFonts w:ascii="Times New Roman" w:hAnsi="Times New Roman" w:cs="Times New Roman"/>
          <w:sz w:val="24"/>
          <w:szCs w:val="24"/>
          <w:lang w:val="en-US"/>
        </w:rPr>
        <w:t xml:space="preserve">ies </w:t>
      </w:r>
      <w:r w:rsidR="009F6BD7">
        <w:rPr>
          <w:rFonts w:ascii="Times New Roman" w:hAnsi="Times New Roman" w:cs="Times New Roman"/>
          <w:sz w:val="24"/>
          <w:szCs w:val="24"/>
          <w:lang w:val="en-US"/>
        </w:rPr>
        <w:t>(of which</w:t>
      </w:r>
      <w:r w:rsidR="00B27E89">
        <w:rPr>
          <w:rFonts w:ascii="Times New Roman" w:hAnsi="Times New Roman" w:cs="Times New Roman"/>
          <w:sz w:val="24"/>
          <w:szCs w:val="24"/>
          <w:lang w:val="en-US"/>
        </w:rPr>
        <w:t xml:space="preserve"> 44</w:t>
      </w:r>
      <w:r w:rsidR="009F6BD7">
        <w:rPr>
          <w:rFonts w:ascii="Times New Roman" w:hAnsi="Times New Roman" w:cs="Times New Roman"/>
          <w:sz w:val="24"/>
          <w:szCs w:val="24"/>
          <w:lang w:val="en-US"/>
        </w:rPr>
        <w:t xml:space="preserve"> are represented)</w:t>
      </w:r>
      <w:r w:rsidR="004A2B64">
        <w:rPr>
          <w:rFonts w:ascii="Times New Roman" w:hAnsi="Times New Roman" w:cs="Times New Roman"/>
          <w:sz w:val="24"/>
          <w:szCs w:val="24"/>
          <w:lang w:val="en-US"/>
        </w:rPr>
        <w:t xml:space="preserve"> explain 33.2% of the variation in </w:t>
      </w:r>
      <w:r w:rsidR="004A2B64" w:rsidRPr="00083CC6">
        <w:rPr>
          <w:rFonts w:ascii="Times New Roman" w:hAnsi="Times New Roman" w:cs="Times New Roman"/>
          <w:i/>
          <w:iCs/>
          <w:sz w:val="24"/>
          <w:szCs w:val="24"/>
          <w:lang w:val="en-US"/>
        </w:rPr>
        <w:t>VU</w:t>
      </w:r>
      <w:r w:rsidR="009F6BD7">
        <w:rPr>
          <w:rFonts w:ascii="Times New Roman" w:hAnsi="Times New Roman" w:cs="Times New Roman"/>
          <w:sz w:val="24"/>
          <w:szCs w:val="24"/>
          <w:lang w:val="en-US"/>
        </w:rPr>
        <w:t xml:space="preserve"> –</w:t>
      </w:r>
      <w:r w:rsidR="004A2B64">
        <w:rPr>
          <w:rFonts w:ascii="Times New Roman" w:hAnsi="Times New Roman" w:cs="Times New Roman"/>
          <w:sz w:val="24"/>
          <w:szCs w:val="24"/>
          <w:lang w:val="en-US"/>
        </w:rPr>
        <w:t xml:space="preserve"> </w:t>
      </w:r>
      <w:r w:rsidR="009F6BD7">
        <w:rPr>
          <w:rFonts w:ascii="Times New Roman" w:hAnsi="Times New Roman" w:cs="Times New Roman"/>
          <w:sz w:val="24"/>
          <w:szCs w:val="24"/>
          <w:lang w:val="en-US"/>
        </w:rPr>
        <w:t>somewhat</w:t>
      </w:r>
      <w:r w:rsidR="004A2B64">
        <w:rPr>
          <w:rFonts w:ascii="Times New Roman" w:hAnsi="Times New Roman" w:cs="Times New Roman"/>
          <w:sz w:val="24"/>
          <w:szCs w:val="24"/>
          <w:lang w:val="en-US"/>
        </w:rPr>
        <w:t xml:space="preserve"> expected</w:t>
      </w:r>
      <w:r w:rsidR="009F6BD7">
        <w:rPr>
          <w:rFonts w:ascii="Times New Roman" w:hAnsi="Times New Roman" w:cs="Times New Roman"/>
          <w:sz w:val="24"/>
          <w:szCs w:val="24"/>
          <w:lang w:val="en-US"/>
        </w:rPr>
        <w:t>,</w:t>
      </w:r>
      <w:r w:rsidR="004A2B64">
        <w:rPr>
          <w:rFonts w:ascii="Times New Roman" w:hAnsi="Times New Roman" w:cs="Times New Roman"/>
          <w:sz w:val="24"/>
          <w:szCs w:val="24"/>
          <w:lang w:val="en-US"/>
        </w:rPr>
        <w:t xml:space="preserve"> given that we exploit the dispersion of valuations within industries </w:t>
      </w:r>
      <w:r w:rsidR="003166E7">
        <w:rPr>
          <w:rFonts w:ascii="Times New Roman" w:hAnsi="Times New Roman" w:cs="Times New Roman"/>
          <w:sz w:val="24"/>
          <w:szCs w:val="24"/>
          <w:lang w:val="en-US"/>
        </w:rPr>
        <w:t>in its construction</w:t>
      </w:r>
      <w:r w:rsidR="004A2B64">
        <w:rPr>
          <w:rFonts w:ascii="Times New Roman" w:hAnsi="Times New Roman" w:cs="Times New Roman"/>
          <w:sz w:val="24"/>
          <w:szCs w:val="24"/>
          <w:lang w:val="en-US"/>
        </w:rPr>
        <w:t>.</w:t>
      </w:r>
      <w:r w:rsidR="006C56CD">
        <w:rPr>
          <w:rFonts w:ascii="Times New Roman" w:hAnsi="Times New Roman" w:cs="Times New Roman"/>
          <w:sz w:val="24"/>
          <w:szCs w:val="24"/>
          <w:lang w:val="en-US"/>
        </w:rPr>
        <w:t xml:space="preserve"> Together, y</w:t>
      </w:r>
      <w:r w:rsidR="009F6BD7">
        <w:rPr>
          <w:rFonts w:ascii="Times New Roman" w:hAnsi="Times New Roman" w:cs="Times New Roman"/>
          <w:sz w:val="24"/>
          <w:szCs w:val="24"/>
          <w:lang w:val="en-US"/>
        </w:rPr>
        <w:t xml:space="preserve">ear and industry fixed effects </w:t>
      </w:r>
      <w:r w:rsidR="004A2B64">
        <w:rPr>
          <w:rFonts w:ascii="Times New Roman" w:hAnsi="Times New Roman" w:cs="Times New Roman"/>
          <w:sz w:val="24"/>
          <w:szCs w:val="24"/>
          <w:lang w:val="en-US"/>
        </w:rPr>
        <w:t xml:space="preserve">explain 49% of the variation. With half of the variation in </w:t>
      </w:r>
      <w:r w:rsidR="004A2B64" w:rsidRPr="00083CC6">
        <w:rPr>
          <w:rFonts w:ascii="Times New Roman" w:hAnsi="Times New Roman" w:cs="Times New Roman"/>
          <w:i/>
          <w:iCs/>
          <w:sz w:val="24"/>
          <w:szCs w:val="24"/>
          <w:lang w:val="en-US"/>
        </w:rPr>
        <w:t>VU</w:t>
      </w:r>
      <w:r w:rsidR="004A2B64">
        <w:rPr>
          <w:rFonts w:ascii="Times New Roman" w:hAnsi="Times New Roman" w:cs="Times New Roman"/>
          <w:sz w:val="24"/>
          <w:szCs w:val="24"/>
          <w:lang w:val="en-US"/>
        </w:rPr>
        <w:t xml:space="preserve"> </w:t>
      </w:r>
      <w:r w:rsidR="004A2B64" w:rsidRPr="00E90519">
        <w:rPr>
          <w:rFonts w:ascii="Times New Roman" w:hAnsi="Times New Roman" w:cs="Times New Roman"/>
          <w:i/>
          <w:iCs/>
          <w:sz w:val="24"/>
          <w:szCs w:val="24"/>
          <w:lang w:val="en-US"/>
        </w:rPr>
        <w:t>un</w:t>
      </w:r>
      <w:r w:rsidR="004A2B64" w:rsidRPr="002350E1">
        <w:rPr>
          <w:rFonts w:ascii="Times New Roman" w:hAnsi="Times New Roman" w:cs="Times New Roman"/>
          <w:sz w:val="24"/>
          <w:szCs w:val="24"/>
          <w:lang w:val="en-US"/>
        </w:rPr>
        <w:t>explained</w:t>
      </w:r>
      <w:r w:rsidR="004A2B64">
        <w:rPr>
          <w:rFonts w:ascii="Times New Roman" w:hAnsi="Times New Roman" w:cs="Times New Roman"/>
          <w:sz w:val="24"/>
          <w:szCs w:val="24"/>
          <w:lang w:val="en-US"/>
        </w:rPr>
        <w:t xml:space="preserve"> by industry and year effects, our measure appears well-suited for studies that wish to isolate within-industry and within-year variation. </w:t>
      </w:r>
      <w:r w:rsidR="009F6BD7">
        <w:rPr>
          <w:rFonts w:ascii="Times New Roman" w:hAnsi="Times New Roman" w:cs="Times New Roman"/>
          <w:sz w:val="24"/>
          <w:szCs w:val="24"/>
          <w:lang w:val="en-US"/>
        </w:rPr>
        <w:t>T</w:t>
      </w:r>
      <w:r w:rsidR="004A2B64">
        <w:rPr>
          <w:rFonts w:ascii="Times New Roman" w:hAnsi="Times New Roman" w:cs="Times New Roman"/>
          <w:sz w:val="24"/>
          <w:szCs w:val="24"/>
          <w:lang w:val="en-US"/>
        </w:rPr>
        <w:t>ime-invariant firm-specific factors</w:t>
      </w:r>
      <w:r w:rsidR="009F6BD7">
        <w:rPr>
          <w:rFonts w:ascii="Times New Roman" w:hAnsi="Times New Roman" w:cs="Times New Roman"/>
          <w:sz w:val="24"/>
          <w:szCs w:val="24"/>
          <w:lang w:val="en-US"/>
        </w:rPr>
        <w:t xml:space="preserve">, i.e. </w:t>
      </w:r>
      <w:r w:rsidR="004A2B64">
        <w:rPr>
          <w:rFonts w:ascii="Times New Roman" w:hAnsi="Times New Roman" w:cs="Times New Roman"/>
          <w:sz w:val="24"/>
          <w:szCs w:val="24"/>
          <w:lang w:val="en-US"/>
        </w:rPr>
        <w:t>firm fixed effects (13,952 unique firms) explain 59.4% of the variation in our measure</w:t>
      </w:r>
      <w:r>
        <w:rPr>
          <w:rFonts w:ascii="Times New Roman" w:hAnsi="Times New Roman" w:cs="Times New Roman"/>
          <w:sz w:val="24"/>
          <w:szCs w:val="24"/>
          <w:lang w:val="en-US"/>
        </w:rPr>
        <w:t>, leaving</w:t>
      </w:r>
      <w:r w:rsidR="009F6BD7">
        <w:rPr>
          <w:rFonts w:ascii="Times New Roman" w:hAnsi="Times New Roman" w:cs="Times New Roman"/>
          <w:sz w:val="24"/>
          <w:szCs w:val="24"/>
          <w:lang w:val="en-US"/>
        </w:rPr>
        <w:t xml:space="preserve"> t</w:t>
      </w:r>
      <w:r w:rsidR="004A2B64">
        <w:rPr>
          <w:rFonts w:ascii="Times New Roman" w:hAnsi="Times New Roman" w:cs="Times New Roman"/>
          <w:sz w:val="24"/>
          <w:szCs w:val="24"/>
          <w:lang w:val="en-US"/>
        </w:rPr>
        <w:t xml:space="preserve">he remaining 40.6% available to researchers wishing to </w:t>
      </w:r>
      <w:r w:rsidR="009F7C48">
        <w:rPr>
          <w:rFonts w:ascii="Times New Roman" w:hAnsi="Times New Roman" w:cs="Times New Roman"/>
          <w:sz w:val="24"/>
          <w:szCs w:val="24"/>
          <w:lang w:val="en-US"/>
        </w:rPr>
        <w:t>exploit</w:t>
      </w:r>
      <w:r w:rsidR="004A2B64">
        <w:rPr>
          <w:rFonts w:ascii="Times New Roman" w:hAnsi="Times New Roman" w:cs="Times New Roman"/>
          <w:sz w:val="24"/>
          <w:szCs w:val="24"/>
          <w:lang w:val="en-US"/>
        </w:rPr>
        <w:t xml:space="preserve"> </w:t>
      </w:r>
      <w:r w:rsidR="004A2B64">
        <w:rPr>
          <w:rFonts w:ascii="Times New Roman" w:hAnsi="Times New Roman" w:cs="Times New Roman"/>
          <w:sz w:val="24"/>
          <w:szCs w:val="24"/>
          <w:lang w:val="en-US"/>
        </w:rPr>
        <w:lastRenderedPageBreak/>
        <w:t>within-firm variation over time. Finally, firm and year fixed effects</w:t>
      </w:r>
      <w:r w:rsidR="009F6BD7">
        <w:rPr>
          <w:rFonts w:ascii="Times New Roman" w:hAnsi="Times New Roman" w:cs="Times New Roman"/>
          <w:sz w:val="24"/>
          <w:szCs w:val="24"/>
          <w:lang w:val="en-US"/>
        </w:rPr>
        <w:t xml:space="preserve"> jointly account for</w:t>
      </w:r>
      <w:r w:rsidR="004A2B64">
        <w:rPr>
          <w:rFonts w:ascii="Times New Roman" w:hAnsi="Times New Roman" w:cs="Times New Roman"/>
          <w:sz w:val="24"/>
          <w:szCs w:val="24"/>
          <w:lang w:val="en-US"/>
        </w:rPr>
        <w:t xml:space="preserve"> 68.8%</w:t>
      </w:r>
      <w:r w:rsidR="009F6BD7">
        <w:rPr>
          <w:rFonts w:ascii="Times New Roman" w:hAnsi="Times New Roman" w:cs="Times New Roman"/>
          <w:sz w:val="24"/>
          <w:szCs w:val="24"/>
          <w:lang w:val="en-US"/>
        </w:rPr>
        <w:t xml:space="preserve"> of the variation in </w:t>
      </w:r>
      <w:r w:rsidR="009F6BD7" w:rsidRPr="00083CC6">
        <w:rPr>
          <w:rFonts w:ascii="Times New Roman" w:hAnsi="Times New Roman" w:cs="Times New Roman"/>
          <w:i/>
          <w:iCs/>
          <w:sz w:val="24"/>
          <w:szCs w:val="24"/>
          <w:lang w:val="en-US"/>
        </w:rPr>
        <w:t>VU</w:t>
      </w:r>
      <w:r w:rsidR="004A2B64">
        <w:rPr>
          <w:rFonts w:ascii="Times New Roman" w:hAnsi="Times New Roman" w:cs="Times New Roman"/>
          <w:sz w:val="24"/>
          <w:szCs w:val="24"/>
          <w:lang w:val="en-US"/>
        </w:rPr>
        <w:t xml:space="preserve">. </w:t>
      </w:r>
      <w:r w:rsidR="009F7C48">
        <w:rPr>
          <w:rFonts w:ascii="Times New Roman" w:hAnsi="Times New Roman" w:cs="Times New Roman"/>
          <w:sz w:val="24"/>
          <w:szCs w:val="24"/>
          <w:lang w:val="en-US"/>
        </w:rPr>
        <w:t>R</w:t>
      </w:r>
      <w:r w:rsidR="004A2B64">
        <w:rPr>
          <w:rFonts w:ascii="Times New Roman" w:hAnsi="Times New Roman" w:cs="Times New Roman"/>
          <w:sz w:val="24"/>
          <w:szCs w:val="24"/>
          <w:lang w:val="en-US"/>
        </w:rPr>
        <w:t xml:space="preserve">esearchers wishing to control for time-invariant firm-specific heterogeneity </w:t>
      </w:r>
      <w:r w:rsidR="004A2B64" w:rsidRPr="000F1638">
        <w:rPr>
          <w:rFonts w:ascii="Times New Roman" w:hAnsi="Times New Roman" w:cs="Times New Roman"/>
          <w:i/>
          <w:iCs/>
          <w:sz w:val="24"/>
          <w:szCs w:val="24"/>
          <w:lang w:val="en-US"/>
        </w:rPr>
        <w:t>and</w:t>
      </w:r>
      <w:r w:rsidR="004A2B64">
        <w:rPr>
          <w:rFonts w:ascii="Times New Roman" w:hAnsi="Times New Roman" w:cs="Times New Roman"/>
          <w:sz w:val="24"/>
          <w:szCs w:val="24"/>
          <w:lang w:val="en-US"/>
        </w:rPr>
        <w:t xml:space="preserve"> for year-specific effects are left with 31.2% of the variation in our measure. </w:t>
      </w:r>
      <w:r w:rsidR="00A27EF2">
        <w:rPr>
          <w:rFonts w:ascii="Times New Roman" w:hAnsi="Times New Roman" w:cs="Times New Roman"/>
          <w:sz w:val="24"/>
          <w:szCs w:val="24"/>
          <w:lang w:val="en-US"/>
        </w:rPr>
        <w:t>I</w:t>
      </w:r>
      <w:r w:rsidR="004A2B64">
        <w:rPr>
          <w:rFonts w:ascii="Times New Roman" w:hAnsi="Times New Roman" w:cs="Times New Roman"/>
          <w:sz w:val="24"/>
          <w:szCs w:val="24"/>
          <w:lang w:val="en-US"/>
        </w:rPr>
        <w:t xml:space="preserve">t appears that </w:t>
      </w:r>
      <w:r w:rsidR="009F7C48" w:rsidRPr="00083CC6">
        <w:rPr>
          <w:rFonts w:ascii="Times New Roman" w:hAnsi="Times New Roman" w:cs="Times New Roman"/>
          <w:i/>
          <w:iCs/>
          <w:sz w:val="24"/>
          <w:szCs w:val="24"/>
          <w:lang w:val="en-US"/>
        </w:rPr>
        <w:t>VU</w:t>
      </w:r>
      <w:r w:rsidR="004A2B64">
        <w:rPr>
          <w:rFonts w:ascii="Times New Roman" w:hAnsi="Times New Roman" w:cs="Times New Roman"/>
          <w:sz w:val="24"/>
          <w:szCs w:val="24"/>
          <w:lang w:val="en-US"/>
        </w:rPr>
        <w:t xml:space="preserve"> is best suited for cross-sectional studies – both cross-industry and cross-firm – and perhaps less so for studies requiring within-firm </w:t>
      </w:r>
      <w:r w:rsidR="00A27EF2">
        <w:rPr>
          <w:rFonts w:ascii="Times New Roman" w:hAnsi="Times New Roman" w:cs="Times New Roman"/>
          <w:sz w:val="24"/>
          <w:szCs w:val="24"/>
          <w:lang w:val="en-US"/>
        </w:rPr>
        <w:t xml:space="preserve">temporal </w:t>
      </w:r>
      <w:r w:rsidR="004A2B64">
        <w:rPr>
          <w:rFonts w:ascii="Times New Roman" w:hAnsi="Times New Roman" w:cs="Times New Roman"/>
          <w:sz w:val="24"/>
          <w:szCs w:val="24"/>
          <w:lang w:val="en-US"/>
        </w:rPr>
        <w:t xml:space="preserve">variation </w:t>
      </w:r>
      <w:r w:rsidR="004A2B64" w:rsidRPr="000D1132">
        <w:rPr>
          <w:rFonts w:ascii="Times New Roman" w:hAnsi="Times New Roman" w:cs="Times New Roman"/>
          <w:i/>
          <w:iCs/>
          <w:sz w:val="24"/>
          <w:szCs w:val="24"/>
          <w:lang w:val="en-US"/>
        </w:rPr>
        <w:t>beyond</w:t>
      </w:r>
      <w:r w:rsidR="004A2B64">
        <w:rPr>
          <w:rFonts w:ascii="Times New Roman" w:hAnsi="Times New Roman" w:cs="Times New Roman"/>
          <w:sz w:val="24"/>
          <w:szCs w:val="24"/>
          <w:lang w:val="en-US"/>
        </w:rPr>
        <w:t xml:space="preserve"> common trends.</w:t>
      </w:r>
      <w:r w:rsidR="005D6376">
        <w:rPr>
          <w:rFonts w:ascii="Times New Roman" w:hAnsi="Times New Roman" w:cs="Times New Roman"/>
          <w:sz w:val="24"/>
          <w:szCs w:val="24"/>
          <w:lang w:val="en-US"/>
        </w:rPr>
        <w:t xml:space="preserve"> Pairwise correlations between </w:t>
      </w:r>
      <w:r w:rsidR="005D6376" w:rsidRPr="005D6376">
        <w:rPr>
          <w:rFonts w:ascii="Times New Roman" w:hAnsi="Times New Roman" w:cs="Times New Roman"/>
          <w:i/>
          <w:iCs/>
          <w:sz w:val="24"/>
          <w:szCs w:val="24"/>
          <w:lang w:val="en-US"/>
        </w:rPr>
        <w:t>VU</w:t>
      </w:r>
      <w:r w:rsidR="005D6376">
        <w:rPr>
          <w:rFonts w:ascii="Times New Roman" w:hAnsi="Times New Roman" w:cs="Times New Roman"/>
          <w:sz w:val="24"/>
          <w:szCs w:val="24"/>
          <w:lang w:val="en-US"/>
        </w:rPr>
        <w:t xml:space="preserve"> and</w:t>
      </w:r>
      <w:r w:rsidR="00C36E66">
        <w:rPr>
          <w:rFonts w:ascii="Times New Roman" w:hAnsi="Times New Roman" w:cs="Times New Roman"/>
          <w:sz w:val="24"/>
          <w:szCs w:val="24"/>
          <w:lang w:val="en-US"/>
        </w:rPr>
        <w:t xml:space="preserve"> key</w:t>
      </w:r>
      <w:r w:rsidR="005D6376">
        <w:rPr>
          <w:rFonts w:ascii="Times New Roman" w:hAnsi="Times New Roman" w:cs="Times New Roman"/>
          <w:sz w:val="24"/>
          <w:szCs w:val="24"/>
          <w:lang w:val="en-US"/>
        </w:rPr>
        <w:t xml:space="preserve"> </w:t>
      </w:r>
      <w:r w:rsidR="00C36E66">
        <w:rPr>
          <w:rFonts w:ascii="Times New Roman" w:hAnsi="Times New Roman" w:cs="Times New Roman"/>
          <w:sz w:val="24"/>
          <w:szCs w:val="24"/>
          <w:lang w:val="en-US"/>
        </w:rPr>
        <w:t>variables used in the paper</w:t>
      </w:r>
      <w:r w:rsidR="005D6376">
        <w:rPr>
          <w:rFonts w:ascii="Times New Roman" w:hAnsi="Times New Roman" w:cs="Times New Roman"/>
          <w:sz w:val="24"/>
          <w:szCs w:val="24"/>
          <w:lang w:val="en-US"/>
        </w:rPr>
        <w:t xml:space="preserve"> </w:t>
      </w:r>
      <w:r w:rsidR="00C36E66">
        <w:rPr>
          <w:rFonts w:ascii="Times New Roman" w:hAnsi="Times New Roman" w:cs="Times New Roman"/>
          <w:sz w:val="24"/>
          <w:szCs w:val="24"/>
          <w:lang w:val="en-US"/>
        </w:rPr>
        <w:t>are reported</w:t>
      </w:r>
      <w:r w:rsidR="005D6376">
        <w:rPr>
          <w:rFonts w:ascii="Times New Roman" w:hAnsi="Times New Roman" w:cs="Times New Roman"/>
          <w:sz w:val="24"/>
          <w:szCs w:val="24"/>
          <w:lang w:val="en-US"/>
        </w:rPr>
        <w:t xml:space="preserve"> in Table A5 of the Online Appendix.</w:t>
      </w:r>
    </w:p>
    <w:p w14:paraId="59619821" w14:textId="5122AC4E" w:rsidR="007C1097" w:rsidRDefault="003D6A5C" w:rsidP="003D6A5C">
      <w:pPr>
        <w:spacing w:before="120"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IV. </w:t>
      </w:r>
      <w:r w:rsidRPr="00DE757A">
        <w:rPr>
          <w:rFonts w:ascii="Times New Roman" w:hAnsi="Times New Roman" w:cs="Times New Roman"/>
          <w:b/>
          <w:bCs/>
          <w:iCs/>
          <w:sz w:val="24"/>
          <w:szCs w:val="24"/>
        </w:rPr>
        <w:t xml:space="preserve">VALIDATION </w:t>
      </w:r>
      <w:r>
        <w:rPr>
          <w:rFonts w:ascii="Times New Roman" w:hAnsi="Times New Roman" w:cs="Times New Roman"/>
          <w:b/>
          <w:bCs/>
          <w:iCs/>
          <w:sz w:val="24"/>
          <w:szCs w:val="24"/>
        </w:rPr>
        <w:t>T</w:t>
      </w:r>
      <w:r w:rsidRPr="00DE757A">
        <w:rPr>
          <w:rFonts w:ascii="Times New Roman" w:hAnsi="Times New Roman" w:cs="Times New Roman"/>
          <w:b/>
          <w:bCs/>
          <w:iCs/>
          <w:sz w:val="24"/>
          <w:szCs w:val="24"/>
        </w:rPr>
        <w:t>ESTS</w:t>
      </w:r>
    </w:p>
    <w:p w14:paraId="23689417" w14:textId="196E9594" w:rsidR="003D6A5C" w:rsidRPr="00147270" w:rsidRDefault="003D6A5C" w:rsidP="00C80826">
      <w:pPr>
        <w:spacing w:after="0" w:line="480" w:lineRule="auto"/>
        <w:rPr>
          <w:rFonts w:ascii="Times New Roman" w:hAnsi="Times New Roman" w:cs="Times New Roman"/>
          <w:b/>
          <w:bCs/>
          <w:iCs/>
          <w:sz w:val="24"/>
          <w:szCs w:val="24"/>
          <w:lang w:val="en-US"/>
        </w:rPr>
      </w:pPr>
      <w:r w:rsidRPr="00147270">
        <w:rPr>
          <w:rFonts w:ascii="Times New Roman" w:hAnsi="Times New Roman" w:cs="Times New Roman"/>
          <w:b/>
          <w:bCs/>
          <w:iCs/>
          <w:sz w:val="24"/>
          <w:szCs w:val="24"/>
          <w:lang w:val="en-US"/>
        </w:rPr>
        <w:t xml:space="preserve">Validation using </w:t>
      </w:r>
      <w:r w:rsidR="00C80826">
        <w:rPr>
          <w:rFonts w:ascii="Times New Roman" w:hAnsi="Times New Roman" w:cs="Times New Roman"/>
          <w:b/>
          <w:bCs/>
          <w:iCs/>
          <w:sz w:val="24"/>
          <w:szCs w:val="24"/>
          <w:lang w:val="en-US"/>
        </w:rPr>
        <w:t>E</w:t>
      </w:r>
      <w:r w:rsidRPr="00147270">
        <w:rPr>
          <w:rFonts w:ascii="Times New Roman" w:hAnsi="Times New Roman" w:cs="Times New Roman"/>
          <w:b/>
          <w:bCs/>
          <w:iCs/>
          <w:sz w:val="24"/>
          <w:szCs w:val="24"/>
          <w:lang w:val="en-US"/>
        </w:rPr>
        <w:t>x-</w:t>
      </w:r>
      <w:r w:rsidR="00C80826">
        <w:rPr>
          <w:rFonts w:ascii="Times New Roman" w:hAnsi="Times New Roman" w:cs="Times New Roman"/>
          <w:b/>
          <w:bCs/>
          <w:iCs/>
          <w:sz w:val="24"/>
          <w:szCs w:val="24"/>
          <w:lang w:val="en-US"/>
        </w:rPr>
        <w:t>A</w:t>
      </w:r>
      <w:r w:rsidRPr="00147270">
        <w:rPr>
          <w:rFonts w:ascii="Times New Roman" w:hAnsi="Times New Roman" w:cs="Times New Roman"/>
          <w:b/>
          <w:bCs/>
          <w:iCs/>
          <w:sz w:val="24"/>
          <w:szCs w:val="24"/>
          <w:lang w:val="en-US"/>
        </w:rPr>
        <w:t xml:space="preserve">nte </w:t>
      </w:r>
      <w:r w:rsidR="00C80826">
        <w:rPr>
          <w:rFonts w:ascii="Times New Roman" w:hAnsi="Times New Roman" w:cs="Times New Roman"/>
          <w:b/>
          <w:bCs/>
          <w:iCs/>
          <w:sz w:val="24"/>
          <w:szCs w:val="24"/>
          <w:lang w:val="en-US"/>
        </w:rPr>
        <w:t>C</w:t>
      </w:r>
      <w:r w:rsidR="00240ED4" w:rsidRPr="00147270">
        <w:rPr>
          <w:rFonts w:ascii="Times New Roman" w:hAnsi="Times New Roman" w:cs="Times New Roman"/>
          <w:b/>
          <w:bCs/>
          <w:iCs/>
          <w:sz w:val="24"/>
          <w:szCs w:val="24"/>
          <w:lang w:val="en-US"/>
        </w:rPr>
        <w:t>haracteristics</w:t>
      </w:r>
    </w:p>
    <w:p w14:paraId="2DBAACDE" w14:textId="695AC32D" w:rsidR="00147270" w:rsidRDefault="001672AE"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As eq. (3) shows</w:t>
      </w:r>
      <w:r w:rsidR="00147270">
        <w:rPr>
          <w:rFonts w:ascii="Times New Roman" w:hAnsi="Times New Roman" w:cs="Times New Roman"/>
          <w:sz w:val="24"/>
          <w:szCs w:val="24"/>
        </w:rPr>
        <w:t>, valuation uncertainty stems from the uncertainty about valuation inputs: cash</w:t>
      </w:r>
      <w:r w:rsidR="006B6622">
        <w:rPr>
          <w:rFonts w:ascii="Times New Roman" w:hAnsi="Times New Roman" w:cs="Times New Roman"/>
          <w:sz w:val="24"/>
          <w:szCs w:val="24"/>
        </w:rPr>
        <w:t xml:space="preserve"> </w:t>
      </w:r>
      <w:r w:rsidR="00147270">
        <w:rPr>
          <w:rFonts w:ascii="Times New Roman" w:hAnsi="Times New Roman" w:cs="Times New Roman"/>
          <w:sz w:val="24"/>
          <w:szCs w:val="24"/>
        </w:rPr>
        <w:t>flows and discount rates. Therefore, a</w:t>
      </w:r>
      <w:r>
        <w:rPr>
          <w:rFonts w:ascii="Times New Roman" w:hAnsi="Times New Roman" w:cs="Times New Roman"/>
          <w:sz w:val="24"/>
          <w:szCs w:val="24"/>
        </w:rPr>
        <w:t>s our first validation analysis,</w:t>
      </w:r>
      <w:r w:rsidR="00147270">
        <w:rPr>
          <w:rFonts w:ascii="Times New Roman" w:hAnsi="Times New Roman" w:cs="Times New Roman"/>
          <w:sz w:val="24"/>
          <w:szCs w:val="24"/>
        </w:rPr>
        <w:t xml:space="preserve"> we relate our measure to ex-ante </w:t>
      </w:r>
      <w:r w:rsidR="003B2C59">
        <w:rPr>
          <w:rFonts w:ascii="Times New Roman" w:hAnsi="Times New Roman" w:cs="Times New Roman"/>
          <w:sz w:val="24"/>
          <w:szCs w:val="24"/>
        </w:rPr>
        <w:t>characteristics that have been linked to</w:t>
      </w:r>
      <w:r w:rsidR="00147270">
        <w:rPr>
          <w:rFonts w:ascii="Times New Roman" w:hAnsi="Times New Roman" w:cs="Times New Roman"/>
          <w:sz w:val="24"/>
          <w:szCs w:val="24"/>
        </w:rPr>
        <w:t xml:space="preserve"> such uncertainties. Table </w:t>
      </w:r>
      <w:r w:rsidR="002017C3">
        <w:rPr>
          <w:rFonts w:ascii="Times New Roman" w:hAnsi="Times New Roman" w:cs="Times New Roman"/>
          <w:sz w:val="24"/>
          <w:szCs w:val="24"/>
        </w:rPr>
        <w:t>2</w:t>
      </w:r>
      <w:r w:rsidR="00F526A8">
        <w:rPr>
          <w:rFonts w:ascii="Times New Roman" w:hAnsi="Times New Roman" w:cs="Times New Roman"/>
          <w:sz w:val="24"/>
          <w:szCs w:val="24"/>
        </w:rPr>
        <w:t xml:space="preserve"> reports these tests</w:t>
      </w:r>
      <w:r w:rsidR="00AE0B06">
        <w:rPr>
          <w:rFonts w:ascii="Times New Roman" w:hAnsi="Times New Roman" w:cs="Times New Roman"/>
          <w:sz w:val="24"/>
          <w:szCs w:val="24"/>
        </w:rPr>
        <w:t xml:space="preserve"> using Fama-MacBeth </w:t>
      </w:r>
      <w:r w:rsidR="007F18B4">
        <w:rPr>
          <w:rFonts w:ascii="Times New Roman" w:hAnsi="Times New Roman" w:cs="Times New Roman"/>
          <w:sz w:val="24"/>
          <w:szCs w:val="24"/>
        </w:rPr>
        <w:t xml:space="preserve">cross-sectional </w:t>
      </w:r>
      <w:r w:rsidR="00AE0B06">
        <w:rPr>
          <w:rFonts w:ascii="Times New Roman" w:hAnsi="Times New Roman" w:cs="Times New Roman"/>
          <w:sz w:val="24"/>
          <w:szCs w:val="24"/>
        </w:rPr>
        <w:t>regressions</w:t>
      </w:r>
      <w:r w:rsidR="001F79FF">
        <w:rPr>
          <w:rFonts w:ascii="Times New Roman" w:hAnsi="Times New Roman" w:cs="Times New Roman"/>
          <w:sz w:val="24"/>
          <w:szCs w:val="24"/>
        </w:rPr>
        <w:t>.</w:t>
      </w:r>
    </w:p>
    <w:p w14:paraId="246BBC46" w14:textId="33FF2A24" w:rsidR="00147270" w:rsidRDefault="00147270"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 column (1) we relate </w:t>
      </w:r>
      <w:r w:rsidRPr="00C80826">
        <w:rPr>
          <w:rFonts w:ascii="Times New Roman" w:hAnsi="Times New Roman" w:cs="Times New Roman"/>
          <w:i/>
          <w:iCs/>
          <w:sz w:val="24"/>
          <w:szCs w:val="24"/>
        </w:rPr>
        <w:t>VU</w:t>
      </w:r>
      <w:r>
        <w:rPr>
          <w:rFonts w:ascii="Times New Roman" w:hAnsi="Times New Roman" w:cs="Times New Roman"/>
          <w:sz w:val="24"/>
          <w:szCs w:val="24"/>
        </w:rPr>
        <w:t xml:space="preserve"> to earnings volatility</w:t>
      </w:r>
      <w:r w:rsidR="006B6622">
        <w:rPr>
          <w:rFonts w:ascii="Times New Roman" w:hAnsi="Times New Roman" w:cs="Times New Roman"/>
          <w:sz w:val="24"/>
          <w:szCs w:val="24"/>
        </w:rPr>
        <w:t xml:space="preserve"> – perhaps the most direct proxy for cash flow uncertainty. Earnings volatility is</w:t>
      </w:r>
      <w:r>
        <w:rPr>
          <w:rFonts w:ascii="Times New Roman" w:hAnsi="Times New Roman" w:cs="Times New Roman"/>
          <w:sz w:val="24"/>
          <w:szCs w:val="24"/>
        </w:rPr>
        <w:t xml:space="preserve"> defined as the standard deviation of ROA over the </w:t>
      </w:r>
      <w:r w:rsidR="00FF4A0F">
        <w:rPr>
          <w:rFonts w:ascii="Times New Roman" w:hAnsi="Times New Roman" w:cs="Times New Roman"/>
          <w:sz w:val="24"/>
          <w:szCs w:val="24"/>
        </w:rPr>
        <w:t xml:space="preserve">most recent </w:t>
      </w:r>
      <w:r>
        <w:rPr>
          <w:rFonts w:ascii="Times New Roman" w:hAnsi="Times New Roman" w:cs="Times New Roman"/>
          <w:sz w:val="24"/>
          <w:szCs w:val="24"/>
        </w:rPr>
        <w:t>five years.</w:t>
      </w:r>
      <w:r w:rsidR="00832EE8">
        <w:rPr>
          <w:rFonts w:ascii="Times New Roman" w:hAnsi="Times New Roman" w:cs="Times New Roman"/>
          <w:sz w:val="24"/>
          <w:szCs w:val="24"/>
        </w:rPr>
        <w:t xml:space="preserve"> We find that firms with more volatile earnings have higher valuation uncertainty according to our measure. The explanatory power of earnings volatility for </w:t>
      </w:r>
      <w:r w:rsidR="00832EE8" w:rsidRPr="00832EE8">
        <w:rPr>
          <w:rFonts w:ascii="Times New Roman" w:hAnsi="Times New Roman" w:cs="Times New Roman"/>
          <w:i/>
          <w:iCs/>
          <w:sz w:val="24"/>
          <w:szCs w:val="24"/>
        </w:rPr>
        <w:t>VU</w:t>
      </w:r>
      <w:r w:rsidR="00832EE8">
        <w:rPr>
          <w:rFonts w:ascii="Times New Roman" w:hAnsi="Times New Roman" w:cs="Times New Roman"/>
          <w:sz w:val="24"/>
          <w:szCs w:val="24"/>
        </w:rPr>
        <w:t xml:space="preserve"> is high, with an adjusted R</w:t>
      </w:r>
      <w:r w:rsidR="00832EE8" w:rsidRPr="009040F0">
        <w:rPr>
          <w:rFonts w:ascii="Times New Roman" w:hAnsi="Times New Roman" w:cs="Times New Roman"/>
          <w:sz w:val="24"/>
          <w:szCs w:val="24"/>
          <w:vertAlign w:val="superscript"/>
        </w:rPr>
        <w:t>2</w:t>
      </w:r>
      <w:r w:rsidR="00832EE8">
        <w:rPr>
          <w:rFonts w:ascii="Times New Roman" w:hAnsi="Times New Roman" w:cs="Times New Roman"/>
          <w:sz w:val="24"/>
          <w:szCs w:val="24"/>
        </w:rPr>
        <w:t xml:space="preserve"> of 13%. In column (2) we consider the role of earnings persistence, measured </w:t>
      </w:r>
      <w:r w:rsidR="00835D54">
        <w:rPr>
          <w:rFonts w:ascii="Times New Roman" w:hAnsi="Times New Roman" w:cs="Times New Roman"/>
          <w:sz w:val="24"/>
          <w:szCs w:val="24"/>
        </w:rPr>
        <w:t>as the slope coefficient from a</w:t>
      </w:r>
      <w:r w:rsidR="006237FD">
        <w:rPr>
          <w:rFonts w:ascii="Times New Roman" w:hAnsi="Times New Roman" w:cs="Times New Roman"/>
          <w:sz w:val="24"/>
          <w:szCs w:val="24"/>
        </w:rPr>
        <w:t xml:space="preserve"> firm-specific </w:t>
      </w:r>
      <w:r w:rsidR="00832EE8">
        <w:rPr>
          <w:rFonts w:ascii="Times New Roman" w:hAnsi="Times New Roman" w:cs="Times New Roman"/>
          <w:sz w:val="24"/>
          <w:szCs w:val="24"/>
        </w:rPr>
        <w:t xml:space="preserve">AR(1) regression </w:t>
      </w:r>
      <w:r w:rsidR="008B7B3D">
        <w:rPr>
          <w:rFonts w:ascii="Times New Roman" w:hAnsi="Times New Roman" w:cs="Times New Roman"/>
          <w:sz w:val="24"/>
          <w:szCs w:val="24"/>
        </w:rPr>
        <w:t>of current ROA on lagged ROA</w:t>
      </w:r>
      <w:r w:rsidR="00BF7457">
        <w:rPr>
          <w:rFonts w:ascii="Times New Roman" w:hAnsi="Times New Roman" w:cs="Times New Roman"/>
          <w:sz w:val="24"/>
          <w:szCs w:val="24"/>
        </w:rPr>
        <w:t xml:space="preserve"> (</w:t>
      </w:r>
      <w:r w:rsidR="00391CA0">
        <w:rPr>
          <w:rFonts w:ascii="Times New Roman" w:hAnsi="Times New Roman" w:cs="Times New Roman"/>
          <w:sz w:val="24"/>
          <w:szCs w:val="24"/>
        </w:rPr>
        <w:t xml:space="preserve">e.g., </w:t>
      </w:r>
      <w:hyperlink w:anchor="_ENREF_28" w:tooltip="Dechow, 2010 #56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AuthorYear="1"&gt;&lt;Author&gt;Dechow&lt;/Author&gt;&lt;Year&gt;2010&lt;/Year&gt;&lt;RecNum&gt;564&lt;/RecNum&gt;&lt;DisplayText&gt;Dechow, Ge, and Schrand (2010)&lt;/DisplayText&gt;&lt;record&gt;&lt;rec-number&gt;564&lt;/rec-number&gt;&lt;foreign-keys&gt;&lt;key app="EN" db-id="a00ppf5vbz2zw4efraqp9recxrvdwwtasszf" timestamp="1636055770"&gt;564&lt;/key&gt;&lt;/foreign-keys&gt;&lt;ref-type name="Journal Article"&gt;17&lt;/ref-type&gt;&lt;contributors&gt;&lt;authors&gt;&lt;author&gt;Dechow, Patricia M.&lt;/author&gt;&lt;author&gt;Ge, Weili,&lt;/author&gt;&lt;author&gt;Schrand, Catherine M.&lt;/author&gt;&lt;/authors&gt;&lt;/contributors&gt;&lt;titles&gt;&lt;title&gt;Understanding Earnings Quality: A Review of the Proxies, Their Determinants and Their Consequences&lt;/title&gt;&lt;secondary-title&gt;Journal of Accounting &amp;amp; Economics&lt;/secondary-title&gt;&lt;/titles&gt;&lt;periodical&gt;&lt;full-title&gt;Journal of Accounting &amp;amp; Economics&lt;/full-title&gt;&lt;/periodical&gt;&lt;pages&gt;344-401&lt;/pages&gt;&lt;volume&gt;50&lt;/volume&gt;&lt;dates&gt;&lt;year&gt;2010&lt;/year&gt;&lt;/dates&gt;&lt;publisher&gt;Elsevier&lt;/publisher&gt;&lt;urls&gt;&lt;/urls&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Dechow, Ge, and Schrand (2010)</w:t>
        </w:r>
        <w:r w:rsidR="00A4299A">
          <w:rPr>
            <w:rFonts w:ascii="Times New Roman" w:hAnsi="Times New Roman" w:cs="Times New Roman"/>
            <w:sz w:val="24"/>
            <w:szCs w:val="24"/>
          </w:rPr>
          <w:fldChar w:fldCharType="end"/>
        </w:r>
      </w:hyperlink>
      <w:r w:rsidR="00122DD7">
        <w:rPr>
          <w:rFonts w:ascii="Times New Roman" w:hAnsi="Times New Roman" w:cs="Times New Roman"/>
          <w:sz w:val="24"/>
          <w:szCs w:val="24"/>
        </w:rPr>
        <w:t>)</w:t>
      </w:r>
      <w:r w:rsidR="008B7B3D">
        <w:rPr>
          <w:rFonts w:ascii="Times New Roman" w:hAnsi="Times New Roman" w:cs="Times New Roman"/>
          <w:sz w:val="24"/>
          <w:szCs w:val="24"/>
        </w:rPr>
        <w:t>.</w:t>
      </w:r>
      <w:r w:rsidR="00832EE8">
        <w:rPr>
          <w:rFonts w:ascii="Times New Roman" w:hAnsi="Times New Roman" w:cs="Times New Roman"/>
          <w:sz w:val="24"/>
          <w:szCs w:val="24"/>
        </w:rPr>
        <w:t xml:space="preserve"> The coefficient on earnings persistence is negative, meaning that firms with more persistent earnings tend to have lower values of </w:t>
      </w:r>
      <w:r w:rsidR="00832EE8" w:rsidRPr="00832EE8">
        <w:rPr>
          <w:rFonts w:ascii="Times New Roman" w:hAnsi="Times New Roman" w:cs="Times New Roman"/>
          <w:i/>
          <w:iCs/>
          <w:sz w:val="24"/>
          <w:szCs w:val="24"/>
        </w:rPr>
        <w:t>VU</w:t>
      </w:r>
      <w:r w:rsidR="00832EE8">
        <w:rPr>
          <w:rFonts w:ascii="Times New Roman" w:hAnsi="Times New Roman" w:cs="Times New Roman"/>
          <w:sz w:val="24"/>
          <w:szCs w:val="24"/>
        </w:rPr>
        <w:t>. However, the explanatory power is low, with an R</w:t>
      </w:r>
      <w:r w:rsidR="00832EE8" w:rsidRPr="009040F0">
        <w:rPr>
          <w:rFonts w:ascii="Times New Roman" w:hAnsi="Times New Roman" w:cs="Times New Roman"/>
          <w:sz w:val="24"/>
          <w:szCs w:val="24"/>
          <w:vertAlign w:val="superscript"/>
        </w:rPr>
        <w:t>2</w:t>
      </w:r>
      <w:r w:rsidR="00832EE8">
        <w:rPr>
          <w:rFonts w:ascii="Times New Roman" w:hAnsi="Times New Roman" w:cs="Times New Roman"/>
          <w:sz w:val="24"/>
          <w:szCs w:val="24"/>
        </w:rPr>
        <w:t xml:space="preserve"> of only 0.2%. In column (3) we consider a related measure of </w:t>
      </w:r>
      <w:r w:rsidR="003B2C59">
        <w:rPr>
          <w:rFonts w:ascii="Times New Roman" w:hAnsi="Times New Roman" w:cs="Times New Roman"/>
          <w:sz w:val="24"/>
          <w:szCs w:val="24"/>
        </w:rPr>
        <w:t>earnings predictability, defined as the R</w:t>
      </w:r>
      <w:r w:rsidR="003B2C59" w:rsidRPr="009040F0">
        <w:rPr>
          <w:rFonts w:ascii="Times New Roman" w:hAnsi="Times New Roman" w:cs="Times New Roman"/>
          <w:sz w:val="24"/>
          <w:szCs w:val="24"/>
          <w:vertAlign w:val="superscript"/>
        </w:rPr>
        <w:t>2</w:t>
      </w:r>
      <w:r w:rsidR="003B2C59">
        <w:rPr>
          <w:rFonts w:ascii="Times New Roman" w:hAnsi="Times New Roman" w:cs="Times New Roman"/>
          <w:sz w:val="24"/>
          <w:szCs w:val="24"/>
        </w:rPr>
        <w:t xml:space="preserve"> from the AR(1) model for </w:t>
      </w:r>
      <w:r w:rsidR="003E1669">
        <w:rPr>
          <w:rFonts w:ascii="Times New Roman" w:hAnsi="Times New Roman" w:cs="Times New Roman"/>
          <w:sz w:val="24"/>
          <w:szCs w:val="24"/>
        </w:rPr>
        <w:t>ROA</w:t>
      </w:r>
      <w:r w:rsidR="003B2C59">
        <w:rPr>
          <w:rFonts w:ascii="Times New Roman" w:hAnsi="Times New Roman" w:cs="Times New Roman"/>
          <w:sz w:val="24"/>
          <w:szCs w:val="24"/>
        </w:rPr>
        <w:t xml:space="preserve">. The results here mirror those for </w:t>
      </w:r>
      <w:r w:rsidR="003B2C59">
        <w:rPr>
          <w:rFonts w:ascii="Times New Roman" w:hAnsi="Times New Roman" w:cs="Times New Roman"/>
          <w:sz w:val="24"/>
          <w:szCs w:val="24"/>
        </w:rPr>
        <w:lastRenderedPageBreak/>
        <w:t xml:space="preserve">earnings persistence: higher predictability of </w:t>
      </w:r>
      <w:r w:rsidR="00055271">
        <w:rPr>
          <w:rFonts w:ascii="Times New Roman" w:hAnsi="Times New Roman" w:cs="Times New Roman"/>
          <w:sz w:val="24"/>
          <w:szCs w:val="24"/>
        </w:rPr>
        <w:t xml:space="preserve">(scaled) </w:t>
      </w:r>
      <w:r w:rsidR="003B2C59">
        <w:rPr>
          <w:rFonts w:ascii="Times New Roman" w:hAnsi="Times New Roman" w:cs="Times New Roman"/>
          <w:sz w:val="24"/>
          <w:szCs w:val="24"/>
        </w:rPr>
        <w:t xml:space="preserve">earnings by </w:t>
      </w:r>
      <w:r w:rsidR="007B1EE6">
        <w:rPr>
          <w:rFonts w:ascii="Times New Roman" w:hAnsi="Times New Roman" w:cs="Times New Roman"/>
          <w:sz w:val="24"/>
          <w:szCs w:val="24"/>
        </w:rPr>
        <w:t>their</w:t>
      </w:r>
      <w:r w:rsidR="003B2C59">
        <w:rPr>
          <w:rFonts w:ascii="Times New Roman" w:hAnsi="Times New Roman" w:cs="Times New Roman"/>
          <w:sz w:val="24"/>
          <w:szCs w:val="24"/>
        </w:rPr>
        <w:t xml:space="preserve"> lagged values is associated with lower valuation uncertainty according to our measure</w:t>
      </w:r>
      <w:r w:rsidR="001E3768">
        <w:rPr>
          <w:rFonts w:ascii="Times New Roman" w:hAnsi="Times New Roman" w:cs="Times New Roman"/>
          <w:sz w:val="24"/>
          <w:szCs w:val="24"/>
        </w:rPr>
        <w:t>, though the explanatory power is low.</w:t>
      </w:r>
    </w:p>
    <w:p w14:paraId="6BA6C230" w14:textId="2F0EA5F7" w:rsidR="003B2C59" w:rsidRDefault="003B2C59" w:rsidP="00E53B52">
      <w:pPr>
        <w:spacing w:after="0" w:line="480" w:lineRule="auto"/>
        <w:ind w:firstLine="567"/>
        <w:jc w:val="both"/>
        <w:rPr>
          <w:rFonts w:ascii="Times New Roman" w:hAnsi="Times New Roman" w:cs="Times New Roman"/>
          <w:sz w:val="24"/>
          <w:szCs w:val="24"/>
          <w:u w:val="single"/>
        </w:rPr>
      </w:pPr>
      <w:r>
        <w:rPr>
          <w:rFonts w:ascii="Times New Roman" w:hAnsi="Times New Roman" w:cs="Times New Roman"/>
          <w:sz w:val="24"/>
          <w:szCs w:val="24"/>
        </w:rPr>
        <w:t xml:space="preserve">In columns (4)–(6) we consider </w:t>
      </w:r>
      <w:r w:rsidR="006B6622">
        <w:rPr>
          <w:rFonts w:ascii="Times New Roman" w:hAnsi="Times New Roman" w:cs="Times New Roman"/>
          <w:sz w:val="24"/>
          <w:szCs w:val="24"/>
        </w:rPr>
        <w:t>three further earnings characteristics. In column</w:t>
      </w:r>
      <w:r w:rsidR="001E3768">
        <w:rPr>
          <w:rFonts w:ascii="Times New Roman" w:hAnsi="Times New Roman" w:cs="Times New Roman"/>
          <w:sz w:val="24"/>
          <w:szCs w:val="24"/>
        </w:rPr>
        <w:t xml:space="preserve"> (4) we regress </w:t>
      </w:r>
      <w:r w:rsidR="001E3768" w:rsidRPr="001E3768">
        <w:rPr>
          <w:rFonts w:ascii="Times New Roman" w:hAnsi="Times New Roman" w:cs="Times New Roman"/>
          <w:i/>
          <w:iCs/>
          <w:sz w:val="24"/>
          <w:szCs w:val="24"/>
        </w:rPr>
        <w:t>VU</w:t>
      </w:r>
      <w:r w:rsidR="006B6622">
        <w:rPr>
          <w:rFonts w:ascii="Times New Roman" w:hAnsi="Times New Roman" w:cs="Times New Roman"/>
          <w:sz w:val="24"/>
          <w:szCs w:val="24"/>
        </w:rPr>
        <w:t xml:space="preserve"> </w:t>
      </w:r>
      <w:r w:rsidR="001E3768">
        <w:rPr>
          <w:rFonts w:ascii="Times New Roman" w:hAnsi="Times New Roman" w:cs="Times New Roman"/>
          <w:sz w:val="24"/>
          <w:szCs w:val="24"/>
        </w:rPr>
        <w:t>on absolute accruals</w:t>
      </w:r>
      <w:r w:rsidR="00122DD7">
        <w:rPr>
          <w:rFonts w:ascii="Times New Roman" w:hAnsi="Times New Roman" w:cs="Times New Roman"/>
          <w:sz w:val="24"/>
          <w:szCs w:val="24"/>
        </w:rPr>
        <w:t xml:space="preserve"> scaled by average total assets</w:t>
      </w:r>
      <w:r w:rsidR="001E3768">
        <w:rPr>
          <w:rFonts w:ascii="Times New Roman" w:hAnsi="Times New Roman" w:cs="Times New Roman"/>
          <w:sz w:val="24"/>
          <w:szCs w:val="24"/>
        </w:rPr>
        <w:t>,</w:t>
      </w:r>
      <w:r w:rsidR="00122DD7">
        <w:rPr>
          <w:rFonts w:ascii="Times New Roman" w:hAnsi="Times New Roman" w:cs="Times New Roman"/>
          <w:sz w:val="24"/>
          <w:szCs w:val="24"/>
        </w:rPr>
        <w:t xml:space="preserve"> with accruals</w:t>
      </w:r>
      <w:r w:rsidR="001E3768">
        <w:rPr>
          <w:rFonts w:ascii="Times New Roman" w:hAnsi="Times New Roman" w:cs="Times New Roman"/>
          <w:sz w:val="24"/>
          <w:szCs w:val="24"/>
        </w:rPr>
        <w:t xml:space="preserve"> defined </w:t>
      </w:r>
      <w:r w:rsidR="00EA21D9">
        <w:rPr>
          <w:rFonts w:ascii="Times New Roman" w:hAnsi="Times New Roman" w:cs="Times New Roman"/>
          <w:sz w:val="24"/>
          <w:szCs w:val="24"/>
        </w:rPr>
        <w:t>using the balance sheet approach as in</w:t>
      </w:r>
      <w:r w:rsidR="00122DD7">
        <w:rPr>
          <w:rFonts w:ascii="Times New Roman" w:hAnsi="Times New Roman" w:cs="Times New Roman"/>
          <w:sz w:val="24"/>
          <w:szCs w:val="24"/>
        </w:rPr>
        <w:t xml:space="preserve"> </w:t>
      </w:r>
      <w:hyperlink w:anchor="_ENREF_44" w:tooltip="Hribar, 2002 #981"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AuthorYear="1"&gt;&lt;Author&gt;Hribar&lt;/Author&gt;&lt;Year&gt;2002&lt;/Year&gt;&lt;RecNum&gt;981&lt;/RecNum&gt;&lt;DisplayText&gt;Hribar and Collins (2002)&lt;/DisplayText&gt;&lt;record&gt;&lt;rec-number&gt;981&lt;/rec-number&gt;&lt;foreign-keys&gt;&lt;key app="EN" db-id="a00ppf5vbz2zw4efraqp9recxrvdwwtasszf" timestamp="1636055774"&gt;981&lt;/key&gt;&lt;/foreign-keys&gt;&lt;ref-type name="Journal Article"&gt;17&lt;/ref-type&gt;&lt;contributors&gt;&lt;authors&gt;&lt;author&gt;Hribar, Paul&lt;/author&gt;&lt;author&gt;Collins, Daniel W.&lt;/author&gt;&lt;/authors&gt;&lt;/contributors&gt;&lt;titles&gt;&lt;title&gt;Errors in Estimating Accruals: Implications for Empirical Research&lt;/title&gt;&lt;secondary-title&gt;Journal of Accounting Research&lt;/secondary-title&gt;&lt;/titles&gt;&lt;periodical&gt;&lt;full-title&gt;Journal of Accounting Research&lt;/full-title&gt;&lt;/periodical&gt;&lt;pages&gt;105-134&lt;/pages&gt;&lt;volume&gt;40&lt;/volume&gt;&lt;number&gt;1&lt;/number&gt;&lt;keywords&gt;&lt;keyword&gt;ACCRUAL basis accounting&lt;/keyword&gt;&lt;keyword&gt;FINANCIAL statements&lt;/keyword&gt;&lt;keyword&gt;CASH flow&lt;/keyword&gt;&lt;keyword&gt;QUICK assets&lt;/keyword&gt;&lt;keyword&gt;PRESENT value&lt;/keyword&gt;&lt;keyword&gt;CONSOLIDATION &amp;amp; merger of corporations&lt;/keyword&gt;&lt;keyword&gt;CORPORATIONS -- Finance&lt;/keyword&gt;&lt;keyword&gt;CORPORATE divestiture&lt;/keyword&gt;&lt;keyword&gt;FOREIGN exchange&lt;/keyword&gt;&lt;keyword&gt;WORKING capital&lt;/keyword&gt;&lt;keyword&gt;ACCOUNTING changes&lt;/keyword&gt;&lt;keyword&gt;STOCK exchanges&lt;/keyword&gt;&lt;/keywords&gt;&lt;dates&gt;&lt;year&gt;2002&lt;/year&gt;&lt;/dates&gt;&lt;publisher&gt;Wiley-Blackwell&lt;/publisher&gt;&lt;isbn&gt;00218456&lt;/isbn&gt;&lt;accession-num&gt;6528464&lt;/accession-num&gt;&lt;work-type&gt;Article&lt;/work-type&gt;&lt;urls&gt;&lt;related-urls&gt;&lt;url&gt;http://search.ebscohost.com/login.aspx?direct=true&amp;amp;db=bth&amp;amp;AN=6528464&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Hribar and Collins (2002)</w:t>
        </w:r>
        <w:r w:rsidR="00A4299A">
          <w:rPr>
            <w:rFonts w:ascii="Times New Roman" w:hAnsi="Times New Roman" w:cs="Times New Roman"/>
            <w:sz w:val="24"/>
            <w:szCs w:val="24"/>
          </w:rPr>
          <w:fldChar w:fldCharType="end"/>
        </w:r>
      </w:hyperlink>
      <w:r w:rsidR="001E3768">
        <w:rPr>
          <w:rFonts w:ascii="Times New Roman" w:hAnsi="Times New Roman" w:cs="Times New Roman"/>
          <w:sz w:val="24"/>
          <w:szCs w:val="24"/>
        </w:rPr>
        <w:t>.</w:t>
      </w:r>
      <w:r w:rsidR="00BD2B04">
        <w:rPr>
          <w:rFonts w:ascii="Times New Roman" w:hAnsi="Times New Roman" w:cs="Times New Roman"/>
          <w:sz w:val="24"/>
          <w:szCs w:val="24"/>
        </w:rPr>
        <w:t xml:space="preserve"> We find that firms with a greater accrual component in their earnings tend to have higher valuation uncertainty according to our measure. The explanatory variable in column (5) is earnings quality, defined following</w:t>
      </w:r>
      <w:r w:rsidR="00CC6F48">
        <w:rPr>
          <w:rFonts w:ascii="Times New Roman" w:hAnsi="Times New Roman" w:cs="Times New Roman"/>
          <w:sz w:val="24"/>
          <w:szCs w:val="24"/>
        </w:rPr>
        <w:t xml:space="preserve"> </w:t>
      </w:r>
      <w:hyperlink w:anchor="_ENREF_34" w:tooltip="Francis, 2005 #765"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AuthorYear="1"&gt;&lt;Author&gt;Francis&lt;/Author&gt;&lt;Year&gt;2005&lt;/Year&gt;&lt;RecNum&gt;765&lt;/RecNum&gt;&lt;DisplayText&gt;Francis, LaFond, Olsson, and Schipper (2005)&lt;/DisplayText&gt;&lt;record&gt;&lt;rec-number&gt;765&lt;/rec-number&gt;&lt;foreign-keys&gt;&lt;key app="EN" db-id="a00ppf5vbz2zw4efraqp9recxrvdwwtasszf" timestamp="1636055772"&gt;765&lt;/key&gt;&lt;/foreign-keys&gt;&lt;ref-type name="Journal Article"&gt;17&lt;/ref-type&gt;&lt;contributors&gt;&lt;authors&gt;&lt;author&gt;Francis, Jennifer&lt;/author&gt;&lt;author&gt;LaFond, Ryan&lt;/author&gt;&lt;author&gt;Olsson, Per&lt;/author&gt;&lt;author&gt;Schipper, Katherine&lt;/author&gt;&lt;/authors&gt;&lt;/contributors&gt;&lt;titles&gt;&lt;title&gt;The market pricing of accruals quality&lt;/title&gt;&lt;secondary-title&gt;Journal of Accounting &amp;amp; Economics&lt;/secondary-title&gt;&lt;/titles&gt;&lt;periodical&gt;&lt;full-title&gt;Journal of Accounting &amp;amp; Economics&lt;/full-title&gt;&lt;/periodical&gt;&lt;pages&gt;295-327&lt;/pages&gt;&lt;volume&gt;39&lt;/volume&gt;&lt;number&gt;2&lt;/number&gt;&lt;keywords&gt;&lt;keyword&gt;PRICING&lt;/keyword&gt;&lt;keyword&gt;PRICES&lt;/keyword&gt;&lt;keyword&gt;MARKETS&lt;/keyword&gt;&lt;keyword&gt;PROXY&lt;/keyword&gt;&lt;keyword&gt;CASH flow&lt;/keyword&gt;&lt;keyword&gt;RISK management in business&lt;/keyword&gt;&lt;keyword&gt;Accruals quality&lt;/keyword&gt;&lt;keyword&gt;Capital markets&lt;/keyword&gt;&lt;keyword&gt;Information risk&lt;/keyword&gt;&lt;/keywords&gt;&lt;dates&gt;&lt;year&gt;2005&lt;/year&gt;&lt;/dates&gt;&lt;isbn&gt;01654101&lt;/isbn&gt;&lt;accession-num&gt;17118115&lt;/accession-num&gt;&lt;work-type&gt;Article&lt;/work-type&gt;&lt;urls&gt;&lt;related-urls&gt;&lt;url&gt;http://search.ebscohost.com/login.aspx?direct=true&amp;amp;db=bth&amp;amp;AN=17118115&amp;amp;site=ehost-live&lt;/url&gt;&lt;/related-urls&gt;&lt;/urls&gt;&lt;electronic-resource-num&gt;10. 1016/j.jacceco.2004.06.003&lt;/electronic-resource-num&gt;&lt;remote-database-name&gt;bth&lt;/remote-database-name&gt;&lt;remote-database-provider&gt;EBSCOhost&lt;/remote-database-provider&gt;&lt;/record&gt;&lt;/Cite&gt;&lt;/EndNote&gt;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Francis, LaFond, Olsson, and Schipper (2005)</w:t>
        </w:r>
        <w:r w:rsidR="00A4299A">
          <w:rPr>
            <w:rFonts w:ascii="Times New Roman" w:hAnsi="Times New Roman" w:cs="Times New Roman"/>
            <w:sz w:val="24"/>
            <w:szCs w:val="24"/>
          </w:rPr>
          <w:fldChar w:fldCharType="end"/>
        </w:r>
      </w:hyperlink>
      <w:r w:rsidR="00E353B5">
        <w:rPr>
          <w:rFonts w:ascii="Times New Roman" w:hAnsi="Times New Roman" w:cs="Times New Roman"/>
          <w:sz w:val="24"/>
          <w:szCs w:val="24"/>
        </w:rPr>
        <w:t>, with higher values indicating lower quality</w:t>
      </w:r>
      <w:r w:rsidR="00BD2B04">
        <w:rPr>
          <w:rFonts w:ascii="Times New Roman" w:hAnsi="Times New Roman" w:cs="Times New Roman"/>
          <w:sz w:val="24"/>
          <w:szCs w:val="24"/>
        </w:rPr>
        <w:t xml:space="preserve">. As could be expected, firms with lower earnings quality have higher valuation uncertainty according to our measure. The explanatory power of earnings quality </w:t>
      </w:r>
      <w:r w:rsidR="00C30518">
        <w:rPr>
          <w:rFonts w:ascii="Times New Roman" w:hAnsi="Times New Roman" w:cs="Times New Roman"/>
          <w:sz w:val="24"/>
          <w:szCs w:val="24"/>
        </w:rPr>
        <w:t xml:space="preserve">for </w:t>
      </w:r>
      <w:r w:rsidR="00C30518" w:rsidRPr="00C30518">
        <w:rPr>
          <w:rFonts w:ascii="Times New Roman" w:hAnsi="Times New Roman" w:cs="Times New Roman"/>
          <w:i/>
          <w:iCs/>
          <w:sz w:val="24"/>
          <w:szCs w:val="24"/>
        </w:rPr>
        <w:t>VU</w:t>
      </w:r>
      <w:r w:rsidR="00C30518">
        <w:rPr>
          <w:rFonts w:ascii="Times New Roman" w:hAnsi="Times New Roman" w:cs="Times New Roman"/>
          <w:sz w:val="24"/>
          <w:szCs w:val="24"/>
        </w:rPr>
        <w:t xml:space="preserve"> </w:t>
      </w:r>
      <w:r w:rsidR="00BD2B04">
        <w:rPr>
          <w:rFonts w:ascii="Times New Roman" w:hAnsi="Times New Roman" w:cs="Times New Roman"/>
          <w:sz w:val="24"/>
          <w:szCs w:val="24"/>
        </w:rPr>
        <w:t>is high, with an adjusted R</w:t>
      </w:r>
      <w:r w:rsidR="00BD2B04" w:rsidRPr="009040F0">
        <w:rPr>
          <w:rFonts w:ascii="Times New Roman" w:hAnsi="Times New Roman" w:cs="Times New Roman"/>
          <w:sz w:val="24"/>
          <w:szCs w:val="24"/>
          <w:vertAlign w:val="superscript"/>
        </w:rPr>
        <w:t>2</w:t>
      </w:r>
      <w:r w:rsidR="00BD2B04">
        <w:rPr>
          <w:rFonts w:ascii="Times New Roman" w:hAnsi="Times New Roman" w:cs="Times New Roman"/>
          <w:sz w:val="24"/>
          <w:szCs w:val="24"/>
        </w:rPr>
        <w:t xml:space="preserve"> of 13%. The final earnings </w:t>
      </w:r>
      <w:r w:rsidR="00C30518">
        <w:rPr>
          <w:rFonts w:ascii="Times New Roman" w:hAnsi="Times New Roman" w:cs="Times New Roman"/>
          <w:sz w:val="24"/>
          <w:szCs w:val="24"/>
        </w:rPr>
        <w:t xml:space="preserve">characteristic that </w:t>
      </w:r>
      <w:r w:rsidR="00BD2B04">
        <w:rPr>
          <w:rFonts w:ascii="Times New Roman" w:hAnsi="Times New Roman" w:cs="Times New Roman"/>
          <w:sz w:val="24"/>
          <w:szCs w:val="24"/>
        </w:rPr>
        <w:t xml:space="preserve">we consider is </w:t>
      </w:r>
      <w:r w:rsidR="00C30518">
        <w:rPr>
          <w:rFonts w:ascii="Times New Roman" w:hAnsi="Times New Roman" w:cs="Times New Roman"/>
          <w:sz w:val="24"/>
          <w:szCs w:val="24"/>
        </w:rPr>
        <w:t>earnings smoothness, defined as the ratio of earnings volatility to cash flow volatility</w:t>
      </w:r>
      <w:r w:rsidR="00F32D31">
        <w:rPr>
          <w:rFonts w:ascii="Times New Roman" w:hAnsi="Times New Roman" w:cs="Times New Roman"/>
          <w:sz w:val="24"/>
          <w:szCs w:val="24"/>
        </w:rPr>
        <w:t xml:space="preserve"> following </w:t>
      </w:r>
      <w:hyperlink w:anchor="_ENREF_35" w:tooltip="Francis, 2004 #1873"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AuthorYear="1"&gt;&lt;Author&gt;Francis&lt;/Author&gt;&lt;Year&gt;2004&lt;/Year&gt;&lt;RecNum&gt;1873&lt;/RecNum&gt;&lt;DisplayText&gt;Francis, LaFond, Olsson, and Schipper (2004)&lt;/DisplayText&gt;&lt;record&gt;&lt;rec-number&gt;1873&lt;/rec-number&gt;&lt;foreign-keys&gt;&lt;key app="EN" db-id="a00ppf5vbz2zw4efraqp9recxrvdwwtasszf" timestamp="1727796661"&gt;1873&lt;/key&gt;&lt;/foreign-keys&gt;&lt;ref-type name="Journal Article"&gt;17&lt;/ref-type&gt;&lt;contributors&gt;&lt;authors&gt;&lt;author&gt;Francis, Jennifer&lt;/author&gt;&lt;author&gt;LaFond, Ryan&lt;/author&gt;&lt;author&gt;Olsson, Per M.&lt;/author&gt;&lt;author&gt;Schipper, Katherine&lt;/author&gt;&lt;/authors&gt;&lt;/contributors&gt;&lt;titles&gt;&lt;title&gt;Costs of Equity and Earnings Attributes&lt;/title&gt;&lt;secondary-title&gt;Accounting Review&lt;/secondary-title&gt;&lt;/titles&gt;&lt;periodical&gt;&lt;full-title&gt;Accounting Review&lt;/full-title&gt;&lt;/periodical&gt;&lt;pages&gt;967-1010&lt;/pages&gt;&lt;volume&gt;79&lt;/volume&gt;&lt;number&gt;4&lt;/number&gt;&lt;keywords&gt;&lt;keyword&gt;STOCKS (Finance)&lt;/keyword&gt;&lt;keyword&gt;COST accounting&lt;/keyword&gt;&lt;keyword&gt;FINANCIAL markets&lt;/keyword&gt;&lt;keyword&gt;CAPITAL investments&lt;/keyword&gt;&lt;keyword&gt;EARNINGS trends&lt;/keyword&gt;&lt;keyword&gt;CORPORATE profits&lt;/keyword&gt;&lt;keyword&gt;ACCOUNTING&lt;/keyword&gt;&lt;/keywords&gt;&lt;dates&gt;&lt;year&gt;2004&lt;/year&gt;&lt;/dates&gt;&lt;publisher&gt;American Accounting Association&lt;/publisher&gt;&lt;isbn&gt;00014826&lt;/isbn&gt;&lt;accession-num&gt;14897242&lt;/accession-num&gt;&lt;work-type&gt;Article&lt;/work-type&gt;&lt;urls&gt;&lt;related-urls&gt;&lt;url&gt;http://myaccess.library.utoronto.ca/login?url=https://search.ebscohost.com/login.aspx?direct=true&amp;amp;db=buh&amp;amp;AN=14897242&amp;amp;site=ehost-live&lt;/url&gt;&lt;/related-urls&gt;&lt;/urls&gt;&lt;electronic-resource-num&gt;10.2308/accr.2004.79.4.967&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Francis, LaFond, Olsson, and Schipper (2004)</w:t>
        </w:r>
        <w:r w:rsidR="00A4299A">
          <w:rPr>
            <w:rFonts w:ascii="Times New Roman" w:hAnsi="Times New Roman" w:cs="Times New Roman"/>
            <w:sz w:val="24"/>
            <w:szCs w:val="24"/>
          </w:rPr>
          <w:fldChar w:fldCharType="end"/>
        </w:r>
      </w:hyperlink>
      <w:r w:rsidR="00C30518">
        <w:rPr>
          <w:rFonts w:ascii="Times New Roman" w:hAnsi="Times New Roman" w:cs="Times New Roman"/>
          <w:sz w:val="24"/>
          <w:szCs w:val="24"/>
        </w:rPr>
        <w:t>. One could expect firms whose earnings are relatively more volatile than their cash flows to have more uncertain valuations</w:t>
      </w:r>
      <w:r w:rsidR="00C30518" w:rsidRPr="00C80826">
        <w:rPr>
          <w:rFonts w:ascii="Times New Roman" w:hAnsi="Times New Roman" w:cs="Times New Roman"/>
          <w:sz w:val="24"/>
          <w:szCs w:val="24"/>
        </w:rPr>
        <w:t>. This expectation is borne out</w:t>
      </w:r>
      <w:r w:rsidR="009040F0" w:rsidRPr="00C80826">
        <w:rPr>
          <w:rFonts w:ascii="Times New Roman" w:hAnsi="Times New Roman" w:cs="Times New Roman"/>
          <w:sz w:val="24"/>
          <w:szCs w:val="24"/>
        </w:rPr>
        <w:t xml:space="preserve"> in the data</w:t>
      </w:r>
      <w:r w:rsidR="00C30518" w:rsidRPr="00C80826">
        <w:rPr>
          <w:rFonts w:ascii="Times New Roman" w:hAnsi="Times New Roman" w:cs="Times New Roman"/>
          <w:sz w:val="24"/>
          <w:szCs w:val="24"/>
        </w:rPr>
        <w:t xml:space="preserve"> according to our </w:t>
      </w:r>
      <w:r w:rsidR="00C30518" w:rsidRPr="00C80826">
        <w:rPr>
          <w:rFonts w:ascii="Times New Roman" w:hAnsi="Times New Roman" w:cs="Times New Roman"/>
          <w:i/>
          <w:iCs/>
          <w:sz w:val="24"/>
          <w:szCs w:val="24"/>
        </w:rPr>
        <w:t>VU</w:t>
      </w:r>
      <w:r w:rsidR="00C30518" w:rsidRPr="00C80826">
        <w:rPr>
          <w:rFonts w:ascii="Times New Roman" w:hAnsi="Times New Roman" w:cs="Times New Roman"/>
          <w:sz w:val="24"/>
          <w:szCs w:val="24"/>
        </w:rPr>
        <w:t xml:space="preserve"> measure.</w:t>
      </w:r>
    </w:p>
    <w:p w14:paraId="16C63990" w14:textId="746DEA7B" w:rsidR="00DF7CB6" w:rsidRDefault="00C30518" w:rsidP="00DF7CB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 the </w:t>
      </w:r>
      <w:r w:rsidR="00C62611">
        <w:rPr>
          <w:rFonts w:ascii="Times New Roman" w:hAnsi="Times New Roman" w:cs="Times New Roman"/>
          <w:sz w:val="24"/>
          <w:szCs w:val="24"/>
        </w:rPr>
        <w:t>penultimate</w:t>
      </w:r>
      <w:r>
        <w:rPr>
          <w:rFonts w:ascii="Times New Roman" w:hAnsi="Times New Roman" w:cs="Times New Roman"/>
          <w:sz w:val="24"/>
          <w:szCs w:val="24"/>
        </w:rPr>
        <w:t xml:space="preserve"> two columns of Table </w:t>
      </w:r>
      <w:r w:rsidR="002017C3">
        <w:rPr>
          <w:rFonts w:ascii="Times New Roman" w:hAnsi="Times New Roman" w:cs="Times New Roman"/>
          <w:sz w:val="24"/>
          <w:szCs w:val="24"/>
        </w:rPr>
        <w:t>2</w:t>
      </w:r>
      <w:r>
        <w:rPr>
          <w:rFonts w:ascii="Times New Roman" w:hAnsi="Times New Roman" w:cs="Times New Roman"/>
          <w:sz w:val="24"/>
          <w:szCs w:val="24"/>
        </w:rPr>
        <w:t xml:space="preserve"> we relate </w:t>
      </w:r>
      <w:r w:rsidRPr="00C30518">
        <w:rPr>
          <w:rFonts w:ascii="Times New Roman" w:hAnsi="Times New Roman" w:cs="Times New Roman"/>
          <w:i/>
          <w:iCs/>
          <w:sz w:val="24"/>
          <w:szCs w:val="24"/>
        </w:rPr>
        <w:t>VU</w:t>
      </w:r>
      <w:r>
        <w:rPr>
          <w:rFonts w:ascii="Times New Roman" w:hAnsi="Times New Roman" w:cs="Times New Roman"/>
          <w:sz w:val="24"/>
          <w:szCs w:val="24"/>
        </w:rPr>
        <w:t xml:space="preserve"> to two proxies for discount rate uncertainty. In column (</w:t>
      </w:r>
      <w:r w:rsidR="00BD7670">
        <w:rPr>
          <w:rFonts w:ascii="Times New Roman" w:hAnsi="Times New Roman" w:cs="Times New Roman"/>
          <w:sz w:val="24"/>
          <w:szCs w:val="24"/>
        </w:rPr>
        <w:t xml:space="preserve">7) we regress </w:t>
      </w:r>
      <w:r w:rsidR="00BD7670" w:rsidRPr="00BD7670">
        <w:rPr>
          <w:rFonts w:ascii="Times New Roman" w:hAnsi="Times New Roman" w:cs="Times New Roman"/>
          <w:i/>
          <w:iCs/>
          <w:sz w:val="24"/>
          <w:szCs w:val="24"/>
        </w:rPr>
        <w:t>VU</w:t>
      </w:r>
      <w:r w:rsidR="00BD7670">
        <w:rPr>
          <w:rFonts w:ascii="Times New Roman" w:hAnsi="Times New Roman" w:cs="Times New Roman"/>
          <w:sz w:val="24"/>
          <w:szCs w:val="24"/>
        </w:rPr>
        <w:t xml:space="preserve"> on beta volatility, defined as the standard deviation of </w:t>
      </w:r>
      <w:r w:rsidR="00964AED">
        <w:rPr>
          <w:rFonts w:ascii="Times New Roman" w:hAnsi="Times New Roman" w:cs="Times New Roman"/>
          <w:sz w:val="24"/>
          <w:szCs w:val="24"/>
        </w:rPr>
        <w:t xml:space="preserve">five </w:t>
      </w:r>
      <w:r w:rsidR="00BD7670">
        <w:rPr>
          <w:rFonts w:ascii="Times New Roman" w:hAnsi="Times New Roman" w:cs="Times New Roman"/>
          <w:sz w:val="24"/>
          <w:szCs w:val="24"/>
        </w:rPr>
        <w:t xml:space="preserve">market betas estimated over each of the last </w:t>
      </w:r>
      <w:r w:rsidR="00964AED">
        <w:rPr>
          <w:rFonts w:ascii="Times New Roman" w:hAnsi="Times New Roman" w:cs="Times New Roman"/>
          <w:sz w:val="24"/>
          <w:szCs w:val="24"/>
        </w:rPr>
        <w:t xml:space="preserve">five </w:t>
      </w:r>
      <w:r w:rsidR="00BD7670">
        <w:rPr>
          <w:rFonts w:ascii="Times New Roman" w:hAnsi="Times New Roman" w:cs="Times New Roman"/>
          <w:sz w:val="24"/>
          <w:szCs w:val="24"/>
        </w:rPr>
        <w:t xml:space="preserve">years. As expected, we find that </w:t>
      </w:r>
      <w:r w:rsidR="00BD7670" w:rsidRPr="00BD7670">
        <w:rPr>
          <w:rFonts w:ascii="Times New Roman" w:hAnsi="Times New Roman" w:cs="Times New Roman"/>
          <w:i/>
          <w:iCs/>
          <w:sz w:val="24"/>
          <w:szCs w:val="24"/>
        </w:rPr>
        <w:t>VU</w:t>
      </w:r>
      <w:r w:rsidR="00BD7670" w:rsidRPr="00BD7670">
        <w:rPr>
          <w:rFonts w:ascii="Times New Roman" w:hAnsi="Times New Roman" w:cs="Times New Roman"/>
          <w:sz w:val="24"/>
          <w:szCs w:val="24"/>
        </w:rPr>
        <w:t xml:space="preserve"> tend</w:t>
      </w:r>
      <w:r w:rsidR="00B7380D">
        <w:rPr>
          <w:rFonts w:ascii="Times New Roman" w:hAnsi="Times New Roman" w:cs="Times New Roman"/>
          <w:sz w:val="24"/>
          <w:szCs w:val="24"/>
        </w:rPr>
        <w:t>s</w:t>
      </w:r>
      <w:r w:rsidR="00BD7670" w:rsidRPr="00BD7670">
        <w:rPr>
          <w:rFonts w:ascii="Times New Roman" w:hAnsi="Times New Roman" w:cs="Times New Roman"/>
          <w:sz w:val="24"/>
          <w:szCs w:val="24"/>
        </w:rPr>
        <w:t xml:space="preserve"> to be higher for firms whose betas are more volatile</w:t>
      </w:r>
      <w:r w:rsidR="00BD7670">
        <w:rPr>
          <w:rFonts w:ascii="Times New Roman" w:hAnsi="Times New Roman" w:cs="Times New Roman"/>
          <w:sz w:val="24"/>
          <w:szCs w:val="24"/>
        </w:rPr>
        <w:t xml:space="preserve">. Beta volatility explains about 10% of the cross-sectional variation in </w:t>
      </w:r>
      <w:r w:rsidR="00BD7670" w:rsidRPr="00BD7670">
        <w:rPr>
          <w:rFonts w:ascii="Times New Roman" w:hAnsi="Times New Roman" w:cs="Times New Roman"/>
          <w:i/>
          <w:iCs/>
          <w:sz w:val="24"/>
          <w:szCs w:val="24"/>
        </w:rPr>
        <w:t>VU</w:t>
      </w:r>
      <w:r w:rsidR="00BD7670">
        <w:rPr>
          <w:rFonts w:ascii="Times New Roman" w:hAnsi="Times New Roman" w:cs="Times New Roman"/>
          <w:sz w:val="24"/>
          <w:szCs w:val="24"/>
        </w:rPr>
        <w:t xml:space="preserve">. Finally, in column (8) we regress </w:t>
      </w:r>
      <w:r w:rsidR="00BD7670" w:rsidRPr="00BD7670">
        <w:rPr>
          <w:rFonts w:ascii="Times New Roman" w:hAnsi="Times New Roman" w:cs="Times New Roman"/>
          <w:i/>
          <w:iCs/>
          <w:sz w:val="24"/>
          <w:szCs w:val="24"/>
        </w:rPr>
        <w:t>VU</w:t>
      </w:r>
      <w:r w:rsidR="00BD7670">
        <w:rPr>
          <w:rFonts w:ascii="Times New Roman" w:hAnsi="Times New Roman" w:cs="Times New Roman"/>
          <w:sz w:val="24"/>
          <w:szCs w:val="24"/>
        </w:rPr>
        <w:t xml:space="preserve"> on the standard error of the firm’s market beta </w:t>
      </w:r>
      <w:r w:rsidR="002D0C56">
        <w:rPr>
          <w:rFonts w:ascii="Times New Roman" w:hAnsi="Times New Roman" w:cs="Times New Roman"/>
          <w:sz w:val="24"/>
          <w:szCs w:val="24"/>
        </w:rPr>
        <w:t>estimated</w:t>
      </w:r>
      <w:r w:rsidR="00B756F9">
        <w:rPr>
          <w:rFonts w:ascii="Times New Roman" w:hAnsi="Times New Roman" w:cs="Times New Roman"/>
          <w:sz w:val="24"/>
          <w:szCs w:val="24"/>
        </w:rPr>
        <w:t xml:space="preserve"> over </w:t>
      </w:r>
      <w:r w:rsidR="00755BE3">
        <w:rPr>
          <w:rFonts w:ascii="Times New Roman" w:hAnsi="Times New Roman" w:cs="Times New Roman"/>
          <w:sz w:val="24"/>
          <w:szCs w:val="24"/>
        </w:rPr>
        <w:t>the past year</w:t>
      </w:r>
      <w:r w:rsidR="00BD7670">
        <w:rPr>
          <w:rFonts w:ascii="Times New Roman" w:hAnsi="Times New Roman" w:cs="Times New Roman"/>
          <w:sz w:val="24"/>
          <w:szCs w:val="24"/>
        </w:rPr>
        <w:t>. The standard error of the beta indicates the degree of its estimation uncertainty</w:t>
      </w:r>
      <w:r w:rsidR="00CC6F48">
        <w:rPr>
          <w:rFonts w:ascii="Times New Roman" w:hAnsi="Times New Roman" w:cs="Times New Roman"/>
          <w:sz w:val="24"/>
          <w:szCs w:val="24"/>
        </w:rPr>
        <w:t xml:space="preserve"> (</w:t>
      </w:r>
      <w:hyperlink w:anchor="_ENREF_30" w:tooltip="Fama, 1997 #1870"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AuthorYear="1"&gt;&lt;Author&gt;Fama&lt;/Author&gt;&lt;Year&gt;1997&lt;/Year&gt;&lt;RecNum&gt;1870&lt;/RecNum&gt;&lt;DisplayText&gt;Fama and French (1997)&lt;/DisplayText&gt;&lt;record&gt;&lt;rec-number&gt;1870&lt;/rec-number&gt;&lt;foreign-keys&gt;&lt;key app="EN" db-id="a00ppf5vbz2zw4efraqp9recxrvdwwtasszf" timestamp="1727471521"&gt;1870&lt;/key&gt;&lt;/foreign-keys&gt;&lt;ref-type name="Journal Article"&gt;17&lt;/ref-type&gt;&lt;contributors&gt;&lt;authors&gt;&lt;author&gt;Fama, Eugene F.&lt;/author&gt;&lt;author&gt;French, Kenneth R.&lt;/author&gt;&lt;/authors&gt;&lt;/contributors&gt;&lt;titles&gt;&lt;title&gt;Industry costs of equity&lt;/title&gt;&lt;secondary-title&gt;Journal of Financial Economics&lt;/secondary-title&gt;&lt;/titles&gt;&lt;periodical&gt;&lt;full-title&gt;Journal of Financial Economics&lt;/full-title&gt;&lt;/periodical&gt;&lt;pages&gt;153-193&lt;/pages&gt;&lt;volume&gt;43&lt;/volume&gt;&lt;number&gt;2&lt;/number&gt;&lt;keywords&gt;&lt;keyword&gt;STOCKS (Finance)&lt;/keyword&gt;&lt;keyword&gt;COST&lt;/keyword&gt;&lt;keyword&gt;BUSINESS enterprises&lt;/keyword&gt;&lt;keyword&gt;PRICES&lt;/keyword&gt;&lt;keyword&gt;SECURITIES&lt;/keyword&gt;&lt;keyword&gt;RISK&lt;/keyword&gt;&lt;keyword&gt;UNCERTAINTY&lt;/keyword&gt;&lt;keyword&gt;Asset pricing models&lt;/keyword&gt;&lt;keyword&gt;Cost of equity&lt;/keyword&gt;&lt;keyword&gt;Risk loadings&lt;/keyword&gt;&lt;/keywords&gt;&lt;dates&gt;&lt;year&gt;1997&lt;/year&gt;&lt;/dates&gt;&lt;isbn&gt;0304405X&lt;/isbn&gt;&lt;accession-num&gt;12249235&lt;/accession-num&gt;&lt;work-type&gt;Article&lt;/work-type&gt;&lt;urls&gt;&lt;related-urls&gt;&lt;url&gt;http://myaccess.library.utoronto.ca/login?url=https://search.ebscohost.com/login.aspx?direct=true&amp;amp;db=buh&amp;amp;AN=12249235&amp;amp;site=ehost-live&lt;/url&gt;&lt;/related-urls&gt;&lt;/urls&gt;&lt;electronic-resource-num&gt;10.1016/S0304-405X(96)00896-3&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Fama and French (1997)</w:t>
        </w:r>
        <w:r w:rsidR="00A4299A">
          <w:rPr>
            <w:rFonts w:ascii="Times New Roman" w:hAnsi="Times New Roman" w:cs="Times New Roman"/>
            <w:sz w:val="24"/>
            <w:szCs w:val="24"/>
          </w:rPr>
          <w:fldChar w:fldCharType="end"/>
        </w:r>
      </w:hyperlink>
      <w:r w:rsidR="009345FC">
        <w:rPr>
          <w:rFonts w:ascii="Times New Roman" w:hAnsi="Times New Roman" w:cs="Times New Roman"/>
          <w:sz w:val="24"/>
          <w:szCs w:val="24"/>
        </w:rPr>
        <w:t xml:space="preserve">, </w:t>
      </w:r>
      <w:hyperlink w:anchor="_ENREF_2" w:tooltip="Armstrong, 2013 #1869"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AuthorYear="1"&gt;&lt;Author&gt;Armstrong&lt;/Author&gt;&lt;Year&gt;2013&lt;/Year&gt;&lt;RecNum&gt;1869&lt;/RecNum&gt;&lt;DisplayText&gt;Armstrong, Banerjee, and Corona (2013)&lt;/DisplayText&gt;&lt;record&gt;&lt;rec-number&gt;1869&lt;/rec-number&gt;&lt;foreign-keys&gt;&lt;key app="EN" db-id="a00ppf5vbz2zw4efraqp9recxrvdwwtasszf" timestamp="1727471521"&gt;1869&lt;/key&gt;&lt;/foreign-keys&gt;&lt;ref-type name="Journal Article"&gt;17&lt;/ref-type&gt;&lt;contributors&gt;&lt;authors&gt;&lt;author&gt;Armstrong, Christopher S.&lt;/author&gt;&lt;author&gt;Banerjee, Snehal&lt;/author&gt;&lt;author&gt;Corona, Carlos&lt;/author&gt;&lt;/authors&gt;&lt;/contributors&gt;&lt;titles&gt;&lt;title&gt;Factor-Loading Uncertainty and Expected Returns&lt;/title&gt;&lt;secondary-title&gt;Review of Financial Studies&lt;/secondary-title&gt;&lt;/titles&gt;&lt;periodical&gt;&lt;full-title&gt;Review of Financial Studies&lt;/full-title&gt;&lt;/periodical&gt;&lt;pages&gt;158-207&lt;/pages&gt;&lt;volume&gt;26&lt;/volume&gt;&lt;number&gt;1&lt;/number&gt;&lt;keywords&gt;&lt;keyword&gt;EXPECTED returns&lt;/keyword&gt;&lt;keyword&gt;RATE of return on stocks&lt;/keyword&gt;&lt;keyword&gt;MARKET volatility&lt;/keyword&gt;&lt;keyword&gt;DIVIDENDS&lt;/keyword&gt;&lt;keyword&gt;ACCESS to information&lt;/keyword&gt;&lt;keyword&gt;TIME series analysis&lt;/keyword&gt;&lt;keyword&gt;IDIOSYNCRATIC risk (Securities)&lt;/keyword&gt;&lt;keyword&gt;UNCERTAINTY&lt;/keyword&gt;&lt;keyword&gt;HOMOSCEDASTICITY&lt;/keyword&gt;&lt;keyword&gt;FACTOR analysis&lt;/keyword&gt;&lt;/keywords&gt;&lt;dates&gt;&lt;year&gt;2013&lt;/year&gt;&lt;/dates&gt;&lt;isbn&gt;08939454&lt;/isbn&gt;&lt;accession-num&gt;84555701&lt;/accession-num&gt;&lt;work-type&gt;Article&lt;/work-type&gt;&lt;urls&gt;&lt;related-urls&gt;&lt;url&gt;http://myaccess.library.utoronto.ca/login?url=https://search.ebscohost.com/login.aspx?direct=true&amp;amp;db=buh&amp;amp;AN=84555701&amp;amp;site=ehost-live&lt;/url&gt;&lt;/related-urls&gt;&lt;/urls&gt;&lt;electronic-resource-num&gt;10.1093/rfs/hhs102&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Armstrong, Banerjee, and Corona (2013)</w:t>
        </w:r>
        <w:r w:rsidR="00A4299A">
          <w:rPr>
            <w:rFonts w:ascii="Times New Roman" w:hAnsi="Times New Roman" w:cs="Times New Roman"/>
            <w:sz w:val="24"/>
            <w:szCs w:val="24"/>
          </w:rPr>
          <w:fldChar w:fldCharType="end"/>
        </w:r>
      </w:hyperlink>
      <w:r w:rsidR="00CC6F48">
        <w:rPr>
          <w:rFonts w:ascii="Times New Roman" w:hAnsi="Times New Roman" w:cs="Times New Roman"/>
          <w:sz w:val="24"/>
          <w:szCs w:val="24"/>
        </w:rPr>
        <w:t>)</w:t>
      </w:r>
      <w:r w:rsidR="00BD7670">
        <w:rPr>
          <w:rFonts w:ascii="Times New Roman" w:hAnsi="Times New Roman" w:cs="Times New Roman"/>
          <w:sz w:val="24"/>
          <w:szCs w:val="24"/>
        </w:rPr>
        <w:t xml:space="preserve">. Interestingly, we find that such estimation uncertainty is a strong positive predictor of </w:t>
      </w:r>
      <w:r w:rsidR="00BD7670" w:rsidRPr="00BD7670">
        <w:rPr>
          <w:rFonts w:ascii="Times New Roman" w:hAnsi="Times New Roman" w:cs="Times New Roman"/>
          <w:i/>
          <w:iCs/>
          <w:sz w:val="24"/>
          <w:szCs w:val="24"/>
        </w:rPr>
        <w:t>VU</w:t>
      </w:r>
      <w:r w:rsidR="00BD7670">
        <w:rPr>
          <w:rFonts w:ascii="Times New Roman" w:hAnsi="Times New Roman" w:cs="Times New Roman"/>
          <w:sz w:val="24"/>
          <w:szCs w:val="24"/>
        </w:rPr>
        <w:t>: it explains as much as 24% of the cross-sectional variation in our measure.</w:t>
      </w:r>
    </w:p>
    <w:p w14:paraId="2D7193FC" w14:textId="380B4372" w:rsidR="00DF7CB6" w:rsidRDefault="00C62611" w:rsidP="0034571B">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last column of Table </w:t>
      </w:r>
      <w:r w:rsidR="002017C3">
        <w:rPr>
          <w:rFonts w:ascii="Times New Roman" w:hAnsi="Times New Roman" w:cs="Times New Roman"/>
          <w:sz w:val="24"/>
          <w:szCs w:val="24"/>
        </w:rPr>
        <w:t>2</w:t>
      </w:r>
      <w:r>
        <w:rPr>
          <w:rFonts w:ascii="Times New Roman" w:hAnsi="Times New Roman" w:cs="Times New Roman"/>
          <w:sz w:val="24"/>
          <w:szCs w:val="24"/>
        </w:rPr>
        <w:t xml:space="preserve"> we run a multivariate regression of </w:t>
      </w:r>
      <w:r w:rsidRPr="00C62611">
        <w:rPr>
          <w:rFonts w:ascii="Times New Roman" w:hAnsi="Times New Roman" w:cs="Times New Roman"/>
          <w:i/>
          <w:iCs/>
          <w:sz w:val="24"/>
          <w:szCs w:val="24"/>
        </w:rPr>
        <w:t>VU</w:t>
      </w:r>
      <w:r>
        <w:rPr>
          <w:rFonts w:ascii="Times New Roman" w:hAnsi="Times New Roman" w:cs="Times New Roman"/>
          <w:sz w:val="24"/>
          <w:szCs w:val="24"/>
        </w:rPr>
        <w:t xml:space="preserve"> on the above characteristics. </w:t>
      </w:r>
      <w:r w:rsidR="009832CD">
        <w:rPr>
          <w:rFonts w:ascii="Times New Roman" w:hAnsi="Times New Roman" w:cs="Times New Roman"/>
          <w:sz w:val="24"/>
          <w:szCs w:val="24"/>
        </w:rPr>
        <w:t>Despite the significant reduction in sample size, we</w:t>
      </w:r>
      <w:r>
        <w:rPr>
          <w:rFonts w:ascii="Times New Roman" w:hAnsi="Times New Roman" w:cs="Times New Roman"/>
          <w:sz w:val="24"/>
          <w:szCs w:val="24"/>
        </w:rPr>
        <w:t xml:space="preserve"> find that each of the characteristics in the multivariate regression continues to be a significant determinant of </w:t>
      </w:r>
      <w:r w:rsidRPr="00C62611">
        <w:rPr>
          <w:rFonts w:ascii="Times New Roman" w:hAnsi="Times New Roman" w:cs="Times New Roman"/>
          <w:i/>
          <w:iCs/>
          <w:sz w:val="24"/>
          <w:szCs w:val="24"/>
        </w:rPr>
        <w:t>VU</w:t>
      </w:r>
      <w:r>
        <w:rPr>
          <w:rFonts w:ascii="Times New Roman" w:hAnsi="Times New Roman" w:cs="Times New Roman"/>
          <w:sz w:val="24"/>
          <w:szCs w:val="24"/>
        </w:rPr>
        <w:t>.</w:t>
      </w:r>
      <w:r w:rsidR="009832CD" w:rsidRPr="009832CD">
        <w:rPr>
          <w:rStyle w:val="FootnoteReference"/>
          <w:rFonts w:ascii="Times New Roman" w:hAnsi="Times New Roman" w:cs="Times New Roman"/>
          <w:sz w:val="24"/>
          <w:szCs w:val="24"/>
        </w:rPr>
        <w:t xml:space="preserve"> </w:t>
      </w:r>
      <w:r w:rsidR="009832CD">
        <w:rPr>
          <w:rStyle w:val="FootnoteReference"/>
          <w:rFonts w:ascii="Times New Roman" w:hAnsi="Times New Roman" w:cs="Times New Roman"/>
          <w:sz w:val="24"/>
          <w:szCs w:val="24"/>
        </w:rPr>
        <w:footnoteReference w:id="20"/>
      </w:r>
      <w:r w:rsidR="009832CD">
        <w:rPr>
          <w:rFonts w:ascii="Times New Roman" w:hAnsi="Times New Roman" w:cs="Times New Roman"/>
          <w:sz w:val="24"/>
          <w:szCs w:val="24"/>
        </w:rPr>
        <w:t xml:space="preserve"> We view this as a sign </w:t>
      </w:r>
      <w:r w:rsidR="00C53332">
        <w:rPr>
          <w:rFonts w:ascii="Times New Roman" w:hAnsi="Times New Roman" w:cs="Times New Roman"/>
          <w:sz w:val="24"/>
          <w:szCs w:val="24"/>
        </w:rPr>
        <w:t>of comprehensiveness of our measure</w:t>
      </w:r>
      <w:r w:rsidR="009832CD">
        <w:rPr>
          <w:rFonts w:ascii="Times New Roman" w:hAnsi="Times New Roman" w:cs="Times New Roman"/>
          <w:sz w:val="24"/>
          <w:szCs w:val="24"/>
        </w:rPr>
        <w:t>.</w:t>
      </w:r>
      <w:r>
        <w:rPr>
          <w:rFonts w:ascii="Times New Roman" w:hAnsi="Times New Roman" w:cs="Times New Roman"/>
          <w:sz w:val="24"/>
          <w:szCs w:val="24"/>
        </w:rPr>
        <w:t xml:space="preserve"> </w:t>
      </w:r>
      <w:r w:rsidR="009832CD">
        <w:rPr>
          <w:rFonts w:ascii="Times New Roman" w:hAnsi="Times New Roman" w:cs="Times New Roman"/>
          <w:sz w:val="24"/>
          <w:szCs w:val="24"/>
        </w:rPr>
        <w:t xml:space="preserve">Overall, we conclude that </w:t>
      </w:r>
      <w:r w:rsidR="009832CD" w:rsidRPr="009832CD">
        <w:rPr>
          <w:rFonts w:ascii="Times New Roman" w:hAnsi="Times New Roman" w:cs="Times New Roman"/>
          <w:i/>
          <w:iCs/>
          <w:sz w:val="24"/>
          <w:szCs w:val="24"/>
        </w:rPr>
        <w:t>VU</w:t>
      </w:r>
      <w:r w:rsidR="009832CD">
        <w:rPr>
          <w:rFonts w:ascii="Times New Roman" w:hAnsi="Times New Roman" w:cs="Times New Roman"/>
          <w:sz w:val="24"/>
          <w:szCs w:val="24"/>
        </w:rPr>
        <w:t xml:space="preserve"> is related to ex-ante proxies for cash flow and discount rate </w:t>
      </w:r>
      <w:r w:rsidR="00C53332">
        <w:rPr>
          <w:rFonts w:ascii="Times New Roman" w:hAnsi="Times New Roman" w:cs="Times New Roman"/>
          <w:sz w:val="24"/>
          <w:szCs w:val="24"/>
        </w:rPr>
        <w:t>uncertainties</w:t>
      </w:r>
      <w:r w:rsidR="00E7460E">
        <w:rPr>
          <w:rFonts w:ascii="Times New Roman" w:hAnsi="Times New Roman" w:cs="Times New Roman"/>
          <w:sz w:val="24"/>
          <w:szCs w:val="24"/>
        </w:rPr>
        <w:t xml:space="preserve"> – as our framework predicts</w:t>
      </w:r>
      <w:r w:rsidR="009832CD">
        <w:rPr>
          <w:rFonts w:ascii="Times New Roman" w:hAnsi="Times New Roman" w:cs="Times New Roman"/>
          <w:sz w:val="24"/>
          <w:szCs w:val="24"/>
        </w:rPr>
        <w:t>.</w:t>
      </w:r>
    </w:p>
    <w:p w14:paraId="002E2273" w14:textId="45644318" w:rsidR="00015E92" w:rsidRDefault="00015E92" w:rsidP="009867A2">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Validation using the </w:t>
      </w:r>
      <w:r w:rsidR="002F51FD">
        <w:rPr>
          <w:rFonts w:ascii="Times New Roman" w:hAnsi="Times New Roman" w:cs="Times New Roman"/>
          <w:b/>
          <w:bCs/>
          <w:sz w:val="24"/>
          <w:szCs w:val="24"/>
          <w:lang w:val="en-US"/>
        </w:rPr>
        <w:t>S</w:t>
      </w:r>
      <w:r>
        <w:rPr>
          <w:rFonts w:ascii="Times New Roman" w:hAnsi="Times New Roman" w:cs="Times New Roman"/>
          <w:b/>
          <w:bCs/>
          <w:sz w:val="24"/>
          <w:szCs w:val="24"/>
          <w:lang w:val="en-US"/>
        </w:rPr>
        <w:t xml:space="preserve">pread of </w:t>
      </w:r>
      <w:r w:rsidR="002F51FD">
        <w:rPr>
          <w:rFonts w:ascii="Times New Roman" w:hAnsi="Times New Roman" w:cs="Times New Roman"/>
          <w:b/>
          <w:bCs/>
          <w:sz w:val="24"/>
          <w:szCs w:val="24"/>
          <w:lang w:val="en-US"/>
        </w:rPr>
        <w:t>I</w:t>
      </w:r>
      <w:r>
        <w:rPr>
          <w:rFonts w:ascii="Times New Roman" w:hAnsi="Times New Roman" w:cs="Times New Roman"/>
          <w:b/>
          <w:bCs/>
          <w:sz w:val="24"/>
          <w:szCs w:val="24"/>
          <w:lang w:val="en-US"/>
        </w:rPr>
        <w:t xml:space="preserve">ndustry </w:t>
      </w:r>
      <w:r w:rsidR="002F51FD">
        <w:rPr>
          <w:rFonts w:ascii="Times New Roman" w:hAnsi="Times New Roman" w:cs="Times New Roman"/>
          <w:b/>
          <w:bCs/>
          <w:sz w:val="24"/>
          <w:szCs w:val="24"/>
          <w:lang w:val="en-US"/>
        </w:rPr>
        <w:t>V</w:t>
      </w:r>
      <w:r>
        <w:rPr>
          <w:rFonts w:ascii="Times New Roman" w:hAnsi="Times New Roman" w:cs="Times New Roman"/>
          <w:b/>
          <w:bCs/>
          <w:sz w:val="24"/>
          <w:szCs w:val="24"/>
          <w:lang w:val="en-US"/>
        </w:rPr>
        <w:t xml:space="preserve">aluation </w:t>
      </w:r>
      <w:r w:rsidR="002F51FD">
        <w:rPr>
          <w:rFonts w:ascii="Times New Roman" w:hAnsi="Times New Roman" w:cs="Times New Roman"/>
          <w:b/>
          <w:bCs/>
          <w:sz w:val="24"/>
          <w:szCs w:val="24"/>
          <w:lang w:val="en-US"/>
        </w:rPr>
        <w:t>M</w:t>
      </w:r>
      <w:r>
        <w:rPr>
          <w:rFonts w:ascii="Times New Roman" w:hAnsi="Times New Roman" w:cs="Times New Roman"/>
          <w:b/>
          <w:bCs/>
          <w:sz w:val="24"/>
          <w:szCs w:val="24"/>
          <w:lang w:val="en-US"/>
        </w:rPr>
        <w:t>ultiples</w:t>
      </w:r>
    </w:p>
    <w:p w14:paraId="1854F022" w14:textId="7F6F34A0" w:rsidR="00015E92" w:rsidRDefault="004307FD" w:rsidP="002F51FD">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common </w:t>
      </w:r>
      <w:r w:rsidR="002C2552">
        <w:rPr>
          <w:rFonts w:ascii="Times New Roman" w:hAnsi="Times New Roman" w:cs="Times New Roman"/>
          <w:sz w:val="24"/>
          <w:szCs w:val="24"/>
          <w:lang w:val="en-US"/>
        </w:rPr>
        <w:t xml:space="preserve">practice </w:t>
      </w:r>
      <w:r>
        <w:rPr>
          <w:rFonts w:ascii="Times New Roman" w:hAnsi="Times New Roman" w:cs="Times New Roman"/>
          <w:sz w:val="24"/>
          <w:szCs w:val="24"/>
          <w:lang w:val="en-US"/>
        </w:rPr>
        <w:t xml:space="preserve">in </w:t>
      </w:r>
      <w:r w:rsidR="00E86211">
        <w:rPr>
          <w:rFonts w:ascii="Times New Roman" w:hAnsi="Times New Roman" w:cs="Times New Roman"/>
          <w:sz w:val="24"/>
          <w:szCs w:val="24"/>
          <w:lang w:val="en-US"/>
        </w:rPr>
        <w:t>market-based</w:t>
      </w:r>
      <w:r>
        <w:rPr>
          <w:rFonts w:ascii="Times New Roman" w:hAnsi="Times New Roman" w:cs="Times New Roman"/>
          <w:sz w:val="24"/>
          <w:szCs w:val="24"/>
          <w:lang w:val="en-US"/>
        </w:rPr>
        <w:t xml:space="preserve"> valuation is to </w:t>
      </w:r>
      <w:r w:rsidR="00231516">
        <w:rPr>
          <w:rFonts w:ascii="Times New Roman" w:hAnsi="Times New Roman" w:cs="Times New Roman"/>
          <w:sz w:val="24"/>
          <w:szCs w:val="24"/>
          <w:lang w:val="en-US"/>
        </w:rPr>
        <w:t>estimate</w:t>
      </w:r>
      <w:r>
        <w:rPr>
          <w:rFonts w:ascii="Times New Roman" w:hAnsi="Times New Roman" w:cs="Times New Roman"/>
          <w:sz w:val="24"/>
          <w:szCs w:val="24"/>
          <w:lang w:val="en-US"/>
        </w:rPr>
        <w:t xml:space="preserve"> a range of </w:t>
      </w:r>
      <w:r w:rsidR="00E0113A">
        <w:rPr>
          <w:rFonts w:ascii="Times New Roman" w:hAnsi="Times New Roman" w:cs="Times New Roman"/>
          <w:sz w:val="24"/>
          <w:szCs w:val="24"/>
          <w:lang w:val="en-US"/>
        </w:rPr>
        <w:t>plausible</w:t>
      </w:r>
      <w:r>
        <w:rPr>
          <w:rFonts w:ascii="Times New Roman" w:hAnsi="Times New Roman" w:cs="Times New Roman"/>
          <w:sz w:val="24"/>
          <w:szCs w:val="24"/>
          <w:lang w:val="en-US"/>
        </w:rPr>
        <w:t xml:space="preserve"> fundamental values given the </w:t>
      </w:r>
      <w:r w:rsidR="00B36665">
        <w:rPr>
          <w:rFonts w:ascii="Times New Roman" w:hAnsi="Times New Roman" w:cs="Times New Roman"/>
          <w:sz w:val="24"/>
          <w:szCs w:val="24"/>
          <w:lang w:val="en-US"/>
        </w:rPr>
        <w:t>upper</w:t>
      </w:r>
      <w:r>
        <w:rPr>
          <w:rFonts w:ascii="Times New Roman" w:hAnsi="Times New Roman" w:cs="Times New Roman"/>
          <w:sz w:val="24"/>
          <w:szCs w:val="24"/>
          <w:lang w:val="en-US"/>
        </w:rPr>
        <w:t xml:space="preserve"> and lower ends of peer valuations.</w:t>
      </w:r>
      <w:r w:rsidR="004D3C91">
        <w:rPr>
          <w:rFonts w:ascii="Times New Roman" w:hAnsi="Times New Roman" w:cs="Times New Roman"/>
          <w:sz w:val="24"/>
          <w:szCs w:val="24"/>
          <w:lang w:val="en-US"/>
        </w:rPr>
        <w:t xml:space="preserve"> Intuitively, </w:t>
      </w:r>
      <w:r w:rsidR="00B22E8A">
        <w:rPr>
          <w:rFonts w:ascii="Times New Roman" w:hAnsi="Times New Roman" w:cs="Times New Roman"/>
          <w:sz w:val="24"/>
          <w:szCs w:val="24"/>
          <w:lang w:val="en-US"/>
        </w:rPr>
        <w:t>when</w:t>
      </w:r>
      <w:r w:rsidR="004D3C91">
        <w:rPr>
          <w:rFonts w:ascii="Times New Roman" w:hAnsi="Times New Roman" w:cs="Times New Roman"/>
          <w:sz w:val="24"/>
          <w:szCs w:val="24"/>
          <w:lang w:val="en-US"/>
        </w:rPr>
        <w:t xml:space="preserve"> peer multiples</w:t>
      </w:r>
      <w:r w:rsidR="00B22E8A">
        <w:rPr>
          <w:rFonts w:ascii="Times New Roman" w:hAnsi="Times New Roman" w:cs="Times New Roman"/>
          <w:sz w:val="24"/>
          <w:szCs w:val="24"/>
          <w:lang w:val="en-US"/>
        </w:rPr>
        <w:t xml:space="preserve"> are more dispersed</w:t>
      </w:r>
      <w:r w:rsidR="004D3C91">
        <w:rPr>
          <w:rFonts w:ascii="Times New Roman" w:hAnsi="Times New Roman" w:cs="Times New Roman"/>
          <w:sz w:val="24"/>
          <w:szCs w:val="24"/>
          <w:lang w:val="en-US"/>
        </w:rPr>
        <w:t xml:space="preserve">, the </w:t>
      </w:r>
      <w:r w:rsidR="00B22E8A">
        <w:rPr>
          <w:rFonts w:ascii="Times New Roman" w:hAnsi="Times New Roman" w:cs="Times New Roman"/>
          <w:sz w:val="24"/>
          <w:szCs w:val="24"/>
          <w:lang w:val="en-US"/>
        </w:rPr>
        <w:t xml:space="preserve">firm’s </w:t>
      </w:r>
      <w:r w:rsidR="004D3C91">
        <w:rPr>
          <w:rFonts w:ascii="Times New Roman" w:hAnsi="Times New Roman" w:cs="Times New Roman"/>
          <w:sz w:val="24"/>
          <w:szCs w:val="24"/>
          <w:lang w:val="en-US"/>
        </w:rPr>
        <w:t>implied</w:t>
      </w:r>
      <w:r w:rsidR="0061696E">
        <w:rPr>
          <w:rFonts w:ascii="Times New Roman" w:hAnsi="Times New Roman" w:cs="Times New Roman"/>
          <w:sz w:val="24"/>
          <w:szCs w:val="24"/>
          <w:lang w:val="en-US"/>
        </w:rPr>
        <w:t xml:space="preserve"> valu</w:t>
      </w:r>
      <w:r w:rsidR="00E7460E">
        <w:rPr>
          <w:rFonts w:ascii="Times New Roman" w:hAnsi="Times New Roman" w:cs="Times New Roman"/>
          <w:sz w:val="24"/>
          <w:szCs w:val="24"/>
          <w:lang w:val="en-US"/>
        </w:rPr>
        <w:t>ation</w:t>
      </w:r>
      <w:r w:rsidR="00B22E8A">
        <w:rPr>
          <w:rFonts w:ascii="Times New Roman" w:hAnsi="Times New Roman" w:cs="Times New Roman"/>
          <w:sz w:val="24"/>
          <w:szCs w:val="24"/>
          <w:lang w:val="en-US"/>
        </w:rPr>
        <w:t xml:space="preserve"> is more uncertain</w:t>
      </w:r>
      <w:r w:rsidR="004D3C91">
        <w:rPr>
          <w:rFonts w:ascii="Times New Roman" w:hAnsi="Times New Roman" w:cs="Times New Roman"/>
          <w:sz w:val="24"/>
          <w:szCs w:val="24"/>
          <w:lang w:val="en-US"/>
        </w:rPr>
        <w:t>.</w:t>
      </w:r>
      <w:r w:rsidR="00E0113A">
        <w:rPr>
          <w:rFonts w:ascii="Times New Roman" w:hAnsi="Times New Roman" w:cs="Times New Roman"/>
          <w:sz w:val="24"/>
          <w:szCs w:val="24"/>
          <w:lang w:val="en-US"/>
        </w:rPr>
        <w:t xml:space="preserve"> Building on this </w:t>
      </w:r>
      <w:r w:rsidR="00583F62">
        <w:rPr>
          <w:rFonts w:ascii="Times New Roman" w:hAnsi="Times New Roman" w:cs="Times New Roman"/>
          <w:sz w:val="24"/>
          <w:szCs w:val="24"/>
          <w:lang w:val="en-US"/>
        </w:rPr>
        <w:t>intuition</w:t>
      </w:r>
      <w:r w:rsidR="00E0113A">
        <w:rPr>
          <w:rFonts w:ascii="Times New Roman" w:hAnsi="Times New Roman" w:cs="Times New Roman"/>
          <w:sz w:val="24"/>
          <w:szCs w:val="24"/>
          <w:lang w:val="en-US"/>
        </w:rPr>
        <w:t>,</w:t>
      </w:r>
      <w:r w:rsidR="0061696E">
        <w:rPr>
          <w:rFonts w:ascii="Times New Roman" w:hAnsi="Times New Roman" w:cs="Times New Roman"/>
          <w:sz w:val="24"/>
          <w:szCs w:val="24"/>
          <w:lang w:val="en-US"/>
        </w:rPr>
        <w:t xml:space="preserve"> </w:t>
      </w:r>
      <w:r w:rsidR="00B36665">
        <w:rPr>
          <w:rFonts w:ascii="Times New Roman" w:hAnsi="Times New Roman" w:cs="Times New Roman"/>
          <w:sz w:val="24"/>
          <w:szCs w:val="24"/>
          <w:lang w:val="en-US"/>
        </w:rPr>
        <w:t xml:space="preserve">we relate </w:t>
      </w:r>
      <w:r w:rsidR="003166E7" w:rsidRPr="002A3EE6">
        <w:rPr>
          <w:rFonts w:ascii="Times New Roman" w:hAnsi="Times New Roman" w:cs="Times New Roman"/>
          <w:i/>
          <w:iCs/>
          <w:sz w:val="24"/>
          <w:szCs w:val="24"/>
          <w:lang w:val="en-US"/>
        </w:rPr>
        <w:t>VU</w:t>
      </w:r>
      <w:r w:rsidR="00B36665">
        <w:rPr>
          <w:rFonts w:ascii="Times New Roman" w:hAnsi="Times New Roman" w:cs="Times New Roman"/>
          <w:sz w:val="24"/>
          <w:szCs w:val="24"/>
          <w:lang w:val="en-US"/>
        </w:rPr>
        <w:t xml:space="preserve"> to the industry-</w:t>
      </w:r>
      <w:r w:rsidR="00F0009E">
        <w:rPr>
          <w:rFonts w:ascii="Times New Roman" w:hAnsi="Times New Roman" w:cs="Times New Roman"/>
          <w:sz w:val="24"/>
          <w:szCs w:val="24"/>
          <w:lang w:val="en-US"/>
        </w:rPr>
        <w:t>year</w:t>
      </w:r>
      <w:r w:rsidR="00B36665">
        <w:rPr>
          <w:rFonts w:ascii="Times New Roman" w:hAnsi="Times New Roman" w:cs="Times New Roman"/>
          <w:sz w:val="24"/>
          <w:szCs w:val="24"/>
          <w:lang w:val="en-US"/>
        </w:rPr>
        <w:t xml:space="preserve"> dispersion in </w:t>
      </w:r>
      <w:r w:rsidR="004D3C91">
        <w:rPr>
          <w:rFonts w:ascii="Times New Roman" w:hAnsi="Times New Roman" w:cs="Times New Roman"/>
          <w:sz w:val="24"/>
          <w:szCs w:val="24"/>
          <w:lang w:val="en-US"/>
        </w:rPr>
        <w:t>valuation multiples</w:t>
      </w:r>
      <w:r w:rsidR="00583F62">
        <w:rPr>
          <w:rFonts w:ascii="Times New Roman" w:hAnsi="Times New Roman" w:cs="Times New Roman"/>
          <w:sz w:val="24"/>
          <w:szCs w:val="24"/>
          <w:lang w:val="en-US"/>
        </w:rPr>
        <w:t xml:space="preserve"> as another form of validation</w:t>
      </w:r>
      <w:r w:rsidR="004D3C91">
        <w:rPr>
          <w:rFonts w:ascii="Times New Roman" w:hAnsi="Times New Roman" w:cs="Times New Roman"/>
          <w:sz w:val="24"/>
          <w:szCs w:val="24"/>
          <w:lang w:val="en-US"/>
        </w:rPr>
        <w:t xml:space="preserve">. </w:t>
      </w:r>
      <w:r w:rsidR="00C75B4D">
        <w:rPr>
          <w:rFonts w:ascii="Times New Roman" w:hAnsi="Times New Roman" w:cs="Times New Roman"/>
          <w:sz w:val="24"/>
          <w:szCs w:val="24"/>
          <w:lang w:val="en-US"/>
        </w:rPr>
        <w:t>Indeed, as eq. (</w:t>
      </w:r>
      <w:r w:rsidR="003166E7">
        <w:rPr>
          <w:rFonts w:ascii="Times New Roman" w:hAnsi="Times New Roman" w:cs="Times New Roman"/>
          <w:sz w:val="24"/>
          <w:szCs w:val="24"/>
          <w:lang w:val="en-US"/>
        </w:rPr>
        <w:t>7</w:t>
      </w:r>
      <w:r w:rsidR="00C75B4D">
        <w:rPr>
          <w:rFonts w:ascii="Times New Roman" w:hAnsi="Times New Roman" w:cs="Times New Roman"/>
          <w:sz w:val="24"/>
          <w:szCs w:val="24"/>
          <w:lang w:val="en-US"/>
        </w:rPr>
        <w:t xml:space="preserve">) </w:t>
      </w:r>
      <w:r w:rsidR="00E7460E">
        <w:rPr>
          <w:rFonts w:ascii="Times New Roman" w:hAnsi="Times New Roman" w:cs="Times New Roman"/>
          <w:sz w:val="24"/>
          <w:szCs w:val="24"/>
          <w:lang w:val="en-US"/>
        </w:rPr>
        <w:t>shows</w:t>
      </w:r>
      <w:r w:rsidR="00C75B4D">
        <w:rPr>
          <w:rFonts w:ascii="Times New Roman" w:hAnsi="Times New Roman" w:cs="Times New Roman"/>
          <w:sz w:val="24"/>
          <w:szCs w:val="24"/>
          <w:lang w:val="en-US"/>
        </w:rPr>
        <w:t xml:space="preserve">, our approach </w:t>
      </w:r>
      <w:r w:rsidR="00273B36">
        <w:rPr>
          <w:rFonts w:ascii="Times New Roman" w:hAnsi="Times New Roman" w:cs="Times New Roman"/>
          <w:sz w:val="24"/>
          <w:szCs w:val="24"/>
          <w:lang w:val="en-US"/>
        </w:rPr>
        <w:t>tacitly</w:t>
      </w:r>
      <w:r w:rsidR="00C75B4D">
        <w:rPr>
          <w:rFonts w:ascii="Times New Roman" w:hAnsi="Times New Roman" w:cs="Times New Roman"/>
          <w:sz w:val="24"/>
          <w:szCs w:val="24"/>
          <w:lang w:val="en-US"/>
        </w:rPr>
        <w:t xml:space="preserve"> exploit</w:t>
      </w:r>
      <w:r w:rsidR="00E7460E">
        <w:rPr>
          <w:rFonts w:ascii="Times New Roman" w:hAnsi="Times New Roman" w:cs="Times New Roman"/>
          <w:sz w:val="24"/>
          <w:szCs w:val="24"/>
          <w:lang w:val="en-US"/>
        </w:rPr>
        <w:t>s</w:t>
      </w:r>
      <w:r w:rsidR="00C75B4D">
        <w:rPr>
          <w:rFonts w:ascii="Times New Roman" w:hAnsi="Times New Roman" w:cs="Times New Roman"/>
          <w:sz w:val="24"/>
          <w:szCs w:val="24"/>
          <w:lang w:val="en-US"/>
        </w:rPr>
        <w:t xml:space="preserve"> differences in valuation multiples at the upper and lower ends of valuations within an industry-year. </w:t>
      </w:r>
      <w:r w:rsidR="004D3C91">
        <w:rPr>
          <w:rFonts w:ascii="Times New Roman" w:hAnsi="Times New Roman" w:cs="Times New Roman"/>
          <w:sz w:val="24"/>
          <w:szCs w:val="24"/>
          <w:lang w:val="en-US"/>
        </w:rPr>
        <w:t xml:space="preserve">We use four common valuation multiples: </w:t>
      </w:r>
      <w:r w:rsidR="00307434">
        <w:rPr>
          <w:rFonts w:ascii="Times New Roman" w:hAnsi="Times New Roman" w:cs="Times New Roman"/>
          <w:sz w:val="24"/>
          <w:szCs w:val="24"/>
          <w:lang w:val="en-US"/>
        </w:rPr>
        <w:t>enterprise value to EBITDA (</w:t>
      </w:r>
      <w:r w:rsidR="004D3C91">
        <w:rPr>
          <w:rFonts w:ascii="Times New Roman" w:hAnsi="Times New Roman" w:cs="Times New Roman"/>
          <w:sz w:val="24"/>
          <w:szCs w:val="24"/>
          <w:lang w:val="en-US"/>
        </w:rPr>
        <w:t>EV/EBITDA</w:t>
      </w:r>
      <w:r w:rsidR="00307434">
        <w:rPr>
          <w:rFonts w:ascii="Times New Roman" w:hAnsi="Times New Roman" w:cs="Times New Roman"/>
          <w:sz w:val="24"/>
          <w:szCs w:val="24"/>
          <w:lang w:val="en-US"/>
        </w:rPr>
        <w:t>)</w:t>
      </w:r>
      <w:r w:rsidR="004D3C91">
        <w:rPr>
          <w:rFonts w:ascii="Times New Roman" w:hAnsi="Times New Roman" w:cs="Times New Roman"/>
          <w:sz w:val="24"/>
          <w:szCs w:val="24"/>
          <w:lang w:val="en-US"/>
        </w:rPr>
        <w:t xml:space="preserve">, </w:t>
      </w:r>
      <w:r w:rsidR="00307434">
        <w:rPr>
          <w:rFonts w:ascii="Times New Roman" w:hAnsi="Times New Roman" w:cs="Times New Roman"/>
          <w:sz w:val="24"/>
          <w:szCs w:val="24"/>
          <w:lang w:val="en-US"/>
        </w:rPr>
        <w:t>price-to-book (</w:t>
      </w:r>
      <w:r w:rsidR="004D3C91">
        <w:rPr>
          <w:rFonts w:ascii="Times New Roman" w:hAnsi="Times New Roman" w:cs="Times New Roman"/>
          <w:sz w:val="24"/>
          <w:szCs w:val="24"/>
          <w:lang w:val="en-US"/>
        </w:rPr>
        <w:t>P/B</w:t>
      </w:r>
      <w:r w:rsidR="00307434">
        <w:rPr>
          <w:rFonts w:ascii="Times New Roman" w:hAnsi="Times New Roman" w:cs="Times New Roman"/>
          <w:sz w:val="24"/>
          <w:szCs w:val="24"/>
          <w:lang w:val="en-US"/>
        </w:rPr>
        <w:t>)</w:t>
      </w:r>
      <w:r w:rsidR="004D3C91">
        <w:rPr>
          <w:rFonts w:ascii="Times New Roman" w:hAnsi="Times New Roman" w:cs="Times New Roman"/>
          <w:sz w:val="24"/>
          <w:szCs w:val="24"/>
          <w:lang w:val="en-US"/>
        </w:rPr>
        <w:t xml:space="preserve">, </w:t>
      </w:r>
      <w:r w:rsidR="00307434">
        <w:rPr>
          <w:rFonts w:ascii="Times New Roman" w:hAnsi="Times New Roman" w:cs="Times New Roman"/>
          <w:sz w:val="24"/>
          <w:szCs w:val="24"/>
          <w:lang w:val="en-US"/>
        </w:rPr>
        <w:t xml:space="preserve">price to </w:t>
      </w:r>
      <w:r w:rsidR="004D3C91">
        <w:rPr>
          <w:rFonts w:ascii="Times New Roman" w:hAnsi="Times New Roman" w:cs="Times New Roman"/>
          <w:sz w:val="24"/>
          <w:szCs w:val="24"/>
          <w:lang w:val="en-US"/>
        </w:rPr>
        <w:t>trailing</w:t>
      </w:r>
      <w:r w:rsidR="00307434">
        <w:rPr>
          <w:rFonts w:ascii="Times New Roman" w:hAnsi="Times New Roman" w:cs="Times New Roman"/>
          <w:sz w:val="24"/>
          <w:szCs w:val="24"/>
          <w:lang w:val="en-US"/>
        </w:rPr>
        <w:t xml:space="preserve"> earnings</w:t>
      </w:r>
      <w:r w:rsidR="004D3C91">
        <w:rPr>
          <w:rFonts w:ascii="Times New Roman" w:hAnsi="Times New Roman" w:cs="Times New Roman"/>
          <w:sz w:val="24"/>
          <w:szCs w:val="24"/>
          <w:lang w:val="en-US"/>
        </w:rPr>
        <w:t xml:space="preserve"> </w:t>
      </w:r>
      <w:r w:rsidR="00307434">
        <w:rPr>
          <w:rFonts w:ascii="Times New Roman" w:hAnsi="Times New Roman" w:cs="Times New Roman"/>
          <w:sz w:val="24"/>
          <w:szCs w:val="24"/>
          <w:lang w:val="en-US"/>
        </w:rPr>
        <w:t>(</w:t>
      </w:r>
      <w:r w:rsidR="004D3C91">
        <w:rPr>
          <w:rFonts w:ascii="Times New Roman" w:hAnsi="Times New Roman" w:cs="Times New Roman"/>
          <w:sz w:val="24"/>
          <w:szCs w:val="24"/>
          <w:lang w:val="en-US"/>
        </w:rPr>
        <w:t>P/E</w:t>
      </w:r>
      <w:r w:rsidR="00307434">
        <w:rPr>
          <w:rFonts w:ascii="Times New Roman" w:hAnsi="Times New Roman" w:cs="Times New Roman"/>
          <w:sz w:val="24"/>
          <w:szCs w:val="24"/>
          <w:lang w:val="en-US"/>
        </w:rPr>
        <w:t>)</w:t>
      </w:r>
      <w:r w:rsidR="004D3C91">
        <w:rPr>
          <w:rFonts w:ascii="Times New Roman" w:hAnsi="Times New Roman" w:cs="Times New Roman"/>
          <w:sz w:val="24"/>
          <w:szCs w:val="24"/>
          <w:lang w:val="en-US"/>
        </w:rPr>
        <w:t xml:space="preserve">, and </w:t>
      </w:r>
      <w:r w:rsidR="00307434">
        <w:rPr>
          <w:rFonts w:ascii="Times New Roman" w:hAnsi="Times New Roman" w:cs="Times New Roman"/>
          <w:sz w:val="24"/>
          <w:szCs w:val="24"/>
          <w:lang w:val="en-US"/>
        </w:rPr>
        <w:t>price to forward earnings using analysts’ forecasts (forward</w:t>
      </w:r>
      <w:r w:rsidR="004D3C91">
        <w:rPr>
          <w:rFonts w:ascii="Times New Roman" w:hAnsi="Times New Roman" w:cs="Times New Roman"/>
          <w:sz w:val="24"/>
          <w:szCs w:val="24"/>
          <w:lang w:val="en-US"/>
        </w:rPr>
        <w:t xml:space="preserve"> P/E</w:t>
      </w:r>
      <w:r w:rsidR="00307434">
        <w:rPr>
          <w:rFonts w:ascii="Times New Roman" w:hAnsi="Times New Roman" w:cs="Times New Roman"/>
          <w:sz w:val="24"/>
          <w:szCs w:val="24"/>
          <w:lang w:val="en-US"/>
        </w:rPr>
        <w:t>)</w:t>
      </w:r>
      <w:r w:rsidR="004D3C91">
        <w:rPr>
          <w:rFonts w:ascii="Times New Roman" w:hAnsi="Times New Roman" w:cs="Times New Roman"/>
          <w:sz w:val="24"/>
          <w:szCs w:val="24"/>
          <w:lang w:val="en-US"/>
        </w:rPr>
        <w:t>. For consistency with our measure of valuation uncertainty, we use interquartile ranges of these multiples.</w:t>
      </w:r>
    </w:p>
    <w:p w14:paraId="1A5E9B6C" w14:textId="475C68EE" w:rsidR="004307FD" w:rsidRPr="004307FD" w:rsidRDefault="00F0009E" w:rsidP="002F51FD">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w:t>
      </w:r>
      <w:r w:rsidR="002017C3">
        <w:rPr>
          <w:rFonts w:ascii="Times New Roman" w:hAnsi="Times New Roman" w:cs="Times New Roman"/>
          <w:sz w:val="24"/>
          <w:szCs w:val="24"/>
          <w:lang w:val="en-US"/>
        </w:rPr>
        <w:t>3</w:t>
      </w:r>
      <w:r>
        <w:rPr>
          <w:rFonts w:ascii="Times New Roman" w:hAnsi="Times New Roman" w:cs="Times New Roman"/>
          <w:sz w:val="24"/>
          <w:szCs w:val="24"/>
          <w:lang w:val="en-US"/>
        </w:rPr>
        <w:t xml:space="preserve"> reports the results. We find that </w:t>
      </w:r>
      <w:r w:rsidRPr="00F0009E">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is positively associated with the dispersion in each of the four valuation multiples. The R</w:t>
      </w:r>
      <w:r w:rsidRPr="00F0009E">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in these regressions is on the order of 20%, meaning that the dispersion in industry-year valuation multiples explains about 20% of the variation in our measure. </w:t>
      </w:r>
      <w:r w:rsidR="007C4AF6">
        <w:rPr>
          <w:rFonts w:ascii="Times New Roman" w:hAnsi="Times New Roman" w:cs="Times New Roman"/>
          <w:sz w:val="24"/>
          <w:szCs w:val="24"/>
          <w:lang w:val="en-US"/>
        </w:rPr>
        <w:t xml:space="preserve">Thus, while </w:t>
      </w:r>
      <w:r w:rsidR="00A421D5" w:rsidRPr="00A421D5">
        <w:rPr>
          <w:rFonts w:ascii="Times New Roman" w:hAnsi="Times New Roman" w:cs="Times New Roman"/>
          <w:i/>
          <w:iCs/>
          <w:sz w:val="24"/>
          <w:szCs w:val="24"/>
          <w:lang w:val="en-US"/>
        </w:rPr>
        <w:t>VU</w:t>
      </w:r>
      <w:r w:rsidR="007C4AF6">
        <w:rPr>
          <w:rFonts w:ascii="Times New Roman" w:hAnsi="Times New Roman" w:cs="Times New Roman"/>
          <w:sz w:val="24"/>
          <w:szCs w:val="24"/>
          <w:lang w:val="en-US"/>
        </w:rPr>
        <w:t xml:space="preserve"> is clearly related to a simple industry-year </w:t>
      </w:r>
      <w:r w:rsidR="00A421D5">
        <w:rPr>
          <w:rFonts w:ascii="Times New Roman" w:hAnsi="Times New Roman" w:cs="Times New Roman"/>
          <w:sz w:val="24"/>
          <w:szCs w:val="24"/>
          <w:lang w:val="en-US"/>
        </w:rPr>
        <w:t>benchmark</w:t>
      </w:r>
      <w:r w:rsidR="007C4AF6">
        <w:rPr>
          <w:rFonts w:ascii="Times New Roman" w:hAnsi="Times New Roman" w:cs="Times New Roman"/>
          <w:sz w:val="24"/>
          <w:szCs w:val="24"/>
          <w:lang w:val="en-US"/>
        </w:rPr>
        <w:t xml:space="preserve">, it contains </w:t>
      </w:r>
      <w:r w:rsidR="007C4AF6">
        <w:rPr>
          <w:rFonts w:ascii="Times New Roman" w:hAnsi="Times New Roman" w:cs="Times New Roman"/>
          <w:sz w:val="24"/>
          <w:szCs w:val="24"/>
          <w:lang w:val="en-US"/>
        </w:rPr>
        <w:lastRenderedPageBreak/>
        <w:t>substantial incremental variation as it varies further within industry-years.</w:t>
      </w:r>
      <w:r w:rsidR="007C4AF6">
        <w:rPr>
          <w:rStyle w:val="FootnoteReference"/>
          <w:rFonts w:ascii="Times New Roman" w:hAnsi="Times New Roman" w:cs="Times New Roman"/>
          <w:sz w:val="24"/>
          <w:szCs w:val="24"/>
          <w:lang w:val="en-US"/>
        </w:rPr>
        <w:footnoteReference w:id="21"/>
      </w:r>
      <w:r w:rsidR="007C4AF6">
        <w:rPr>
          <w:rFonts w:ascii="Times New Roman" w:hAnsi="Times New Roman" w:cs="Times New Roman"/>
          <w:sz w:val="24"/>
          <w:szCs w:val="24"/>
          <w:lang w:val="en-US"/>
        </w:rPr>
        <w:t xml:space="preserve"> In the next section, we explore the predictive power of </w:t>
      </w:r>
      <w:r w:rsidR="007C4AF6" w:rsidRPr="007C4AF6">
        <w:rPr>
          <w:rFonts w:ascii="Times New Roman" w:hAnsi="Times New Roman" w:cs="Times New Roman"/>
          <w:i/>
          <w:iCs/>
          <w:sz w:val="24"/>
          <w:szCs w:val="24"/>
          <w:lang w:val="en-US"/>
        </w:rPr>
        <w:t>VU</w:t>
      </w:r>
      <w:r w:rsidR="007C4AF6">
        <w:rPr>
          <w:rFonts w:ascii="Times New Roman" w:hAnsi="Times New Roman" w:cs="Times New Roman"/>
          <w:sz w:val="24"/>
          <w:szCs w:val="24"/>
          <w:lang w:val="en-US"/>
        </w:rPr>
        <w:t xml:space="preserve"> </w:t>
      </w:r>
      <w:r w:rsidR="007C4AF6" w:rsidRPr="00231516">
        <w:rPr>
          <w:rFonts w:ascii="Times New Roman" w:hAnsi="Times New Roman" w:cs="Times New Roman"/>
          <w:sz w:val="24"/>
          <w:szCs w:val="24"/>
          <w:lang w:val="en-US"/>
        </w:rPr>
        <w:t>over and above</w:t>
      </w:r>
      <w:r w:rsidR="007C4AF6">
        <w:rPr>
          <w:rFonts w:ascii="Times New Roman" w:hAnsi="Times New Roman" w:cs="Times New Roman"/>
          <w:sz w:val="24"/>
          <w:szCs w:val="24"/>
          <w:lang w:val="en-US"/>
        </w:rPr>
        <w:t xml:space="preserve"> this simple benchmark.</w:t>
      </w:r>
    </w:p>
    <w:p w14:paraId="045CED87" w14:textId="602FFFE4" w:rsidR="00240ED4" w:rsidRPr="009867A2" w:rsidRDefault="00240ED4" w:rsidP="009867A2">
      <w:pPr>
        <w:spacing w:after="0" w:line="480" w:lineRule="auto"/>
        <w:jc w:val="both"/>
        <w:rPr>
          <w:rFonts w:ascii="Times New Roman" w:hAnsi="Times New Roman" w:cs="Times New Roman"/>
          <w:b/>
          <w:bCs/>
          <w:sz w:val="24"/>
          <w:szCs w:val="24"/>
          <w:lang w:val="en-US"/>
        </w:rPr>
      </w:pPr>
      <w:r w:rsidRPr="009867A2">
        <w:rPr>
          <w:rFonts w:ascii="Times New Roman" w:hAnsi="Times New Roman" w:cs="Times New Roman"/>
          <w:b/>
          <w:bCs/>
          <w:sz w:val="24"/>
          <w:szCs w:val="24"/>
          <w:lang w:val="en-US"/>
        </w:rPr>
        <w:t xml:space="preserve">Validation using </w:t>
      </w:r>
      <w:r w:rsidR="002F51FD">
        <w:rPr>
          <w:rFonts w:ascii="Times New Roman" w:hAnsi="Times New Roman" w:cs="Times New Roman"/>
          <w:b/>
          <w:bCs/>
          <w:sz w:val="24"/>
          <w:szCs w:val="24"/>
          <w:lang w:val="en-US"/>
        </w:rPr>
        <w:t>E</w:t>
      </w:r>
      <w:r w:rsidRPr="009867A2">
        <w:rPr>
          <w:rFonts w:ascii="Times New Roman" w:hAnsi="Times New Roman" w:cs="Times New Roman"/>
          <w:b/>
          <w:bCs/>
          <w:sz w:val="24"/>
          <w:szCs w:val="24"/>
          <w:lang w:val="en-US"/>
        </w:rPr>
        <w:t>x-</w:t>
      </w:r>
      <w:r w:rsidR="002F51FD">
        <w:rPr>
          <w:rFonts w:ascii="Times New Roman" w:hAnsi="Times New Roman" w:cs="Times New Roman"/>
          <w:b/>
          <w:bCs/>
          <w:sz w:val="24"/>
          <w:szCs w:val="24"/>
          <w:lang w:val="en-US"/>
        </w:rPr>
        <w:t>P</w:t>
      </w:r>
      <w:r w:rsidRPr="009867A2">
        <w:rPr>
          <w:rFonts w:ascii="Times New Roman" w:hAnsi="Times New Roman" w:cs="Times New Roman"/>
          <w:b/>
          <w:bCs/>
          <w:sz w:val="24"/>
          <w:szCs w:val="24"/>
          <w:lang w:val="en-US"/>
        </w:rPr>
        <w:t xml:space="preserve">ost </w:t>
      </w:r>
      <w:r w:rsidR="002F51FD">
        <w:rPr>
          <w:rFonts w:ascii="Times New Roman" w:hAnsi="Times New Roman" w:cs="Times New Roman"/>
          <w:b/>
          <w:bCs/>
          <w:sz w:val="24"/>
          <w:szCs w:val="24"/>
          <w:lang w:val="en-US"/>
        </w:rPr>
        <w:t>O</w:t>
      </w:r>
      <w:r w:rsidRPr="009867A2">
        <w:rPr>
          <w:rFonts w:ascii="Times New Roman" w:hAnsi="Times New Roman" w:cs="Times New Roman"/>
          <w:b/>
          <w:bCs/>
          <w:sz w:val="24"/>
          <w:szCs w:val="24"/>
          <w:lang w:val="en-US"/>
        </w:rPr>
        <w:t>utcomes</w:t>
      </w:r>
    </w:p>
    <w:p w14:paraId="52191EEA" w14:textId="05DFCC15" w:rsidR="009867A2" w:rsidRDefault="00B97B10" w:rsidP="00FA7CC5">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our third set of validation tests, we </w:t>
      </w:r>
      <w:r w:rsidR="00347760">
        <w:rPr>
          <w:rFonts w:ascii="Times New Roman" w:hAnsi="Times New Roman" w:cs="Times New Roman"/>
          <w:sz w:val="24"/>
          <w:szCs w:val="24"/>
          <w:lang w:val="en-US"/>
        </w:rPr>
        <w:t>examine the ability of</w:t>
      </w:r>
      <w:r>
        <w:rPr>
          <w:rFonts w:ascii="Times New Roman" w:hAnsi="Times New Roman" w:cs="Times New Roman"/>
          <w:sz w:val="24"/>
          <w:szCs w:val="24"/>
          <w:lang w:val="en-US"/>
        </w:rPr>
        <w:t xml:space="preserve"> </w:t>
      </w:r>
      <w:r w:rsidRPr="00D72641">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to </w:t>
      </w:r>
      <w:r w:rsidR="00347760">
        <w:rPr>
          <w:rFonts w:ascii="Times New Roman" w:hAnsi="Times New Roman" w:cs="Times New Roman"/>
          <w:sz w:val="24"/>
          <w:szCs w:val="24"/>
          <w:lang w:val="en-US"/>
        </w:rPr>
        <w:t>explain</w:t>
      </w:r>
      <w:r w:rsidR="00D72641">
        <w:rPr>
          <w:rFonts w:ascii="Times New Roman" w:hAnsi="Times New Roman" w:cs="Times New Roman"/>
          <w:sz w:val="24"/>
          <w:szCs w:val="24"/>
          <w:lang w:val="en-US"/>
        </w:rPr>
        <w:t xml:space="preserve"> </w:t>
      </w:r>
      <w:r w:rsidR="00D72641" w:rsidRPr="00347760">
        <w:rPr>
          <w:rFonts w:ascii="Times New Roman" w:hAnsi="Times New Roman" w:cs="Times New Roman"/>
          <w:sz w:val="24"/>
          <w:szCs w:val="24"/>
          <w:lang w:val="en-US"/>
        </w:rPr>
        <w:t>future</w:t>
      </w:r>
      <w:r w:rsidR="00D72641">
        <w:rPr>
          <w:rFonts w:ascii="Times New Roman" w:hAnsi="Times New Roman" w:cs="Times New Roman"/>
          <w:sz w:val="24"/>
          <w:szCs w:val="24"/>
          <w:lang w:val="en-US"/>
        </w:rPr>
        <w:t xml:space="preserve"> or contemporaneous</w:t>
      </w:r>
      <w:r>
        <w:rPr>
          <w:rFonts w:ascii="Times New Roman" w:hAnsi="Times New Roman" w:cs="Times New Roman"/>
          <w:sz w:val="24"/>
          <w:szCs w:val="24"/>
          <w:lang w:val="en-US"/>
        </w:rPr>
        <w:t xml:space="preserve"> outcomes that are indicative of valuation</w:t>
      </w:r>
      <w:r w:rsidR="00E546B4">
        <w:rPr>
          <w:rFonts w:ascii="Times New Roman" w:hAnsi="Times New Roman" w:cs="Times New Roman"/>
          <w:sz w:val="24"/>
          <w:szCs w:val="24"/>
          <w:lang w:val="en-US"/>
        </w:rPr>
        <w:t xml:space="preserve"> uncertainty</w:t>
      </w:r>
      <w:r>
        <w:rPr>
          <w:rFonts w:ascii="Times New Roman" w:hAnsi="Times New Roman" w:cs="Times New Roman"/>
          <w:sz w:val="24"/>
          <w:szCs w:val="24"/>
          <w:lang w:val="en-US"/>
        </w:rPr>
        <w:t>.</w:t>
      </w:r>
      <w:r w:rsidR="00D72641">
        <w:rPr>
          <w:rFonts w:ascii="Times New Roman" w:hAnsi="Times New Roman" w:cs="Times New Roman"/>
          <w:sz w:val="24"/>
          <w:szCs w:val="24"/>
          <w:lang w:val="en-US"/>
        </w:rPr>
        <w:t xml:space="preserve"> </w:t>
      </w:r>
      <w:r w:rsidR="00F355D6">
        <w:rPr>
          <w:rFonts w:ascii="Times New Roman" w:hAnsi="Times New Roman" w:cs="Times New Roman"/>
          <w:sz w:val="24"/>
          <w:szCs w:val="24"/>
          <w:lang w:val="en-US"/>
        </w:rPr>
        <w:t xml:space="preserve">To assess the incremental power of </w:t>
      </w:r>
      <w:r w:rsidR="00F355D6" w:rsidRPr="00F355D6">
        <w:rPr>
          <w:rFonts w:ascii="Times New Roman" w:hAnsi="Times New Roman" w:cs="Times New Roman"/>
          <w:i/>
          <w:iCs/>
          <w:sz w:val="24"/>
          <w:szCs w:val="24"/>
          <w:lang w:val="en-US"/>
        </w:rPr>
        <w:t>VU</w:t>
      </w:r>
      <w:r w:rsidR="00F355D6">
        <w:rPr>
          <w:rFonts w:ascii="Times New Roman" w:hAnsi="Times New Roman" w:cs="Times New Roman"/>
          <w:sz w:val="24"/>
          <w:szCs w:val="24"/>
          <w:lang w:val="en-US"/>
        </w:rPr>
        <w:t>, e</w:t>
      </w:r>
      <w:r w:rsidR="00D72641">
        <w:rPr>
          <w:rFonts w:ascii="Times New Roman" w:hAnsi="Times New Roman" w:cs="Times New Roman"/>
          <w:sz w:val="24"/>
          <w:szCs w:val="24"/>
          <w:lang w:val="en-US"/>
        </w:rPr>
        <w:t xml:space="preserve">ach outcome is predicted using three different specifications: i) a univariate regression using </w:t>
      </w:r>
      <w:r w:rsidR="00D72641" w:rsidRPr="00D72641">
        <w:rPr>
          <w:rFonts w:ascii="Times New Roman" w:hAnsi="Times New Roman" w:cs="Times New Roman"/>
          <w:i/>
          <w:iCs/>
          <w:sz w:val="24"/>
          <w:szCs w:val="24"/>
          <w:lang w:val="en-US"/>
        </w:rPr>
        <w:t>VU</w:t>
      </w:r>
      <w:r w:rsidR="00D72641">
        <w:rPr>
          <w:rFonts w:ascii="Times New Roman" w:hAnsi="Times New Roman" w:cs="Times New Roman"/>
          <w:sz w:val="24"/>
          <w:szCs w:val="24"/>
          <w:lang w:val="en-US"/>
        </w:rPr>
        <w:t xml:space="preserve"> only, ii) a regression using </w:t>
      </w:r>
      <w:r w:rsidR="00D72641" w:rsidRPr="00D72641">
        <w:rPr>
          <w:rFonts w:ascii="Times New Roman" w:hAnsi="Times New Roman" w:cs="Times New Roman"/>
          <w:i/>
          <w:iCs/>
          <w:sz w:val="24"/>
          <w:szCs w:val="24"/>
          <w:lang w:val="en-US"/>
        </w:rPr>
        <w:t>VU</w:t>
      </w:r>
      <w:r w:rsidR="00D72641">
        <w:rPr>
          <w:rFonts w:ascii="Times New Roman" w:hAnsi="Times New Roman" w:cs="Times New Roman"/>
          <w:sz w:val="24"/>
          <w:szCs w:val="24"/>
          <w:lang w:val="en-US"/>
        </w:rPr>
        <w:t xml:space="preserve"> and a simple industry benchmark</w:t>
      </w:r>
      <w:r w:rsidR="00D72641">
        <w:rPr>
          <w:rStyle w:val="FootnoteReference"/>
          <w:rFonts w:ascii="Times New Roman" w:hAnsi="Times New Roman" w:cs="Times New Roman"/>
          <w:sz w:val="24"/>
          <w:szCs w:val="24"/>
          <w:lang w:val="en-US"/>
        </w:rPr>
        <w:footnoteReference w:id="22"/>
      </w:r>
      <w:r w:rsidR="00D72641">
        <w:rPr>
          <w:rFonts w:ascii="Times New Roman" w:hAnsi="Times New Roman" w:cs="Times New Roman"/>
          <w:sz w:val="24"/>
          <w:szCs w:val="24"/>
          <w:lang w:val="en-US"/>
        </w:rPr>
        <w:t xml:space="preserve">, and iii) a regression using </w:t>
      </w:r>
      <w:r w:rsidR="00D72641" w:rsidRPr="00D72641">
        <w:rPr>
          <w:rFonts w:ascii="Times New Roman" w:hAnsi="Times New Roman" w:cs="Times New Roman"/>
          <w:i/>
          <w:iCs/>
          <w:sz w:val="24"/>
          <w:szCs w:val="24"/>
          <w:lang w:val="en-US"/>
        </w:rPr>
        <w:t>VU</w:t>
      </w:r>
      <w:r w:rsidR="00D72641">
        <w:rPr>
          <w:rFonts w:ascii="Times New Roman" w:hAnsi="Times New Roman" w:cs="Times New Roman"/>
          <w:sz w:val="24"/>
          <w:szCs w:val="24"/>
          <w:lang w:val="en-US"/>
        </w:rPr>
        <w:t>, a simple industry benchmark, and a further set of proxies for valuation uncertainty: size, age, past return volatility, asset intangibility, and indicators for dividend-paying firms and loss-making firms.</w:t>
      </w:r>
      <w:r w:rsidR="009829C3">
        <w:rPr>
          <w:rFonts w:ascii="Times New Roman" w:hAnsi="Times New Roman" w:cs="Times New Roman"/>
          <w:sz w:val="24"/>
          <w:szCs w:val="24"/>
          <w:lang w:val="en-US"/>
        </w:rPr>
        <w:t xml:space="preserve"> We use the natural logarithm of the outcome variable in all cases.</w:t>
      </w:r>
      <w:r w:rsidR="00347760">
        <w:rPr>
          <w:rFonts w:ascii="Times New Roman" w:hAnsi="Times New Roman" w:cs="Times New Roman"/>
          <w:sz w:val="24"/>
          <w:szCs w:val="24"/>
          <w:lang w:val="en-US"/>
        </w:rPr>
        <w:t xml:space="preserve"> Table </w:t>
      </w:r>
      <w:r w:rsidR="002017C3">
        <w:rPr>
          <w:rFonts w:ascii="Times New Roman" w:hAnsi="Times New Roman" w:cs="Times New Roman"/>
          <w:sz w:val="24"/>
          <w:szCs w:val="24"/>
          <w:lang w:val="en-US"/>
        </w:rPr>
        <w:t>4</w:t>
      </w:r>
      <w:r w:rsidR="004A1D18">
        <w:rPr>
          <w:rFonts w:ascii="Times New Roman" w:hAnsi="Times New Roman" w:cs="Times New Roman"/>
          <w:sz w:val="24"/>
          <w:szCs w:val="24"/>
          <w:lang w:val="en-US"/>
        </w:rPr>
        <w:t xml:space="preserve"> </w:t>
      </w:r>
      <w:r w:rsidR="00347760">
        <w:rPr>
          <w:rFonts w:ascii="Times New Roman" w:hAnsi="Times New Roman" w:cs="Times New Roman"/>
          <w:sz w:val="24"/>
          <w:szCs w:val="24"/>
          <w:lang w:val="en-US"/>
        </w:rPr>
        <w:t>reports the results of these tests.</w:t>
      </w:r>
    </w:p>
    <w:p w14:paraId="2BAA3BFD" w14:textId="286F47BE" w:rsidR="00DF5376" w:rsidRDefault="00347760" w:rsidP="00FA7CC5">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Panel A we use three metrics to capture overall </w:t>
      </w:r>
      <w:r w:rsidRPr="00347760">
        <w:rPr>
          <w:rFonts w:ascii="Times New Roman" w:hAnsi="Times New Roman" w:cs="Times New Roman"/>
          <w:sz w:val="24"/>
          <w:szCs w:val="24"/>
          <w:lang w:val="en-US"/>
        </w:rPr>
        <w:t>valuation</w:t>
      </w:r>
      <w:r>
        <w:rPr>
          <w:rFonts w:ascii="Times New Roman" w:hAnsi="Times New Roman" w:cs="Times New Roman"/>
          <w:sz w:val="24"/>
          <w:szCs w:val="24"/>
          <w:lang w:val="en-US"/>
        </w:rPr>
        <w:t xml:space="preserve"> uncertainty. In columns (1)–(3), the outcome variable is future realized stock return volatility (estimated over the next year). We find that </w:t>
      </w:r>
      <w:r w:rsidRPr="00347760">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has strong explanatory power for future stock return volatility. This is true in the univariate case, </w:t>
      </w:r>
      <w:r w:rsidR="000865CF">
        <w:rPr>
          <w:rFonts w:ascii="Times New Roman" w:hAnsi="Times New Roman" w:cs="Times New Roman"/>
          <w:sz w:val="24"/>
          <w:szCs w:val="24"/>
          <w:lang w:val="en-US"/>
        </w:rPr>
        <w:t>in the case of</w:t>
      </w:r>
      <w:r>
        <w:rPr>
          <w:rFonts w:ascii="Times New Roman" w:hAnsi="Times New Roman" w:cs="Times New Roman"/>
          <w:sz w:val="24"/>
          <w:szCs w:val="24"/>
          <w:lang w:val="en-US"/>
        </w:rPr>
        <w:t xml:space="preserve"> controlling for the spread in industry-year multiples, as well as after including other common proxies for valuation uncertainty. In columns (4)–(6), the outcome variable is contemporaneous option-implied volatility extracted from options with maturities of 30 days. Once again, we observe that </w:t>
      </w:r>
      <w:r w:rsidRPr="00347760">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has strong explanatory power: the coefficient on </w:t>
      </w:r>
      <w:r w:rsidRPr="009D735F">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is </w:t>
      </w:r>
      <w:r w:rsidR="009D735F">
        <w:rPr>
          <w:rFonts w:ascii="Times New Roman" w:hAnsi="Times New Roman" w:cs="Times New Roman"/>
          <w:sz w:val="24"/>
          <w:szCs w:val="24"/>
          <w:lang w:val="en-US"/>
        </w:rPr>
        <w:t>positive and statistically significant at the 1% level in all three specifications.</w:t>
      </w:r>
      <w:r w:rsidR="002F51FD">
        <w:rPr>
          <w:rFonts w:ascii="Times New Roman" w:hAnsi="Times New Roman" w:cs="Times New Roman"/>
          <w:sz w:val="24"/>
          <w:szCs w:val="24"/>
          <w:lang w:val="en-US"/>
        </w:rPr>
        <w:t xml:space="preserve"> </w:t>
      </w:r>
      <w:r w:rsidR="00DF5376">
        <w:rPr>
          <w:rFonts w:ascii="Times New Roman" w:hAnsi="Times New Roman" w:cs="Times New Roman"/>
          <w:sz w:val="24"/>
          <w:szCs w:val="24"/>
          <w:lang w:val="en-US"/>
        </w:rPr>
        <w:t xml:space="preserve">In columns (7)–(9), </w:t>
      </w:r>
      <w:r w:rsidR="00DF5376">
        <w:rPr>
          <w:rFonts w:ascii="Times New Roman" w:hAnsi="Times New Roman" w:cs="Times New Roman"/>
          <w:sz w:val="24"/>
          <w:szCs w:val="24"/>
          <w:lang w:val="en-US"/>
        </w:rPr>
        <w:lastRenderedPageBreak/>
        <w:t>the outcome variable is</w:t>
      </w:r>
      <w:r w:rsidR="00FA16FE">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contemporaneous dispersion in analysts’ target prices.</w:t>
      </w:r>
      <w:r w:rsidR="00DF5376">
        <w:rPr>
          <w:rFonts w:ascii="Times New Roman" w:hAnsi="Times New Roman" w:cs="Times New Roman"/>
          <w:sz w:val="24"/>
          <w:szCs w:val="24"/>
          <w:lang w:val="en-US"/>
        </w:rPr>
        <w:t xml:space="preserve"> Here, we find that </w:t>
      </w:r>
      <w:r w:rsidR="00DF5376" w:rsidRPr="00DF5376">
        <w:rPr>
          <w:rFonts w:ascii="Times New Roman" w:hAnsi="Times New Roman" w:cs="Times New Roman"/>
          <w:i/>
          <w:iCs/>
          <w:sz w:val="24"/>
          <w:szCs w:val="24"/>
          <w:lang w:val="en-US"/>
        </w:rPr>
        <w:t>VU</w:t>
      </w:r>
      <w:r w:rsidR="00DF5376">
        <w:rPr>
          <w:rFonts w:ascii="Times New Roman" w:hAnsi="Times New Roman" w:cs="Times New Roman"/>
          <w:sz w:val="24"/>
          <w:szCs w:val="24"/>
          <w:lang w:val="en-US"/>
        </w:rPr>
        <w:t xml:space="preserve"> has strong explanatory power both individually and incrementally to a simple industry-year benchmark. However, this is no longer the case after including other common proxies for valuation uncertainty. Thus, for the dispersion in analysts’ target prices in particular, the explanatory power of </w:t>
      </w:r>
      <w:r w:rsidR="00DF5376" w:rsidRPr="00DF5376">
        <w:rPr>
          <w:rFonts w:ascii="Times New Roman" w:hAnsi="Times New Roman" w:cs="Times New Roman"/>
          <w:i/>
          <w:iCs/>
          <w:sz w:val="24"/>
          <w:szCs w:val="24"/>
          <w:lang w:val="en-US"/>
        </w:rPr>
        <w:t>VU</w:t>
      </w:r>
      <w:r w:rsidR="00DF5376">
        <w:rPr>
          <w:rFonts w:ascii="Times New Roman" w:hAnsi="Times New Roman" w:cs="Times New Roman"/>
          <w:sz w:val="24"/>
          <w:szCs w:val="24"/>
          <w:lang w:val="en-US"/>
        </w:rPr>
        <w:t xml:space="preserve"> appears to be subsumed by a set of other proxies.</w:t>
      </w:r>
    </w:p>
    <w:p w14:paraId="2C42A79E" w14:textId="55CD0E12" w:rsidR="00347760" w:rsidRDefault="00DF5376" w:rsidP="00FA7CC5">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Panel B we consider a range of </w:t>
      </w:r>
      <w:r w:rsidR="00C43E4C">
        <w:rPr>
          <w:rFonts w:ascii="Times New Roman" w:hAnsi="Times New Roman" w:cs="Times New Roman"/>
          <w:sz w:val="24"/>
          <w:szCs w:val="24"/>
          <w:lang w:val="en-US"/>
        </w:rPr>
        <w:t>measures</w:t>
      </w:r>
      <w:r>
        <w:rPr>
          <w:rFonts w:ascii="Times New Roman" w:hAnsi="Times New Roman" w:cs="Times New Roman"/>
          <w:sz w:val="24"/>
          <w:szCs w:val="24"/>
          <w:lang w:val="en-US"/>
        </w:rPr>
        <w:t xml:space="preserve"> </w:t>
      </w:r>
      <w:r w:rsidR="00C43E4C">
        <w:rPr>
          <w:rFonts w:ascii="Times New Roman" w:hAnsi="Times New Roman" w:cs="Times New Roman"/>
          <w:sz w:val="24"/>
          <w:szCs w:val="24"/>
          <w:lang w:val="en-US"/>
        </w:rPr>
        <w:t>of</w:t>
      </w:r>
      <w:r>
        <w:rPr>
          <w:rFonts w:ascii="Times New Roman" w:hAnsi="Times New Roman" w:cs="Times New Roman"/>
          <w:sz w:val="24"/>
          <w:szCs w:val="24"/>
          <w:lang w:val="en-US"/>
        </w:rPr>
        <w:t xml:space="preserve"> future cash flow uncertainty</w:t>
      </w:r>
      <w:r w:rsidR="00C43E4C">
        <w:rPr>
          <w:rFonts w:ascii="Times New Roman" w:hAnsi="Times New Roman" w:cs="Times New Roman"/>
          <w:sz w:val="24"/>
          <w:szCs w:val="24"/>
          <w:lang w:val="en-US"/>
        </w:rPr>
        <w:t>. In columns (1)–(3) the outcome variable is the volatility of future earnings (standard deviation of ROA over the next 5 years). In columns</w:t>
      </w:r>
      <w:r w:rsidR="008D28D0">
        <w:rPr>
          <w:rFonts w:ascii="Times New Roman" w:hAnsi="Times New Roman" w:cs="Times New Roman"/>
          <w:sz w:val="24"/>
          <w:szCs w:val="24"/>
          <w:lang w:val="en-US"/>
        </w:rPr>
        <w:t xml:space="preserve"> (4)–(6) the outcome variable is the volatility of cash flow news, with cash flow news computed </w:t>
      </w:r>
      <w:r w:rsidR="00FA3738">
        <w:rPr>
          <w:rFonts w:ascii="Times New Roman" w:hAnsi="Times New Roman" w:cs="Times New Roman"/>
          <w:sz w:val="24"/>
          <w:szCs w:val="24"/>
          <w:lang w:val="en-US"/>
        </w:rPr>
        <w:t>similar to</w:t>
      </w:r>
      <w:r w:rsidR="008D28D0">
        <w:rPr>
          <w:rFonts w:ascii="Times New Roman" w:hAnsi="Times New Roman" w:cs="Times New Roman"/>
          <w:sz w:val="24"/>
          <w:szCs w:val="24"/>
          <w:lang w:val="en-US"/>
        </w:rPr>
        <w:t xml:space="preserve"> </w:t>
      </w:r>
      <w:hyperlink w:anchor="_ENREF_25" w:tooltip="Da, 2009 #526" w:history="1">
        <w:r w:rsidR="00A4299A">
          <w:rPr>
            <w:rFonts w:ascii="Times New Roman" w:hAnsi="Times New Roman" w:cs="Times New Roman"/>
            <w:sz w:val="24"/>
            <w:szCs w:val="24"/>
            <w:lang w:val="en-US"/>
          </w:rPr>
          <w:fldChar w:fldCharType="begin"/>
        </w:r>
        <w:r w:rsidR="00A4299A">
          <w:rPr>
            <w:rFonts w:ascii="Times New Roman" w:hAnsi="Times New Roman" w:cs="Times New Roman"/>
            <w:sz w:val="24"/>
            <w:szCs w:val="24"/>
            <w:lang w:val="en-US"/>
          </w:rPr>
          <w:instrText xml:space="preserve"> ADDIN EN.CITE &lt;EndNote&gt;&lt;Cite AuthorYear="1"&gt;&lt;Author&gt;Da&lt;/Author&gt;&lt;Year&gt;2009&lt;/Year&gt;&lt;RecNum&gt;526&lt;/RecNum&gt;&lt;DisplayText&gt;Da and Warachka (2009)&lt;/DisplayText&gt;&lt;record&gt;&lt;rec-number&gt;526&lt;/rec-number&gt;&lt;foreign-keys&gt;&lt;key app="EN" db-id="a00ppf5vbz2zw4efraqp9recxrvdwwtasszf" timestamp="1636055770"&gt;526&lt;/key&gt;&lt;/foreign-keys&gt;&lt;ref-type name="Journal Article"&gt;17&lt;/ref-type&gt;&lt;contributors&gt;&lt;authors&gt;&lt;author&gt;Da, Zhi&lt;/author&gt;&lt;author&gt;Warachka, Mitchell Craig&lt;/author&gt;&lt;/authors&gt;&lt;/contributors&gt;&lt;titles&gt;&lt;title&gt;Cashflow risk, systematic earnings revisions, and the cross-section of stock returns&lt;/title&gt;&lt;secondary-title&gt;Journal of Financial Economics&lt;/secondary-title&gt;&lt;/titles&gt;&lt;periodical&gt;&lt;full-title&gt;Journal of Financial Economics&lt;/full-title&gt;&lt;/periodical&gt;&lt;pages&gt;448-468&lt;/pages&gt;&lt;volume&gt;94&lt;/volume&gt;&lt;number&gt;3&lt;/number&gt;&lt;keywords&gt;&lt;keyword&gt;BETA (Finance)&lt;/keyword&gt;&lt;keyword&gt;CORPORATE profits&lt;/keyword&gt;&lt;keyword&gt;EARNINGS trends&lt;/keyword&gt;&lt;keyword&gt;EARNINGS forecasting&lt;/keyword&gt;&lt;keyword&gt;RISK premiums&lt;/keyword&gt;&lt;keyword&gt;RATE of return&lt;/keyword&gt;&lt;keyword&gt;INVESTMENT analysis&lt;/keyword&gt;&lt;keyword&gt;Analyst forecast revisions&lt;/keyword&gt;&lt;keyword&gt;Cashflow risk&lt;/keyword&gt;&lt;/keywords&gt;&lt;dates&gt;&lt;year&gt;2009&lt;/year&gt;&lt;/dates&gt;&lt;isbn&gt;0304405X&lt;/isbn&gt;&lt;accession-num&gt;44699447&lt;/accession-num&gt;&lt;work-type&gt;Article&lt;/work-type&gt;&lt;urls&gt;&lt;related-urls&gt;&lt;url&gt;http://search.ebscohost.com/login.aspx?direct=true&amp;amp;db=buh&amp;amp;AN=44699447&amp;amp;site=ehost-live&lt;/url&gt;&lt;/related-urls&gt;&lt;/urls&gt;&lt;electronic-resource-num&gt;10.1016/j.jfineco.2008.12.008&lt;/electronic-resource-num&gt;&lt;remote-database-name&gt;buh&lt;/remote-database-name&gt;&lt;remote-database-provider&gt;EBSCOhost&lt;/remote-database-provider&gt;&lt;/record&gt;&lt;/Cite&gt;&lt;/EndNote&gt;</w:instrText>
        </w:r>
        <w:r w:rsidR="00A4299A">
          <w:rPr>
            <w:rFonts w:ascii="Times New Roman" w:hAnsi="Times New Roman" w:cs="Times New Roman"/>
            <w:sz w:val="24"/>
            <w:szCs w:val="24"/>
            <w:lang w:val="en-US"/>
          </w:rPr>
          <w:fldChar w:fldCharType="separate"/>
        </w:r>
        <w:r w:rsidR="00A4299A">
          <w:rPr>
            <w:rFonts w:ascii="Times New Roman" w:hAnsi="Times New Roman" w:cs="Times New Roman"/>
            <w:noProof/>
            <w:sz w:val="24"/>
            <w:szCs w:val="24"/>
            <w:lang w:val="en-US"/>
          </w:rPr>
          <w:t>Da and Warachka (2009)</w:t>
        </w:r>
        <w:r w:rsidR="00A4299A">
          <w:rPr>
            <w:rFonts w:ascii="Times New Roman" w:hAnsi="Times New Roman" w:cs="Times New Roman"/>
            <w:sz w:val="24"/>
            <w:szCs w:val="24"/>
            <w:lang w:val="en-US"/>
          </w:rPr>
          <w:fldChar w:fldCharType="end"/>
        </w:r>
      </w:hyperlink>
      <w:r w:rsidR="008D28D0">
        <w:rPr>
          <w:rFonts w:ascii="Times New Roman" w:hAnsi="Times New Roman" w:cs="Times New Roman"/>
          <w:sz w:val="24"/>
          <w:szCs w:val="24"/>
          <w:lang w:val="en-US"/>
        </w:rPr>
        <w:t>.</w:t>
      </w:r>
      <w:r w:rsidR="002F51FD">
        <w:rPr>
          <w:rFonts w:ascii="Times New Roman" w:hAnsi="Times New Roman" w:cs="Times New Roman"/>
          <w:sz w:val="24"/>
          <w:szCs w:val="24"/>
          <w:lang w:val="en-US"/>
        </w:rPr>
        <w:t xml:space="preserve"> </w:t>
      </w:r>
      <w:r w:rsidR="000865CF">
        <w:rPr>
          <w:rFonts w:ascii="Times New Roman" w:hAnsi="Times New Roman" w:cs="Times New Roman"/>
          <w:sz w:val="24"/>
          <w:szCs w:val="24"/>
          <w:lang w:val="en-US"/>
        </w:rPr>
        <w:t>I</w:t>
      </w:r>
      <w:r w:rsidR="008D28D0">
        <w:rPr>
          <w:rFonts w:ascii="Times New Roman" w:hAnsi="Times New Roman" w:cs="Times New Roman"/>
          <w:sz w:val="24"/>
          <w:szCs w:val="24"/>
          <w:lang w:val="en-US"/>
        </w:rPr>
        <w:t xml:space="preserve">n columns (7)–(9), the outcome variable is the dispersion in analysts’ </w:t>
      </w:r>
      <w:r w:rsidR="00FA3738">
        <w:rPr>
          <w:rFonts w:ascii="Times New Roman" w:hAnsi="Times New Roman" w:cs="Times New Roman"/>
          <w:sz w:val="24"/>
          <w:szCs w:val="24"/>
          <w:lang w:val="en-US"/>
        </w:rPr>
        <w:t xml:space="preserve">one-year-ahead </w:t>
      </w:r>
      <w:r w:rsidR="008D28D0">
        <w:rPr>
          <w:rFonts w:ascii="Times New Roman" w:hAnsi="Times New Roman" w:cs="Times New Roman"/>
          <w:sz w:val="24"/>
          <w:szCs w:val="24"/>
          <w:lang w:val="en-US"/>
        </w:rPr>
        <w:t xml:space="preserve">earnings forecasts. </w:t>
      </w:r>
      <w:r w:rsidR="008E0DE1">
        <w:rPr>
          <w:rFonts w:ascii="Times New Roman" w:hAnsi="Times New Roman" w:cs="Times New Roman"/>
          <w:sz w:val="24"/>
          <w:szCs w:val="24"/>
          <w:lang w:val="en-US"/>
        </w:rPr>
        <w:t>For each of these measures</w:t>
      </w:r>
      <w:r w:rsidR="008D28D0">
        <w:rPr>
          <w:rFonts w:ascii="Times New Roman" w:hAnsi="Times New Roman" w:cs="Times New Roman"/>
          <w:sz w:val="24"/>
          <w:szCs w:val="24"/>
          <w:lang w:val="en-US"/>
        </w:rPr>
        <w:t xml:space="preserve">, we find that </w:t>
      </w:r>
      <w:r w:rsidR="008D28D0" w:rsidRPr="008D28D0">
        <w:rPr>
          <w:rFonts w:ascii="Times New Roman" w:hAnsi="Times New Roman" w:cs="Times New Roman"/>
          <w:i/>
          <w:iCs/>
          <w:sz w:val="24"/>
          <w:szCs w:val="24"/>
          <w:lang w:val="en-US"/>
        </w:rPr>
        <w:t>VU</w:t>
      </w:r>
      <w:r w:rsidR="008D28D0">
        <w:rPr>
          <w:rFonts w:ascii="Times New Roman" w:hAnsi="Times New Roman" w:cs="Times New Roman"/>
          <w:sz w:val="24"/>
          <w:szCs w:val="24"/>
          <w:lang w:val="en-US"/>
        </w:rPr>
        <w:t xml:space="preserve"> </w:t>
      </w:r>
      <w:r w:rsidR="00231516">
        <w:rPr>
          <w:rFonts w:ascii="Times New Roman" w:hAnsi="Times New Roman" w:cs="Times New Roman"/>
          <w:sz w:val="24"/>
          <w:szCs w:val="24"/>
          <w:lang w:val="en-US"/>
        </w:rPr>
        <w:t xml:space="preserve">has explanatory power </w:t>
      </w:r>
      <w:r w:rsidR="000865CF">
        <w:rPr>
          <w:rFonts w:ascii="Times New Roman" w:hAnsi="Times New Roman" w:cs="Times New Roman"/>
          <w:sz w:val="24"/>
          <w:szCs w:val="24"/>
          <w:lang w:val="en-US"/>
        </w:rPr>
        <w:t>on its own</w:t>
      </w:r>
      <w:r w:rsidR="008D28D0">
        <w:rPr>
          <w:rFonts w:ascii="Times New Roman" w:hAnsi="Times New Roman" w:cs="Times New Roman"/>
          <w:sz w:val="24"/>
          <w:szCs w:val="24"/>
          <w:lang w:val="en-US"/>
        </w:rPr>
        <w:t xml:space="preserve">, over and above an industry-year benchmark, </w:t>
      </w:r>
      <w:r w:rsidR="008E0DE1">
        <w:rPr>
          <w:rFonts w:ascii="Times New Roman" w:hAnsi="Times New Roman" w:cs="Times New Roman"/>
          <w:sz w:val="24"/>
          <w:szCs w:val="24"/>
          <w:lang w:val="en-US"/>
        </w:rPr>
        <w:t>as well as</w:t>
      </w:r>
      <w:r w:rsidR="008D28D0">
        <w:rPr>
          <w:rFonts w:ascii="Times New Roman" w:hAnsi="Times New Roman" w:cs="Times New Roman"/>
          <w:sz w:val="24"/>
          <w:szCs w:val="24"/>
          <w:lang w:val="en-US"/>
        </w:rPr>
        <w:t xml:space="preserve"> after controlling for other ex-ante proxies for </w:t>
      </w:r>
      <w:r w:rsidR="003278E7">
        <w:rPr>
          <w:rFonts w:ascii="Times New Roman" w:hAnsi="Times New Roman" w:cs="Times New Roman"/>
          <w:sz w:val="24"/>
          <w:szCs w:val="24"/>
          <w:lang w:val="en-US"/>
        </w:rPr>
        <w:t>valuation uncertainty.</w:t>
      </w:r>
    </w:p>
    <w:p w14:paraId="105D8E8E" w14:textId="604004F3" w:rsidR="00A3122C" w:rsidRDefault="002038CB" w:rsidP="00FA7CC5">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Finally, in Panel C we consider the ability of </w:t>
      </w:r>
      <w:r w:rsidRPr="002038CB">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to explain </w:t>
      </w:r>
      <w:r w:rsidR="00004551">
        <w:rPr>
          <w:rFonts w:ascii="Times New Roman" w:hAnsi="Times New Roman" w:cs="Times New Roman"/>
          <w:sz w:val="24"/>
          <w:szCs w:val="24"/>
          <w:lang w:val="en-US"/>
        </w:rPr>
        <w:t>measures</w:t>
      </w:r>
      <w:r>
        <w:rPr>
          <w:rFonts w:ascii="Times New Roman" w:hAnsi="Times New Roman" w:cs="Times New Roman"/>
          <w:sz w:val="24"/>
          <w:szCs w:val="24"/>
          <w:lang w:val="en-US"/>
        </w:rPr>
        <w:t xml:space="preserve"> of uncertainty about</w:t>
      </w:r>
      <w:r w:rsidR="007F3A0C">
        <w:rPr>
          <w:rFonts w:ascii="Times New Roman" w:hAnsi="Times New Roman" w:cs="Times New Roman"/>
          <w:sz w:val="24"/>
          <w:szCs w:val="24"/>
          <w:lang w:val="en-US"/>
        </w:rPr>
        <w:t xml:space="preserve"> future</w:t>
      </w:r>
      <w:r>
        <w:rPr>
          <w:rFonts w:ascii="Times New Roman" w:hAnsi="Times New Roman" w:cs="Times New Roman"/>
          <w:sz w:val="24"/>
          <w:szCs w:val="24"/>
          <w:lang w:val="en-US"/>
        </w:rPr>
        <w:t xml:space="preserve"> growth rates and discount rates.</w:t>
      </w:r>
      <w:r w:rsidR="00B22202">
        <w:rPr>
          <w:rFonts w:ascii="Times New Roman" w:hAnsi="Times New Roman" w:cs="Times New Roman"/>
          <w:sz w:val="24"/>
          <w:szCs w:val="24"/>
          <w:lang w:val="en-US"/>
        </w:rPr>
        <w:t xml:space="preserve"> In columns (1)–(3), the outcome variable is the dispersion in analysts’ forecasted long-term growth. In columns (4)–(6), the outcome variable is the volatility of future market betas (standard deviation of betas estimated in each of the subsequent five years). And in columns (7)–(9), the outcome variable is </w:t>
      </w:r>
      <w:r w:rsidR="00004551">
        <w:rPr>
          <w:rFonts w:ascii="Times New Roman" w:hAnsi="Times New Roman" w:cs="Times New Roman"/>
          <w:sz w:val="24"/>
          <w:szCs w:val="24"/>
          <w:lang w:val="en-US"/>
        </w:rPr>
        <w:t xml:space="preserve">the standard error of the </w:t>
      </w:r>
      <w:r w:rsidR="00231516">
        <w:rPr>
          <w:rFonts w:ascii="Times New Roman" w:hAnsi="Times New Roman" w:cs="Times New Roman"/>
          <w:sz w:val="24"/>
          <w:szCs w:val="24"/>
          <w:lang w:val="en-US"/>
        </w:rPr>
        <w:t>future</w:t>
      </w:r>
      <w:r w:rsidR="00004551">
        <w:rPr>
          <w:rFonts w:ascii="Times New Roman" w:hAnsi="Times New Roman" w:cs="Times New Roman"/>
          <w:sz w:val="24"/>
          <w:szCs w:val="24"/>
          <w:lang w:val="en-US"/>
        </w:rPr>
        <w:t xml:space="preserve"> market beta</w:t>
      </w:r>
      <w:r w:rsidR="00FE43AF">
        <w:rPr>
          <w:rFonts w:ascii="Times New Roman" w:hAnsi="Times New Roman" w:cs="Times New Roman"/>
          <w:sz w:val="24"/>
          <w:szCs w:val="24"/>
          <w:lang w:val="en-US"/>
        </w:rPr>
        <w:t xml:space="preserve"> (estimated over the next year), </w:t>
      </w:r>
      <w:r w:rsidR="00004551">
        <w:rPr>
          <w:rFonts w:ascii="Times New Roman" w:hAnsi="Times New Roman" w:cs="Times New Roman"/>
          <w:sz w:val="24"/>
          <w:szCs w:val="24"/>
          <w:lang w:val="en-US"/>
        </w:rPr>
        <w:t>i.e. beta estimation uncertainty.</w:t>
      </w:r>
      <w:r w:rsidR="00FA16FE">
        <w:rPr>
          <w:rFonts w:ascii="Times New Roman" w:hAnsi="Times New Roman" w:cs="Times New Roman"/>
          <w:sz w:val="24"/>
          <w:szCs w:val="24"/>
          <w:lang w:val="en-US"/>
        </w:rPr>
        <w:t xml:space="preserve"> </w:t>
      </w:r>
      <w:r w:rsidR="00A3122C">
        <w:rPr>
          <w:rFonts w:ascii="Times New Roman" w:hAnsi="Times New Roman" w:cs="Times New Roman"/>
          <w:sz w:val="24"/>
          <w:szCs w:val="24"/>
          <w:lang w:val="en-US"/>
        </w:rPr>
        <w:t xml:space="preserve">For all three outcomes and regardless of the set of controls, we find a positive and statistically significant coefficient on </w:t>
      </w:r>
      <w:r w:rsidR="00A3122C" w:rsidRPr="00A3122C">
        <w:rPr>
          <w:rFonts w:ascii="Times New Roman" w:hAnsi="Times New Roman" w:cs="Times New Roman"/>
          <w:i/>
          <w:iCs/>
          <w:sz w:val="24"/>
          <w:szCs w:val="24"/>
          <w:lang w:val="en-US"/>
        </w:rPr>
        <w:t>VU</w:t>
      </w:r>
      <w:r w:rsidR="00A3122C">
        <w:rPr>
          <w:rFonts w:ascii="Times New Roman" w:hAnsi="Times New Roman" w:cs="Times New Roman"/>
          <w:sz w:val="24"/>
          <w:szCs w:val="24"/>
          <w:lang w:val="en-US"/>
        </w:rPr>
        <w:t>.</w:t>
      </w:r>
    </w:p>
    <w:p w14:paraId="5D131519" w14:textId="562FCA50" w:rsidR="00E71989" w:rsidRDefault="00A3122C" w:rsidP="00CA249D">
      <w:pPr>
        <w:spacing w:line="480" w:lineRule="auto"/>
        <w:ind w:firstLine="567"/>
        <w:jc w:val="both"/>
        <w:rPr>
          <w:rFonts w:ascii="Times New Roman" w:hAnsi="Times New Roman" w:cs="Times New Roman"/>
          <w:b/>
          <w:bCs/>
          <w:sz w:val="24"/>
          <w:szCs w:val="24"/>
        </w:rPr>
      </w:pPr>
      <w:r>
        <w:rPr>
          <w:rFonts w:ascii="Times New Roman" w:hAnsi="Times New Roman" w:cs="Times New Roman"/>
          <w:sz w:val="24"/>
          <w:szCs w:val="24"/>
          <w:lang w:val="en-US"/>
        </w:rPr>
        <w:t xml:space="preserve">Overall, we conclude that our measure of valuation uncertainty is predictive of cash flow uncertainty, discount rate uncertainty, and total valuation uncertainty measured </w:t>
      </w:r>
      <w:r w:rsidRPr="00231516">
        <w:rPr>
          <w:rFonts w:ascii="Times New Roman" w:hAnsi="Times New Roman" w:cs="Times New Roman"/>
          <w:sz w:val="24"/>
          <w:szCs w:val="24"/>
          <w:lang w:val="en-US"/>
        </w:rPr>
        <w:t>ex-post</w:t>
      </w:r>
      <w:r>
        <w:rPr>
          <w:rFonts w:ascii="Times New Roman" w:hAnsi="Times New Roman" w:cs="Times New Roman"/>
          <w:sz w:val="24"/>
          <w:szCs w:val="24"/>
          <w:lang w:val="en-US"/>
        </w:rPr>
        <w:t xml:space="preserve"> or </w:t>
      </w:r>
      <w:r w:rsidRPr="00231516">
        <w:rPr>
          <w:rFonts w:ascii="Times New Roman" w:hAnsi="Times New Roman" w:cs="Times New Roman"/>
          <w:sz w:val="24"/>
          <w:szCs w:val="24"/>
          <w:lang w:val="en-US"/>
        </w:rPr>
        <w:t>contemporaneously</w:t>
      </w:r>
      <w:r>
        <w:rPr>
          <w:rFonts w:ascii="Times New Roman" w:hAnsi="Times New Roman" w:cs="Times New Roman"/>
          <w:sz w:val="24"/>
          <w:szCs w:val="24"/>
          <w:lang w:val="en-US"/>
        </w:rPr>
        <w:t xml:space="preserve"> utilizing the perceptions of market participants and analysts. The predictive </w:t>
      </w:r>
      <w:r>
        <w:rPr>
          <w:rFonts w:ascii="Times New Roman" w:hAnsi="Times New Roman" w:cs="Times New Roman"/>
          <w:sz w:val="24"/>
          <w:szCs w:val="24"/>
          <w:lang w:val="en-US"/>
        </w:rPr>
        <w:lastRenderedPageBreak/>
        <w:t>power of our new measure is incremental to a simple benchmark of dispersion in industry-year valuation multiples and to other ex-ante proxies for valuation uncertainty.</w:t>
      </w:r>
    </w:p>
    <w:p w14:paraId="3C747425" w14:textId="2A6B5F2C" w:rsidR="0058673D" w:rsidRPr="009867A2" w:rsidRDefault="0058673D" w:rsidP="009867A2">
      <w:pPr>
        <w:spacing w:after="0" w:line="480" w:lineRule="auto"/>
        <w:jc w:val="both"/>
        <w:rPr>
          <w:rFonts w:ascii="Times New Roman" w:hAnsi="Times New Roman" w:cs="Times New Roman"/>
          <w:b/>
          <w:bCs/>
          <w:sz w:val="24"/>
          <w:szCs w:val="24"/>
        </w:rPr>
      </w:pPr>
      <w:r w:rsidRPr="009867A2">
        <w:rPr>
          <w:rFonts w:ascii="Times New Roman" w:hAnsi="Times New Roman" w:cs="Times New Roman"/>
          <w:b/>
          <w:bCs/>
          <w:sz w:val="24"/>
          <w:szCs w:val="24"/>
        </w:rPr>
        <w:t xml:space="preserve">Validation using </w:t>
      </w:r>
      <w:r w:rsidR="002F51FD">
        <w:rPr>
          <w:rFonts w:ascii="Times New Roman" w:hAnsi="Times New Roman" w:cs="Times New Roman"/>
          <w:b/>
          <w:bCs/>
          <w:sz w:val="24"/>
          <w:szCs w:val="24"/>
        </w:rPr>
        <w:t>P</w:t>
      </w:r>
      <w:r w:rsidRPr="009867A2">
        <w:rPr>
          <w:rFonts w:ascii="Times New Roman" w:hAnsi="Times New Roman" w:cs="Times New Roman"/>
          <w:b/>
          <w:bCs/>
          <w:sz w:val="24"/>
          <w:szCs w:val="24"/>
        </w:rPr>
        <w:t xml:space="preserve">rice </w:t>
      </w:r>
      <w:r w:rsidR="002F51FD">
        <w:rPr>
          <w:rFonts w:ascii="Times New Roman" w:hAnsi="Times New Roman" w:cs="Times New Roman"/>
          <w:b/>
          <w:bCs/>
          <w:sz w:val="24"/>
          <w:szCs w:val="24"/>
        </w:rPr>
        <w:t>R</w:t>
      </w:r>
      <w:r w:rsidRPr="009867A2">
        <w:rPr>
          <w:rFonts w:ascii="Times New Roman" w:hAnsi="Times New Roman" w:cs="Times New Roman"/>
          <w:b/>
          <w:bCs/>
          <w:sz w:val="24"/>
          <w:szCs w:val="24"/>
        </w:rPr>
        <w:t xml:space="preserve">anges from IPO </w:t>
      </w:r>
      <w:r w:rsidR="002F51FD">
        <w:rPr>
          <w:rFonts w:ascii="Times New Roman" w:hAnsi="Times New Roman" w:cs="Times New Roman"/>
          <w:b/>
          <w:bCs/>
          <w:sz w:val="24"/>
          <w:szCs w:val="24"/>
        </w:rPr>
        <w:t>P</w:t>
      </w:r>
      <w:r w:rsidRPr="009867A2">
        <w:rPr>
          <w:rFonts w:ascii="Times New Roman" w:hAnsi="Times New Roman" w:cs="Times New Roman"/>
          <w:b/>
          <w:bCs/>
          <w:sz w:val="24"/>
          <w:szCs w:val="24"/>
        </w:rPr>
        <w:t>rospectuses</w:t>
      </w:r>
    </w:p>
    <w:p w14:paraId="2349A420" w14:textId="7ACA7443" w:rsidR="00D12E6B" w:rsidRDefault="00A85D58" w:rsidP="005E106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Our measure is supposed to reflect the </w:t>
      </w:r>
      <w:r w:rsidR="00F143EC">
        <w:rPr>
          <w:rFonts w:ascii="Times New Roman" w:hAnsi="Times New Roman" w:cs="Times New Roman"/>
          <w:sz w:val="24"/>
          <w:szCs w:val="24"/>
        </w:rPr>
        <w:t xml:space="preserve">spread of likely fundamental equity values. While we do not observe such spreads quoted in financial markets, there are instances in which valuation experts </w:t>
      </w:r>
      <w:r w:rsidR="004F0CDB">
        <w:rPr>
          <w:rFonts w:ascii="Times New Roman" w:hAnsi="Times New Roman" w:cs="Times New Roman"/>
          <w:sz w:val="24"/>
          <w:szCs w:val="24"/>
        </w:rPr>
        <w:t>do provide them</w:t>
      </w:r>
      <w:r w:rsidR="00F143EC">
        <w:rPr>
          <w:rFonts w:ascii="Times New Roman" w:hAnsi="Times New Roman" w:cs="Times New Roman"/>
          <w:sz w:val="24"/>
          <w:szCs w:val="24"/>
        </w:rPr>
        <w:t xml:space="preserve">. One such instance is the case of IPOs. As part of the IPO process, the </w:t>
      </w:r>
      <w:r w:rsidR="00970002">
        <w:rPr>
          <w:rFonts w:ascii="Times New Roman" w:hAnsi="Times New Roman" w:cs="Times New Roman"/>
          <w:sz w:val="24"/>
          <w:szCs w:val="24"/>
        </w:rPr>
        <w:t>issuer</w:t>
      </w:r>
      <w:r w:rsidR="00F143EC">
        <w:rPr>
          <w:rFonts w:ascii="Times New Roman" w:hAnsi="Times New Roman" w:cs="Times New Roman"/>
          <w:sz w:val="24"/>
          <w:szCs w:val="24"/>
        </w:rPr>
        <w:t xml:space="preserve"> furnishes a prospectus containing a preliminary price range – the range in which the stock is expected to be priced </w:t>
      </w:r>
      <w:r w:rsidR="00923261">
        <w:rPr>
          <w:rFonts w:ascii="Times New Roman" w:hAnsi="Times New Roman" w:cs="Times New Roman"/>
          <w:sz w:val="24"/>
          <w:szCs w:val="24"/>
        </w:rPr>
        <w:t xml:space="preserve">in </w:t>
      </w:r>
      <w:r w:rsidR="00F143EC">
        <w:rPr>
          <w:rFonts w:ascii="Times New Roman" w:hAnsi="Times New Roman" w:cs="Times New Roman"/>
          <w:sz w:val="24"/>
          <w:szCs w:val="24"/>
        </w:rPr>
        <w:t>the offering.</w:t>
      </w:r>
      <w:r w:rsidR="00D12E6B">
        <w:rPr>
          <w:rFonts w:ascii="Times New Roman" w:hAnsi="Times New Roman" w:cs="Times New Roman"/>
          <w:sz w:val="24"/>
          <w:szCs w:val="24"/>
        </w:rPr>
        <w:t xml:space="preserve"> This pric</w:t>
      </w:r>
      <w:r w:rsidR="00CF3026">
        <w:rPr>
          <w:rFonts w:ascii="Times New Roman" w:hAnsi="Times New Roman" w:cs="Times New Roman"/>
          <w:sz w:val="24"/>
          <w:szCs w:val="24"/>
        </w:rPr>
        <w:t>e</w:t>
      </w:r>
      <w:r w:rsidR="00D12E6B">
        <w:rPr>
          <w:rFonts w:ascii="Times New Roman" w:hAnsi="Times New Roman" w:cs="Times New Roman"/>
          <w:sz w:val="24"/>
          <w:szCs w:val="24"/>
        </w:rPr>
        <w:t xml:space="preserve"> range is the result of </w:t>
      </w:r>
      <w:r w:rsidR="00CF3026">
        <w:rPr>
          <w:rFonts w:ascii="Times New Roman" w:hAnsi="Times New Roman" w:cs="Times New Roman"/>
          <w:sz w:val="24"/>
          <w:szCs w:val="24"/>
        </w:rPr>
        <w:t xml:space="preserve">extensive </w:t>
      </w:r>
      <w:r w:rsidR="00D12E6B">
        <w:rPr>
          <w:rFonts w:ascii="Times New Roman" w:hAnsi="Times New Roman" w:cs="Times New Roman"/>
          <w:sz w:val="24"/>
          <w:szCs w:val="24"/>
        </w:rPr>
        <w:t>valuation analysis by the issu</w:t>
      </w:r>
      <w:r w:rsidR="004B7DDD">
        <w:rPr>
          <w:rFonts w:ascii="Times New Roman" w:hAnsi="Times New Roman" w:cs="Times New Roman"/>
          <w:sz w:val="24"/>
          <w:szCs w:val="24"/>
        </w:rPr>
        <w:t>ing firm</w:t>
      </w:r>
      <w:r w:rsidR="00D12E6B">
        <w:rPr>
          <w:rFonts w:ascii="Times New Roman" w:hAnsi="Times New Roman" w:cs="Times New Roman"/>
          <w:sz w:val="24"/>
          <w:szCs w:val="24"/>
        </w:rPr>
        <w:t xml:space="preserve"> in close co-operation with its </w:t>
      </w:r>
      <w:r w:rsidR="00CF3026">
        <w:rPr>
          <w:rFonts w:ascii="Times New Roman" w:hAnsi="Times New Roman" w:cs="Times New Roman"/>
          <w:sz w:val="24"/>
          <w:szCs w:val="24"/>
        </w:rPr>
        <w:t>lead underwriter</w:t>
      </w:r>
      <w:r w:rsidR="00875B00">
        <w:rPr>
          <w:rFonts w:ascii="Times New Roman" w:hAnsi="Times New Roman" w:cs="Times New Roman"/>
          <w:sz w:val="24"/>
          <w:szCs w:val="24"/>
        </w:rPr>
        <w:t>.</w:t>
      </w:r>
      <w:r w:rsidR="004B7DDD">
        <w:rPr>
          <w:rFonts w:ascii="Times New Roman" w:hAnsi="Times New Roman" w:cs="Times New Roman"/>
          <w:sz w:val="24"/>
          <w:szCs w:val="24"/>
        </w:rPr>
        <w:t xml:space="preserve"> </w:t>
      </w:r>
      <w:r w:rsidR="00875B00">
        <w:rPr>
          <w:rFonts w:ascii="Times New Roman" w:hAnsi="Times New Roman" w:cs="Times New Roman"/>
          <w:sz w:val="24"/>
          <w:szCs w:val="24"/>
        </w:rPr>
        <w:t>W</w:t>
      </w:r>
      <w:r w:rsidR="009848DF">
        <w:rPr>
          <w:rFonts w:ascii="Times New Roman" w:hAnsi="Times New Roman" w:cs="Times New Roman"/>
          <w:sz w:val="24"/>
          <w:szCs w:val="24"/>
        </w:rPr>
        <w:t xml:space="preserve">ider price ranges </w:t>
      </w:r>
      <w:r w:rsidR="004B7DDD">
        <w:rPr>
          <w:rFonts w:ascii="Times New Roman" w:hAnsi="Times New Roman" w:cs="Times New Roman"/>
          <w:sz w:val="24"/>
          <w:szCs w:val="24"/>
        </w:rPr>
        <w:t>indicate</w:t>
      </w:r>
      <w:r w:rsidR="00AA3C48">
        <w:rPr>
          <w:rFonts w:ascii="Times New Roman" w:hAnsi="Times New Roman" w:cs="Times New Roman"/>
          <w:sz w:val="24"/>
          <w:szCs w:val="24"/>
        </w:rPr>
        <w:t xml:space="preserve"> </w:t>
      </w:r>
      <w:r w:rsidR="009848DF">
        <w:rPr>
          <w:rFonts w:ascii="Times New Roman" w:hAnsi="Times New Roman" w:cs="Times New Roman"/>
          <w:sz w:val="24"/>
          <w:szCs w:val="24"/>
        </w:rPr>
        <w:t xml:space="preserve">greater uncertainty about the ultimate </w:t>
      </w:r>
      <w:r w:rsidR="00AA3C48">
        <w:rPr>
          <w:rFonts w:ascii="Times New Roman" w:hAnsi="Times New Roman" w:cs="Times New Roman"/>
          <w:sz w:val="24"/>
          <w:szCs w:val="24"/>
        </w:rPr>
        <w:t>offer price</w:t>
      </w:r>
      <w:r w:rsidR="009848DF">
        <w:rPr>
          <w:rFonts w:ascii="Times New Roman" w:hAnsi="Times New Roman" w:cs="Times New Roman"/>
          <w:sz w:val="24"/>
          <w:szCs w:val="24"/>
        </w:rPr>
        <w:t>.</w:t>
      </w:r>
      <w:r w:rsidR="00F143EC">
        <w:rPr>
          <w:rFonts w:ascii="Times New Roman" w:hAnsi="Times New Roman" w:cs="Times New Roman"/>
          <w:sz w:val="24"/>
          <w:szCs w:val="24"/>
        </w:rPr>
        <w:t xml:space="preserve"> </w:t>
      </w:r>
      <w:r w:rsidR="00D12E6B">
        <w:rPr>
          <w:rFonts w:ascii="Times New Roman" w:hAnsi="Times New Roman" w:cs="Times New Roman"/>
          <w:sz w:val="24"/>
          <w:szCs w:val="24"/>
        </w:rPr>
        <w:t xml:space="preserve">We posit that </w:t>
      </w:r>
      <w:r w:rsidR="009848DF">
        <w:rPr>
          <w:rFonts w:ascii="Times New Roman" w:hAnsi="Times New Roman" w:cs="Times New Roman"/>
          <w:sz w:val="24"/>
          <w:szCs w:val="24"/>
        </w:rPr>
        <w:t>the width of this price range maps perfectly into our definition of valuation uncertainty</w:t>
      </w:r>
      <w:r w:rsidR="00923261">
        <w:rPr>
          <w:rFonts w:ascii="Times New Roman" w:hAnsi="Times New Roman" w:cs="Times New Roman"/>
          <w:sz w:val="24"/>
          <w:szCs w:val="24"/>
        </w:rPr>
        <w:t>, making it</w:t>
      </w:r>
      <w:r w:rsidR="009848DF">
        <w:rPr>
          <w:rFonts w:ascii="Times New Roman" w:hAnsi="Times New Roman" w:cs="Times New Roman"/>
          <w:sz w:val="24"/>
          <w:szCs w:val="24"/>
        </w:rPr>
        <w:t xml:space="preserve"> a</w:t>
      </w:r>
      <w:r w:rsidR="00923261">
        <w:rPr>
          <w:rFonts w:ascii="Times New Roman" w:hAnsi="Times New Roman" w:cs="Times New Roman"/>
          <w:sz w:val="24"/>
          <w:szCs w:val="24"/>
        </w:rPr>
        <w:t xml:space="preserve"> </w:t>
      </w:r>
      <w:r w:rsidR="00A5738F">
        <w:rPr>
          <w:rFonts w:ascii="Times New Roman" w:hAnsi="Times New Roman" w:cs="Times New Roman"/>
          <w:sz w:val="24"/>
          <w:szCs w:val="24"/>
        </w:rPr>
        <w:t>credible</w:t>
      </w:r>
      <w:r w:rsidR="00923261">
        <w:rPr>
          <w:rFonts w:ascii="Times New Roman" w:hAnsi="Times New Roman" w:cs="Times New Roman"/>
          <w:sz w:val="24"/>
          <w:szCs w:val="24"/>
        </w:rPr>
        <w:t xml:space="preserve"> validation</w:t>
      </w:r>
      <w:r w:rsidR="009848DF">
        <w:rPr>
          <w:rFonts w:ascii="Times New Roman" w:hAnsi="Times New Roman" w:cs="Times New Roman"/>
          <w:sz w:val="24"/>
          <w:szCs w:val="24"/>
        </w:rPr>
        <w:t xml:space="preserve"> benchmark</w:t>
      </w:r>
      <w:r w:rsidR="00923261">
        <w:rPr>
          <w:rFonts w:ascii="Times New Roman" w:hAnsi="Times New Roman" w:cs="Times New Roman"/>
          <w:sz w:val="24"/>
          <w:szCs w:val="24"/>
        </w:rPr>
        <w:t>.</w:t>
      </w:r>
      <w:r w:rsidR="009848DF">
        <w:rPr>
          <w:rFonts w:ascii="Times New Roman" w:hAnsi="Times New Roman" w:cs="Times New Roman"/>
          <w:sz w:val="24"/>
          <w:szCs w:val="24"/>
        </w:rPr>
        <w:t xml:space="preserve"> </w:t>
      </w:r>
    </w:p>
    <w:p w14:paraId="1876E66C" w14:textId="4E6B4F3B" w:rsidR="00970002" w:rsidRPr="003423C4" w:rsidRDefault="00AA3C48" w:rsidP="005E106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To that end, we collect a sample of IPOs during our sample period from Refinitiv Workspace (formerly Thomson Reuters SDC). We apply the following selection criteria</w:t>
      </w:r>
      <w:r w:rsidR="005D27D0">
        <w:rPr>
          <w:rFonts w:ascii="Times New Roman" w:hAnsi="Times New Roman" w:cs="Times New Roman"/>
          <w:sz w:val="24"/>
          <w:szCs w:val="24"/>
        </w:rPr>
        <w:t xml:space="preserve"> common in the IPO literature</w:t>
      </w:r>
      <w:r>
        <w:rPr>
          <w:rFonts w:ascii="Times New Roman" w:hAnsi="Times New Roman" w:cs="Times New Roman"/>
          <w:sz w:val="24"/>
          <w:szCs w:val="24"/>
        </w:rPr>
        <w:t>: i) issue type is “IPO”</w:t>
      </w:r>
      <w:r w:rsidR="00D12E6B">
        <w:rPr>
          <w:rFonts w:ascii="Times New Roman" w:hAnsi="Times New Roman" w:cs="Times New Roman"/>
          <w:sz w:val="24"/>
          <w:szCs w:val="24"/>
        </w:rPr>
        <w:t>;</w:t>
      </w:r>
      <w:r>
        <w:rPr>
          <w:rFonts w:ascii="Times New Roman" w:hAnsi="Times New Roman" w:cs="Times New Roman"/>
          <w:sz w:val="24"/>
          <w:szCs w:val="24"/>
        </w:rPr>
        <w:t xml:space="preserve"> ii) transaction status is “Live” or “Cancelled”</w:t>
      </w:r>
      <w:r w:rsidR="00D12E6B">
        <w:rPr>
          <w:rFonts w:ascii="Times New Roman" w:hAnsi="Times New Roman" w:cs="Times New Roman"/>
          <w:sz w:val="24"/>
          <w:szCs w:val="24"/>
        </w:rPr>
        <w:t>;</w:t>
      </w:r>
      <w:r>
        <w:rPr>
          <w:rFonts w:ascii="Times New Roman" w:hAnsi="Times New Roman" w:cs="Times New Roman"/>
          <w:sz w:val="24"/>
          <w:szCs w:val="24"/>
        </w:rPr>
        <w:t xml:space="preserve"> iii) issuer nation is “United States”</w:t>
      </w:r>
      <w:r w:rsidR="00D12E6B">
        <w:rPr>
          <w:rFonts w:ascii="Times New Roman" w:hAnsi="Times New Roman" w:cs="Times New Roman"/>
          <w:sz w:val="24"/>
          <w:szCs w:val="24"/>
        </w:rPr>
        <w:t>;</w:t>
      </w:r>
      <w:r>
        <w:rPr>
          <w:rFonts w:ascii="Times New Roman" w:hAnsi="Times New Roman" w:cs="Times New Roman"/>
          <w:sz w:val="24"/>
          <w:szCs w:val="24"/>
        </w:rPr>
        <w:t xml:space="preserve"> iv) </w:t>
      </w:r>
      <w:r w:rsidR="00D12E6B">
        <w:rPr>
          <w:rFonts w:ascii="Times New Roman" w:hAnsi="Times New Roman" w:cs="Times New Roman"/>
          <w:sz w:val="24"/>
          <w:szCs w:val="24"/>
        </w:rPr>
        <w:t>issuer stock exchange is “New York Stock Exchange”</w:t>
      </w:r>
      <w:r w:rsidR="005E023D">
        <w:rPr>
          <w:rFonts w:ascii="Times New Roman" w:hAnsi="Times New Roman" w:cs="Times New Roman"/>
          <w:sz w:val="24"/>
          <w:szCs w:val="24"/>
        </w:rPr>
        <w:t>,</w:t>
      </w:r>
      <w:r w:rsidR="00D12E6B">
        <w:rPr>
          <w:rFonts w:ascii="Times New Roman" w:hAnsi="Times New Roman" w:cs="Times New Roman"/>
          <w:sz w:val="24"/>
          <w:szCs w:val="24"/>
        </w:rPr>
        <w:t xml:space="preserve"> “Nasdaq”, or “American”; v) security type </w:t>
      </w:r>
      <w:r w:rsidR="004B7DDD">
        <w:rPr>
          <w:rFonts w:ascii="Times New Roman" w:hAnsi="Times New Roman" w:cs="Times New Roman"/>
          <w:sz w:val="24"/>
          <w:szCs w:val="24"/>
        </w:rPr>
        <w:t>is common/ordinary stock</w:t>
      </w:r>
      <w:r w:rsidR="005D27D0">
        <w:rPr>
          <w:rFonts w:ascii="Times New Roman" w:hAnsi="Times New Roman" w:cs="Times New Roman"/>
          <w:sz w:val="24"/>
          <w:szCs w:val="24"/>
        </w:rPr>
        <w:t>.</w:t>
      </w:r>
      <w:r w:rsidR="00D12E6B">
        <w:rPr>
          <w:rFonts w:ascii="Times New Roman" w:hAnsi="Times New Roman" w:cs="Times New Roman"/>
          <w:sz w:val="24"/>
          <w:szCs w:val="24"/>
        </w:rPr>
        <w:t xml:space="preserve"> </w:t>
      </w:r>
      <w:r w:rsidR="005D27D0">
        <w:rPr>
          <w:rFonts w:ascii="Times New Roman" w:hAnsi="Times New Roman" w:cs="Times New Roman"/>
          <w:sz w:val="24"/>
          <w:szCs w:val="24"/>
        </w:rPr>
        <w:t xml:space="preserve">For our purposes we further require </w:t>
      </w:r>
      <w:r w:rsidR="00D12E6B">
        <w:rPr>
          <w:rFonts w:ascii="Times New Roman" w:hAnsi="Times New Roman" w:cs="Times New Roman"/>
          <w:sz w:val="24"/>
          <w:szCs w:val="24"/>
        </w:rPr>
        <w:t xml:space="preserve">the offer price range </w:t>
      </w:r>
      <w:r w:rsidR="005D27D0">
        <w:rPr>
          <w:rFonts w:ascii="Times New Roman" w:hAnsi="Times New Roman" w:cs="Times New Roman"/>
          <w:sz w:val="24"/>
          <w:szCs w:val="24"/>
        </w:rPr>
        <w:t>to be</w:t>
      </w:r>
      <w:r w:rsidR="00D12E6B">
        <w:rPr>
          <w:rFonts w:ascii="Times New Roman" w:hAnsi="Times New Roman" w:cs="Times New Roman"/>
          <w:sz w:val="24"/>
          <w:szCs w:val="24"/>
        </w:rPr>
        <w:t xml:space="preserve"> non-missing</w:t>
      </w:r>
      <w:r w:rsidR="00875B00">
        <w:rPr>
          <w:rFonts w:ascii="Times New Roman" w:hAnsi="Times New Roman" w:cs="Times New Roman"/>
          <w:sz w:val="24"/>
          <w:szCs w:val="24"/>
        </w:rPr>
        <w:t xml:space="preserve"> and non-zero</w:t>
      </w:r>
      <w:r w:rsidR="00D12E6B">
        <w:rPr>
          <w:rFonts w:ascii="Times New Roman" w:hAnsi="Times New Roman" w:cs="Times New Roman"/>
          <w:sz w:val="24"/>
          <w:szCs w:val="24"/>
        </w:rPr>
        <w:t>. We</w:t>
      </w:r>
      <w:r w:rsidR="005D27D0">
        <w:rPr>
          <w:rFonts w:ascii="Times New Roman" w:hAnsi="Times New Roman" w:cs="Times New Roman"/>
          <w:sz w:val="24"/>
          <w:szCs w:val="24"/>
        </w:rPr>
        <w:t xml:space="preserve"> </w:t>
      </w:r>
      <w:r w:rsidR="00D12E6B">
        <w:rPr>
          <w:rFonts w:ascii="Times New Roman" w:hAnsi="Times New Roman" w:cs="Times New Roman"/>
          <w:sz w:val="24"/>
          <w:szCs w:val="24"/>
        </w:rPr>
        <w:t xml:space="preserve">match the resulting sample with </w:t>
      </w:r>
      <w:proofErr w:type="spellStart"/>
      <w:r w:rsidR="00D12E6B">
        <w:rPr>
          <w:rFonts w:ascii="Times New Roman" w:hAnsi="Times New Roman" w:cs="Times New Roman"/>
          <w:sz w:val="24"/>
          <w:szCs w:val="24"/>
        </w:rPr>
        <w:t>Compustat</w:t>
      </w:r>
      <w:proofErr w:type="spellEnd"/>
      <w:r w:rsidR="005D27D0">
        <w:rPr>
          <w:rFonts w:ascii="Times New Roman" w:hAnsi="Times New Roman" w:cs="Times New Roman"/>
          <w:sz w:val="24"/>
          <w:szCs w:val="24"/>
        </w:rPr>
        <w:t xml:space="preserve"> </w:t>
      </w:r>
      <w:r w:rsidR="00CF3026">
        <w:rPr>
          <w:rFonts w:ascii="Times New Roman" w:hAnsi="Times New Roman" w:cs="Times New Roman"/>
          <w:sz w:val="24"/>
          <w:szCs w:val="24"/>
        </w:rPr>
        <w:t xml:space="preserve">fundamentals </w:t>
      </w:r>
      <w:r w:rsidR="005D27D0">
        <w:rPr>
          <w:rFonts w:ascii="Times New Roman" w:hAnsi="Times New Roman" w:cs="Times New Roman"/>
          <w:sz w:val="24"/>
          <w:szCs w:val="24"/>
        </w:rPr>
        <w:t>using</w:t>
      </w:r>
      <w:r w:rsidR="00753014">
        <w:rPr>
          <w:rFonts w:ascii="Times New Roman" w:hAnsi="Times New Roman" w:cs="Times New Roman"/>
          <w:sz w:val="24"/>
          <w:szCs w:val="24"/>
        </w:rPr>
        <w:t xml:space="preserve"> issuer</w:t>
      </w:r>
      <w:r w:rsidR="005D27D0">
        <w:rPr>
          <w:rFonts w:ascii="Times New Roman" w:hAnsi="Times New Roman" w:cs="Times New Roman"/>
          <w:sz w:val="24"/>
          <w:szCs w:val="24"/>
        </w:rPr>
        <w:t xml:space="preserve"> CUSIPs</w:t>
      </w:r>
      <w:r w:rsidR="00D12E6B">
        <w:rPr>
          <w:rFonts w:ascii="Times New Roman" w:hAnsi="Times New Roman" w:cs="Times New Roman"/>
          <w:sz w:val="24"/>
          <w:szCs w:val="24"/>
        </w:rPr>
        <w:t xml:space="preserve"> such that the fiscal year-end is within 365 days of the IPO filing date.</w:t>
      </w:r>
      <w:r w:rsidR="005D27D0">
        <w:rPr>
          <w:rFonts w:ascii="Times New Roman" w:hAnsi="Times New Roman" w:cs="Times New Roman"/>
          <w:sz w:val="24"/>
          <w:szCs w:val="24"/>
        </w:rPr>
        <w:t xml:space="preserve"> Finally, we require non-missing valuation model inputs in order to obtain </w:t>
      </w:r>
      <w:r w:rsidR="005D27D0" w:rsidRPr="00146185">
        <w:rPr>
          <w:rFonts w:ascii="Times New Roman" w:hAnsi="Times New Roman" w:cs="Times New Roman"/>
          <w:i/>
          <w:iCs/>
          <w:sz w:val="24"/>
          <w:szCs w:val="24"/>
        </w:rPr>
        <w:t>VU</w:t>
      </w:r>
      <w:r w:rsidR="005D27D0">
        <w:rPr>
          <w:rFonts w:ascii="Times New Roman" w:hAnsi="Times New Roman" w:cs="Times New Roman"/>
          <w:sz w:val="24"/>
          <w:szCs w:val="24"/>
        </w:rPr>
        <w:t xml:space="preserve"> by means of out-of-sample prediction using the quantile regression coefficients for the corresponding industry-year. </w:t>
      </w:r>
      <w:r w:rsidR="00970002">
        <w:rPr>
          <w:rFonts w:ascii="Times New Roman" w:hAnsi="Times New Roman" w:cs="Times New Roman"/>
          <w:sz w:val="24"/>
          <w:szCs w:val="24"/>
        </w:rPr>
        <w:t xml:space="preserve">Similar to our </w:t>
      </w:r>
      <w:r w:rsidR="00970002" w:rsidRPr="00146185">
        <w:rPr>
          <w:rFonts w:ascii="Times New Roman" w:hAnsi="Times New Roman" w:cs="Times New Roman"/>
          <w:i/>
          <w:iCs/>
          <w:sz w:val="24"/>
          <w:szCs w:val="24"/>
        </w:rPr>
        <w:t>VU</w:t>
      </w:r>
      <w:r w:rsidR="00970002">
        <w:rPr>
          <w:rFonts w:ascii="Times New Roman" w:hAnsi="Times New Roman" w:cs="Times New Roman"/>
          <w:sz w:val="24"/>
          <w:szCs w:val="24"/>
        </w:rPr>
        <w:t xml:space="preserve"> measure, w</w:t>
      </w:r>
      <w:r w:rsidR="005D27D0">
        <w:rPr>
          <w:rFonts w:ascii="Times New Roman" w:hAnsi="Times New Roman" w:cs="Times New Roman"/>
          <w:sz w:val="24"/>
          <w:szCs w:val="24"/>
        </w:rPr>
        <w:t xml:space="preserve">e define </w:t>
      </w:r>
      <w:r w:rsidR="005D27D0" w:rsidRPr="00970002">
        <w:rPr>
          <w:rFonts w:ascii="Times New Roman" w:hAnsi="Times New Roman" w:cs="Times New Roman"/>
          <w:i/>
          <w:iCs/>
          <w:sz w:val="24"/>
          <w:szCs w:val="24"/>
        </w:rPr>
        <w:t xml:space="preserve">IPO </w:t>
      </w:r>
      <w:r w:rsidR="00970002" w:rsidRPr="00970002">
        <w:rPr>
          <w:rFonts w:ascii="Times New Roman" w:hAnsi="Times New Roman" w:cs="Times New Roman"/>
          <w:i/>
          <w:iCs/>
          <w:sz w:val="24"/>
          <w:szCs w:val="24"/>
        </w:rPr>
        <w:t>P</w:t>
      </w:r>
      <w:r w:rsidR="005D27D0" w:rsidRPr="00970002">
        <w:rPr>
          <w:rFonts w:ascii="Times New Roman" w:hAnsi="Times New Roman" w:cs="Times New Roman"/>
          <w:i/>
          <w:iCs/>
          <w:sz w:val="24"/>
          <w:szCs w:val="24"/>
        </w:rPr>
        <w:t xml:space="preserve">rice </w:t>
      </w:r>
      <w:r w:rsidR="00970002" w:rsidRPr="00970002">
        <w:rPr>
          <w:rFonts w:ascii="Times New Roman" w:hAnsi="Times New Roman" w:cs="Times New Roman"/>
          <w:i/>
          <w:iCs/>
          <w:sz w:val="24"/>
          <w:szCs w:val="24"/>
        </w:rPr>
        <w:t>S</w:t>
      </w:r>
      <w:r w:rsidR="005D27D0" w:rsidRPr="00970002">
        <w:rPr>
          <w:rFonts w:ascii="Times New Roman" w:hAnsi="Times New Roman" w:cs="Times New Roman"/>
          <w:i/>
          <w:iCs/>
          <w:sz w:val="24"/>
          <w:szCs w:val="24"/>
        </w:rPr>
        <w:t>pread</w:t>
      </w:r>
      <w:r w:rsidR="005D27D0">
        <w:rPr>
          <w:rFonts w:ascii="Times New Roman" w:hAnsi="Times New Roman" w:cs="Times New Roman"/>
          <w:sz w:val="24"/>
          <w:szCs w:val="24"/>
        </w:rPr>
        <w:t xml:space="preserve"> as</w:t>
      </w:r>
      <w:r w:rsidR="00970002">
        <w:rPr>
          <w:rFonts w:ascii="Times New Roman" w:hAnsi="Times New Roman" w:cs="Times New Roman"/>
          <w:sz w:val="24"/>
          <w:szCs w:val="24"/>
        </w:rPr>
        <w:t xml:space="preserve"> the difference between the high and low filing prices, scaled by their mid-point. Our final sample contains 1,539 IPOs</w:t>
      </w:r>
      <w:r w:rsidR="004F0CDB">
        <w:rPr>
          <w:rFonts w:ascii="Times New Roman" w:hAnsi="Times New Roman" w:cs="Times New Roman"/>
          <w:sz w:val="24"/>
          <w:szCs w:val="24"/>
        </w:rPr>
        <w:t xml:space="preserve"> with usable </w:t>
      </w:r>
      <w:r w:rsidR="00102EB9">
        <w:rPr>
          <w:rFonts w:ascii="Times New Roman" w:hAnsi="Times New Roman" w:cs="Times New Roman"/>
          <w:sz w:val="24"/>
          <w:szCs w:val="24"/>
        </w:rPr>
        <w:t>observations on</w:t>
      </w:r>
      <w:r w:rsidR="000526FE">
        <w:rPr>
          <w:rFonts w:ascii="Times New Roman" w:hAnsi="Times New Roman" w:cs="Times New Roman"/>
          <w:sz w:val="24"/>
          <w:szCs w:val="24"/>
        </w:rPr>
        <w:t xml:space="preserve"> both</w:t>
      </w:r>
      <w:r w:rsidR="00102EB9">
        <w:rPr>
          <w:rFonts w:ascii="Times New Roman" w:hAnsi="Times New Roman" w:cs="Times New Roman"/>
          <w:sz w:val="24"/>
          <w:szCs w:val="24"/>
        </w:rPr>
        <w:t xml:space="preserve"> </w:t>
      </w:r>
      <w:r w:rsidR="00102EB9" w:rsidRPr="00102EB9">
        <w:rPr>
          <w:rFonts w:ascii="Times New Roman" w:hAnsi="Times New Roman" w:cs="Times New Roman"/>
          <w:i/>
          <w:iCs/>
          <w:sz w:val="24"/>
          <w:szCs w:val="24"/>
        </w:rPr>
        <w:t>IPO Price Spread</w:t>
      </w:r>
      <w:r w:rsidR="00102EB9">
        <w:rPr>
          <w:rFonts w:ascii="Times New Roman" w:hAnsi="Times New Roman" w:cs="Times New Roman"/>
          <w:sz w:val="24"/>
          <w:szCs w:val="24"/>
        </w:rPr>
        <w:t xml:space="preserve"> and </w:t>
      </w:r>
      <w:r w:rsidR="00102EB9" w:rsidRPr="00102EB9">
        <w:rPr>
          <w:rFonts w:ascii="Times New Roman" w:hAnsi="Times New Roman" w:cs="Times New Roman"/>
          <w:i/>
          <w:iCs/>
          <w:sz w:val="24"/>
          <w:szCs w:val="24"/>
        </w:rPr>
        <w:t>VU</w:t>
      </w:r>
      <w:r w:rsidR="003423C4">
        <w:rPr>
          <w:rFonts w:ascii="Times New Roman" w:hAnsi="Times New Roman" w:cs="Times New Roman"/>
          <w:sz w:val="24"/>
          <w:szCs w:val="24"/>
        </w:rPr>
        <w:t xml:space="preserve">. The mean </w:t>
      </w:r>
      <w:r w:rsidR="003423C4" w:rsidRPr="003423C4">
        <w:rPr>
          <w:rFonts w:ascii="Times New Roman" w:hAnsi="Times New Roman" w:cs="Times New Roman"/>
          <w:i/>
          <w:iCs/>
          <w:sz w:val="24"/>
          <w:szCs w:val="24"/>
        </w:rPr>
        <w:t>IPO Price Spread</w:t>
      </w:r>
      <w:r w:rsidR="003423C4">
        <w:rPr>
          <w:rFonts w:ascii="Times New Roman" w:hAnsi="Times New Roman" w:cs="Times New Roman"/>
          <w:sz w:val="24"/>
          <w:szCs w:val="24"/>
        </w:rPr>
        <w:t xml:space="preserve"> is </w:t>
      </w:r>
      <w:r w:rsidR="003B6B5A">
        <w:rPr>
          <w:rFonts w:ascii="Times New Roman" w:hAnsi="Times New Roman" w:cs="Times New Roman"/>
          <w:sz w:val="24"/>
          <w:szCs w:val="24"/>
        </w:rPr>
        <w:t>0</w:t>
      </w:r>
      <w:r w:rsidR="003423C4">
        <w:rPr>
          <w:rFonts w:ascii="Times New Roman" w:hAnsi="Times New Roman" w:cs="Times New Roman"/>
          <w:sz w:val="24"/>
          <w:szCs w:val="24"/>
        </w:rPr>
        <w:t>.</w:t>
      </w:r>
      <w:r w:rsidR="003B6B5A">
        <w:rPr>
          <w:rFonts w:ascii="Times New Roman" w:hAnsi="Times New Roman" w:cs="Times New Roman"/>
          <w:sz w:val="24"/>
          <w:szCs w:val="24"/>
        </w:rPr>
        <w:t>169</w:t>
      </w:r>
      <w:r w:rsidR="003423C4">
        <w:rPr>
          <w:rFonts w:ascii="Times New Roman" w:hAnsi="Times New Roman" w:cs="Times New Roman"/>
          <w:sz w:val="24"/>
          <w:szCs w:val="24"/>
        </w:rPr>
        <w:t xml:space="preserve">, with a </w:t>
      </w:r>
      <w:r w:rsidR="003423C4">
        <w:rPr>
          <w:rFonts w:ascii="Times New Roman" w:hAnsi="Times New Roman" w:cs="Times New Roman"/>
          <w:sz w:val="24"/>
          <w:szCs w:val="24"/>
        </w:rPr>
        <w:lastRenderedPageBreak/>
        <w:t xml:space="preserve">standard deviation of </w:t>
      </w:r>
      <w:r w:rsidR="003B6B5A">
        <w:rPr>
          <w:rFonts w:ascii="Times New Roman" w:hAnsi="Times New Roman" w:cs="Times New Roman"/>
          <w:sz w:val="24"/>
          <w:szCs w:val="24"/>
        </w:rPr>
        <w:t>0</w:t>
      </w:r>
      <w:r w:rsidR="003423C4">
        <w:rPr>
          <w:rFonts w:ascii="Times New Roman" w:hAnsi="Times New Roman" w:cs="Times New Roman"/>
          <w:sz w:val="24"/>
          <w:szCs w:val="24"/>
        </w:rPr>
        <w:t>.</w:t>
      </w:r>
      <w:r w:rsidR="003B6B5A">
        <w:rPr>
          <w:rFonts w:ascii="Times New Roman" w:hAnsi="Times New Roman" w:cs="Times New Roman"/>
          <w:sz w:val="24"/>
          <w:szCs w:val="24"/>
        </w:rPr>
        <w:t>053</w:t>
      </w:r>
      <w:r w:rsidR="003423C4">
        <w:rPr>
          <w:rFonts w:ascii="Times New Roman" w:hAnsi="Times New Roman" w:cs="Times New Roman"/>
          <w:sz w:val="24"/>
          <w:szCs w:val="24"/>
        </w:rPr>
        <w:t>.</w:t>
      </w:r>
      <w:r w:rsidR="003B6B5A">
        <w:rPr>
          <w:rFonts w:ascii="Times New Roman" w:hAnsi="Times New Roman" w:cs="Times New Roman"/>
          <w:sz w:val="24"/>
          <w:szCs w:val="24"/>
        </w:rPr>
        <w:t xml:space="preserve"> The mean </w:t>
      </w:r>
      <w:r w:rsidR="003B6B5A" w:rsidRPr="003B6B5A">
        <w:rPr>
          <w:rFonts w:ascii="Times New Roman" w:hAnsi="Times New Roman" w:cs="Times New Roman"/>
          <w:i/>
          <w:iCs/>
          <w:sz w:val="24"/>
          <w:szCs w:val="24"/>
        </w:rPr>
        <w:t>VU</w:t>
      </w:r>
      <w:r w:rsidR="003B6B5A">
        <w:rPr>
          <w:rFonts w:ascii="Times New Roman" w:hAnsi="Times New Roman" w:cs="Times New Roman"/>
          <w:sz w:val="24"/>
          <w:szCs w:val="24"/>
        </w:rPr>
        <w:t xml:space="preserve"> for the IPO sample is 0.858 – somewhat higher than the mean </w:t>
      </w:r>
      <w:r w:rsidR="003B6B5A" w:rsidRPr="003B6B5A">
        <w:rPr>
          <w:rFonts w:ascii="Times New Roman" w:hAnsi="Times New Roman" w:cs="Times New Roman"/>
          <w:i/>
          <w:iCs/>
          <w:sz w:val="24"/>
          <w:szCs w:val="24"/>
        </w:rPr>
        <w:t>VU</w:t>
      </w:r>
      <w:r w:rsidR="003B6B5A">
        <w:rPr>
          <w:rFonts w:ascii="Times New Roman" w:hAnsi="Times New Roman" w:cs="Times New Roman"/>
          <w:sz w:val="24"/>
          <w:szCs w:val="24"/>
        </w:rPr>
        <w:t xml:space="preserve"> in our main sample, consistent with IPO firms being riskier than the average firm.</w:t>
      </w:r>
    </w:p>
    <w:p w14:paraId="53AFBEEF" w14:textId="54226111" w:rsidR="002F51FD" w:rsidRPr="002F51FD" w:rsidRDefault="00512B58" w:rsidP="002F51FD">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We use pooled OLS regressions for this test and report our estimates in </w:t>
      </w:r>
      <w:r w:rsidR="00B5708B">
        <w:rPr>
          <w:rFonts w:ascii="Times New Roman" w:hAnsi="Times New Roman" w:cs="Times New Roman"/>
          <w:sz w:val="24"/>
          <w:szCs w:val="24"/>
        </w:rPr>
        <w:t>Table</w:t>
      </w:r>
      <w:r w:rsidR="00146D73">
        <w:rPr>
          <w:rFonts w:ascii="Times New Roman" w:hAnsi="Times New Roman" w:cs="Times New Roman"/>
          <w:sz w:val="24"/>
          <w:szCs w:val="24"/>
        </w:rPr>
        <w:t xml:space="preserve"> </w:t>
      </w:r>
      <w:r w:rsidR="002017C3">
        <w:rPr>
          <w:rFonts w:ascii="Times New Roman" w:hAnsi="Times New Roman" w:cs="Times New Roman"/>
          <w:sz w:val="24"/>
          <w:szCs w:val="24"/>
        </w:rPr>
        <w:t>5</w:t>
      </w:r>
      <w:r w:rsidR="003A2A23">
        <w:rPr>
          <w:rFonts w:ascii="Times New Roman" w:hAnsi="Times New Roman" w:cs="Times New Roman"/>
          <w:sz w:val="24"/>
          <w:szCs w:val="24"/>
        </w:rPr>
        <w:t>,</w:t>
      </w:r>
      <w:r w:rsidR="00146D73">
        <w:rPr>
          <w:rFonts w:ascii="Times New Roman" w:hAnsi="Times New Roman" w:cs="Times New Roman"/>
          <w:sz w:val="24"/>
          <w:szCs w:val="24"/>
        </w:rPr>
        <w:t xml:space="preserve"> Panel A. </w:t>
      </w:r>
      <w:r w:rsidR="00970002">
        <w:rPr>
          <w:rFonts w:ascii="Times New Roman" w:hAnsi="Times New Roman" w:cs="Times New Roman"/>
          <w:sz w:val="24"/>
          <w:szCs w:val="24"/>
        </w:rPr>
        <w:t>In column (1), we regress the log(</w:t>
      </w:r>
      <w:r w:rsidR="00970002" w:rsidRPr="00970002">
        <w:rPr>
          <w:rFonts w:ascii="Times New Roman" w:hAnsi="Times New Roman" w:cs="Times New Roman"/>
          <w:i/>
          <w:iCs/>
          <w:sz w:val="24"/>
          <w:szCs w:val="24"/>
        </w:rPr>
        <w:t>IPO Price Spread</w:t>
      </w:r>
      <w:r w:rsidR="00970002">
        <w:rPr>
          <w:rFonts w:ascii="Times New Roman" w:hAnsi="Times New Roman" w:cs="Times New Roman"/>
          <w:i/>
          <w:iCs/>
          <w:sz w:val="24"/>
          <w:szCs w:val="24"/>
        </w:rPr>
        <w:t>)</w:t>
      </w:r>
      <w:r w:rsidR="00970002">
        <w:rPr>
          <w:rFonts w:ascii="Times New Roman" w:hAnsi="Times New Roman" w:cs="Times New Roman"/>
          <w:sz w:val="24"/>
          <w:szCs w:val="24"/>
        </w:rPr>
        <w:t xml:space="preserve"> on </w:t>
      </w:r>
      <w:r w:rsidR="00970002" w:rsidRPr="00146185">
        <w:rPr>
          <w:rFonts w:ascii="Times New Roman" w:hAnsi="Times New Roman" w:cs="Times New Roman"/>
          <w:i/>
          <w:iCs/>
          <w:sz w:val="24"/>
          <w:szCs w:val="24"/>
        </w:rPr>
        <w:t>VU</w:t>
      </w:r>
      <w:r w:rsidR="00875B00">
        <w:rPr>
          <w:rFonts w:ascii="Times New Roman" w:hAnsi="Times New Roman" w:cs="Times New Roman"/>
          <w:sz w:val="24"/>
          <w:szCs w:val="24"/>
        </w:rPr>
        <w:t xml:space="preserve"> with year fixed effects and standard errors clustered by year. The coefficient on VU is positive and highly statistically significant</w:t>
      </w:r>
      <w:r w:rsidR="00146185">
        <w:rPr>
          <w:rFonts w:ascii="Times New Roman" w:hAnsi="Times New Roman" w:cs="Times New Roman"/>
          <w:sz w:val="24"/>
          <w:szCs w:val="24"/>
        </w:rPr>
        <w:t xml:space="preserve">. That is, firms subject to higher valuation uncertainty according to our measure tend to have wider pricing ranges in their IPO prospectuses. We add our usual set of control variables in column (2), except that prior stock return volatility is omitted because it is not available for newly listed firms. In this multivariate regression </w:t>
      </w:r>
      <w:r w:rsidR="00146185" w:rsidRPr="00146185">
        <w:rPr>
          <w:rFonts w:ascii="Times New Roman" w:hAnsi="Times New Roman" w:cs="Times New Roman"/>
          <w:i/>
          <w:iCs/>
          <w:sz w:val="24"/>
          <w:szCs w:val="24"/>
        </w:rPr>
        <w:t>VU</w:t>
      </w:r>
      <w:r w:rsidR="00146185">
        <w:rPr>
          <w:rFonts w:ascii="Times New Roman" w:hAnsi="Times New Roman" w:cs="Times New Roman"/>
          <w:sz w:val="24"/>
          <w:szCs w:val="24"/>
        </w:rPr>
        <w:t xml:space="preserve"> continues to be a strong predictor of the IPO filing range, with a positive coefficient that is significant at the 1% level. We conclude that our measure reflects valuation uncertainty </w:t>
      </w:r>
      <w:r w:rsidR="00CC7271">
        <w:rPr>
          <w:rFonts w:ascii="Times New Roman" w:hAnsi="Times New Roman" w:cs="Times New Roman"/>
          <w:sz w:val="24"/>
          <w:szCs w:val="24"/>
        </w:rPr>
        <w:t>manifested</w:t>
      </w:r>
      <w:r w:rsidR="00146185">
        <w:rPr>
          <w:rFonts w:ascii="Times New Roman" w:hAnsi="Times New Roman" w:cs="Times New Roman"/>
          <w:sz w:val="24"/>
          <w:szCs w:val="24"/>
        </w:rPr>
        <w:t xml:space="preserve"> in IPO filing ranges.</w:t>
      </w:r>
    </w:p>
    <w:p w14:paraId="36559947" w14:textId="2C8092BB" w:rsidR="0058673D" w:rsidRPr="009867A2" w:rsidRDefault="0058673D" w:rsidP="00BA0F7F">
      <w:pPr>
        <w:spacing w:after="0" w:line="480" w:lineRule="auto"/>
        <w:jc w:val="both"/>
        <w:rPr>
          <w:rFonts w:ascii="Times New Roman" w:hAnsi="Times New Roman" w:cs="Times New Roman"/>
          <w:b/>
          <w:bCs/>
          <w:sz w:val="24"/>
          <w:szCs w:val="24"/>
        </w:rPr>
      </w:pPr>
      <w:r w:rsidRPr="009867A2">
        <w:rPr>
          <w:rFonts w:ascii="Times New Roman" w:hAnsi="Times New Roman" w:cs="Times New Roman"/>
          <w:b/>
          <w:bCs/>
          <w:sz w:val="24"/>
          <w:szCs w:val="24"/>
        </w:rPr>
        <w:t xml:space="preserve">Validation using </w:t>
      </w:r>
      <w:r w:rsidR="002F51FD">
        <w:rPr>
          <w:rFonts w:ascii="Times New Roman" w:hAnsi="Times New Roman" w:cs="Times New Roman"/>
          <w:b/>
          <w:bCs/>
          <w:sz w:val="24"/>
          <w:szCs w:val="24"/>
        </w:rPr>
        <w:t>P</w:t>
      </w:r>
      <w:r w:rsidRPr="009867A2">
        <w:rPr>
          <w:rFonts w:ascii="Times New Roman" w:hAnsi="Times New Roman" w:cs="Times New Roman"/>
          <w:b/>
          <w:bCs/>
          <w:sz w:val="24"/>
          <w:szCs w:val="24"/>
        </w:rPr>
        <w:t xml:space="preserve">rice </w:t>
      </w:r>
      <w:r w:rsidR="002F51FD">
        <w:rPr>
          <w:rFonts w:ascii="Times New Roman" w:hAnsi="Times New Roman" w:cs="Times New Roman"/>
          <w:b/>
          <w:bCs/>
          <w:sz w:val="24"/>
          <w:szCs w:val="24"/>
        </w:rPr>
        <w:t>R</w:t>
      </w:r>
      <w:r w:rsidRPr="009867A2">
        <w:rPr>
          <w:rFonts w:ascii="Times New Roman" w:hAnsi="Times New Roman" w:cs="Times New Roman"/>
          <w:b/>
          <w:bCs/>
          <w:sz w:val="24"/>
          <w:szCs w:val="24"/>
        </w:rPr>
        <w:t xml:space="preserve">anges from M&amp;A </w:t>
      </w:r>
      <w:r w:rsidR="002F51FD">
        <w:rPr>
          <w:rFonts w:ascii="Times New Roman" w:hAnsi="Times New Roman" w:cs="Times New Roman"/>
          <w:b/>
          <w:bCs/>
          <w:sz w:val="24"/>
          <w:szCs w:val="24"/>
        </w:rPr>
        <w:t>F</w:t>
      </w:r>
      <w:r w:rsidRPr="009867A2">
        <w:rPr>
          <w:rFonts w:ascii="Times New Roman" w:hAnsi="Times New Roman" w:cs="Times New Roman"/>
          <w:b/>
          <w:bCs/>
          <w:sz w:val="24"/>
          <w:szCs w:val="24"/>
        </w:rPr>
        <w:t xml:space="preserve">airness </w:t>
      </w:r>
      <w:r w:rsidR="002F51FD">
        <w:rPr>
          <w:rFonts w:ascii="Times New Roman" w:hAnsi="Times New Roman" w:cs="Times New Roman"/>
          <w:b/>
          <w:bCs/>
          <w:sz w:val="24"/>
          <w:szCs w:val="24"/>
        </w:rPr>
        <w:t>O</w:t>
      </w:r>
      <w:r w:rsidRPr="009867A2">
        <w:rPr>
          <w:rFonts w:ascii="Times New Roman" w:hAnsi="Times New Roman" w:cs="Times New Roman"/>
          <w:b/>
          <w:bCs/>
          <w:sz w:val="24"/>
          <w:szCs w:val="24"/>
        </w:rPr>
        <w:t>pinions</w:t>
      </w:r>
    </w:p>
    <w:p w14:paraId="68DC8948" w14:textId="3611D4D8" w:rsidR="00235EB9" w:rsidRDefault="00254695" w:rsidP="00235EB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Another instance in which valuation experts provide a range of likely fair values for the firm’s equity is the case of M&amp;A fairness opinions. When a public firm becomes the target of a takeover deal, its board will typically seek a so-called fairness opinion from its investment bank advisor</w:t>
      </w:r>
      <w:r w:rsidR="00957E1B">
        <w:rPr>
          <w:rFonts w:ascii="Times New Roman" w:hAnsi="Times New Roman" w:cs="Times New Roman"/>
          <w:sz w:val="24"/>
          <w:szCs w:val="24"/>
        </w:rPr>
        <w:t xml:space="preserve"> and sometimes even </w:t>
      </w:r>
      <w:r>
        <w:rPr>
          <w:rFonts w:ascii="Times New Roman" w:hAnsi="Times New Roman" w:cs="Times New Roman"/>
          <w:sz w:val="24"/>
          <w:szCs w:val="24"/>
        </w:rPr>
        <w:t xml:space="preserve">several fairness opinions from multiple </w:t>
      </w:r>
      <w:r w:rsidR="00F42533">
        <w:rPr>
          <w:rFonts w:ascii="Times New Roman" w:hAnsi="Times New Roman" w:cs="Times New Roman"/>
          <w:sz w:val="24"/>
          <w:szCs w:val="24"/>
        </w:rPr>
        <w:t>advisors</w:t>
      </w:r>
      <w:r w:rsidR="00957E1B">
        <w:rPr>
          <w:rFonts w:ascii="Times New Roman" w:hAnsi="Times New Roman" w:cs="Times New Roman"/>
          <w:sz w:val="24"/>
          <w:szCs w:val="24"/>
        </w:rPr>
        <w:t xml:space="preserve"> (</w:t>
      </w:r>
      <w:hyperlink w:anchor="_ENREF_27" w:tooltip="DeAngelo, 1990 #562"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AuthorYear="1"&gt;&lt;Author&gt;DeAngelo&lt;/Author&gt;&lt;Year&gt;1990&lt;/Year&gt;&lt;RecNum&gt;562&lt;/RecNum&gt;&lt;DisplayText&gt;DeAngelo (1990)&lt;/DisplayText&gt;&lt;record&gt;&lt;rec-number&gt;562&lt;/rec-number&gt;&lt;foreign-keys&gt;&lt;key app="EN" db-id="a00ppf5vbz2zw4efraqp9recxrvdwwtasszf" timestamp="1636055770"&gt;562&lt;/key&gt;&lt;/foreign-keys&gt;&lt;ref-type name="Journal Article"&gt;17&lt;/ref-type&gt;&lt;contributors&gt;&lt;authors&gt;&lt;author&gt;DeAngelo, Linda Elizabeth&lt;/author&gt;&lt;/authors&gt;&lt;/contributors&gt;&lt;titles&gt;&lt;title&gt;Equity Valuation and Corporate Control&lt;/title&gt;&lt;secondary-title&gt;Accounting Review&lt;/secondary-title&gt;&lt;/titles&gt;&lt;periodical&gt;&lt;full-title&gt;Accounting Review&lt;/full-title&gt;&lt;/periodical&gt;&lt;pages&gt;93-112&lt;/pages&gt;&lt;volume&gt;65&lt;/volume&gt;&lt;number&gt;1&lt;/number&gt;&lt;keywords&gt;&lt;keyword&gt;CORPORATIONS&lt;/keyword&gt;&lt;keyword&gt;EQUITY&lt;/keyword&gt;&lt;keyword&gt;VALUATION&lt;/keyword&gt;&lt;keyword&gt;LABOR theory of value&lt;/keyword&gt;&lt;keyword&gt;BUYOUTS&lt;/keyword&gt;&lt;keyword&gt;STOCKHOLDERS&lt;/keyword&gt;&lt;keyword&gt;INVESTMENT bankers&lt;/keyword&gt;&lt;keyword&gt;ACCOUNTING&lt;/keyword&gt;&lt;/keywords&gt;&lt;dates&gt;&lt;year&gt;1990&lt;/year&gt;&lt;/dates&gt;&lt;publisher&gt;American Accounting Association&lt;/publisher&gt;&lt;isbn&gt;00014826&lt;/isbn&gt;&lt;accession-num&gt;9603274030&lt;/accession-num&gt;&lt;work-type&gt;Article&lt;/work-type&gt;&lt;urls&gt;&lt;related-urls&gt;&lt;url&gt;http://search.ebscohost.com/login.aspx?direct=true&amp;amp;AuthType=athens,ip,cookie,url,uid&amp;amp;db=bth&amp;amp;AN=9603274030&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DeAngelo (1990)</w:t>
        </w:r>
        <w:r w:rsidR="00A4299A">
          <w:rPr>
            <w:rFonts w:ascii="Times New Roman" w:hAnsi="Times New Roman" w:cs="Times New Roman"/>
            <w:sz w:val="24"/>
            <w:szCs w:val="24"/>
          </w:rPr>
          <w:fldChar w:fldCharType="end"/>
        </w:r>
      </w:hyperlink>
      <w:r w:rsidR="00957E1B">
        <w:rPr>
          <w:rFonts w:ascii="Times New Roman" w:hAnsi="Times New Roman" w:cs="Times New Roman"/>
          <w:sz w:val="24"/>
          <w:szCs w:val="24"/>
        </w:rPr>
        <w:t xml:space="preserve">, </w:t>
      </w:r>
      <w:hyperlink w:anchor="_ENREF_54" w:tooltip="Liu, 2020 #1872"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AuthorYear="1"&gt;&lt;Author&gt;Liu&lt;/Author&gt;&lt;Year&gt;2020&lt;/Year&gt;&lt;RecNum&gt;1872&lt;/RecNum&gt;&lt;DisplayText&gt;Liu (2020)&lt;/DisplayText&gt;&lt;record&gt;&lt;rec-number&gt;1872&lt;/rec-number&gt;&lt;foreign-keys&gt;&lt;key app="EN" db-id="a00ppf5vbz2zw4efraqp9recxrvdwwtasszf" timestamp="1727475708"&gt;1872&lt;/key&gt;&lt;/foreign-keys&gt;&lt;ref-type name="Journal Article"&gt;17&lt;/ref-type&gt;&lt;contributors&gt;&lt;authors&gt;&lt;author&gt;Liu, Tingting&lt;/author&gt;&lt;/authors&gt;&lt;/contributors&gt;&lt;titles&gt;&lt;title&gt;The Information Provision in the Corporate Acquisition Process: Why Target Firms Obtain Multiple Fairness Opinions&lt;/title&gt;&lt;secondary-title&gt;The Accounting Review&lt;/secondary-title&gt;&lt;/titles&gt;&lt;periodical&gt;&lt;full-title&gt;The Accounting Review&lt;/full-title&gt;&lt;/periodical&gt;&lt;pages&gt;287-310&lt;/pages&gt;&lt;volume&gt;95&lt;/volume&gt;&lt;number&gt;1&lt;/number&gt;&lt;dates&gt;&lt;year&gt;2020&lt;/year&gt;&lt;/dates&gt;&lt;isbn&gt;0001-4826&lt;/isbn&gt;&lt;urls&gt;&lt;related-urls&gt;&lt;url&gt;https://doi.org/10.2308/accr-52444&lt;/url&gt;&lt;/related-urls&gt;&lt;/urls&gt;&lt;electronic-resource-num&gt;10.2308/accr-52444&lt;/electronic-resource-num&gt;&lt;access-date&gt;9/27/2024&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Liu (2020)</w:t>
        </w:r>
        <w:r w:rsidR="00A4299A">
          <w:rPr>
            <w:rFonts w:ascii="Times New Roman" w:hAnsi="Times New Roman" w:cs="Times New Roman"/>
            <w:sz w:val="24"/>
            <w:szCs w:val="24"/>
          </w:rPr>
          <w:fldChar w:fldCharType="end"/>
        </w:r>
      </w:hyperlink>
      <w:r>
        <w:rPr>
          <w:rFonts w:ascii="Times New Roman" w:hAnsi="Times New Roman" w:cs="Times New Roman"/>
          <w:sz w:val="24"/>
          <w:szCs w:val="24"/>
        </w:rPr>
        <w:t>).</w:t>
      </w:r>
      <w:r w:rsidR="00D2094C">
        <w:rPr>
          <w:rFonts w:ascii="Times New Roman" w:hAnsi="Times New Roman" w:cs="Times New Roman"/>
          <w:sz w:val="24"/>
          <w:szCs w:val="24"/>
        </w:rPr>
        <w:t xml:space="preserve"> The purpose of </w:t>
      </w:r>
      <w:r w:rsidR="00235EB9">
        <w:rPr>
          <w:rFonts w:ascii="Times New Roman" w:hAnsi="Times New Roman" w:cs="Times New Roman"/>
          <w:sz w:val="24"/>
          <w:szCs w:val="24"/>
        </w:rPr>
        <w:t>the</w:t>
      </w:r>
      <w:r w:rsidR="00D2094C">
        <w:rPr>
          <w:rFonts w:ascii="Times New Roman" w:hAnsi="Times New Roman" w:cs="Times New Roman"/>
          <w:sz w:val="24"/>
          <w:szCs w:val="24"/>
        </w:rPr>
        <w:t xml:space="preserve"> fairness opinion is to</w:t>
      </w:r>
      <w:r w:rsidR="00235EB9">
        <w:rPr>
          <w:rFonts w:ascii="Times New Roman" w:hAnsi="Times New Roman" w:cs="Times New Roman"/>
          <w:sz w:val="24"/>
          <w:szCs w:val="24"/>
        </w:rPr>
        <w:t xml:space="preserve"> suggest </w:t>
      </w:r>
      <w:r w:rsidR="00C6544D">
        <w:rPr>
          <w:rFonts w:ascii="Times New Roman" w:hAnsi="Times New Roman" w:cs="Times New Roman"/>
          <w:sz w:val="24"/>
          <w:szCs w:val="24"/>
        </w:rPr>
        <w:t xml:space="preserve">that </w:t>
      </w:r>
      <w:r w:rsidR="00235EB9">
        <w:rPr>
          <w:rFonts w:ascii="Times New Roman" w:hAnsi="Times New Roman" w:cs="Times New Roman"/>
          <w:sz w:val="24"/>
          <w:szCs w:val="24"/>
        </w:rPr>
        <w:t>the acquisition price is “fair to the target shareholders from the financial point of view”. To that end, investment bankers conduct extensive valuation analysis culminating in a range of likely fundamental value</w:t>
      </w:r>
      <w:r w:rsidR="00C6544D">
        <w:rPr>
          <w:rFonts w:ascii="Times New Roman" w:hAnsi="Times New Roman" w:cs="Times New Roman"/>
          <w:sz w:val="24"/>
          <w:szCs w:val="24"/>
        </w:rPr>
        <w:t>s</w:t>
      </w:r>
      <w:r w:rsidR="00235EB9">
        <w:rPr>
          <w:rFonts w:ascii="Times New Roman" w:hAnsi="Times New Roman" w:cs="Times New Roman"/>
          <w:sz w:val="24"/>
          <w:szCs w:val="24"/>
        </w:rPr>
        <w:t xml:space="preserve"> of the target’s stock. We argue that the width of the resulting range maps perfectly into our notion of valuation uncertainty and that we can</w:t>
      </w:r>
      <w:r w:rsidR="00381809">
        <w:rPr>
          <w:rFonts w:ascii="Times New Roman" w:hAnsi="Times New Roman" w:cs="Times New Roman"/>
          <w:sz w:val="24"/>
          <w:szCs w:val="24"/>
        </w:rPr>
        <w:t xml:space="preserve"> therefore</w:t>
      </w:r>
      <w:r w:rsidR="00235EB9">
        <w:rPr>
          <w:rFonts w:ascii="Times New Roman" w:hAnsi="Times New Roman" w:cs="Times New Roman"/>
          <w:sz w:val="24"/>
          <w:szCs w:val="24"/>
        </w:rPr>
        <w:t xml:space="preserve"> use it as a benchmark against which to validate our measure.</w:t>
      </w:r>
    </w:p>
    <w:p w14:paraId="57B43FB3" w14:textId="5DC4ABF0" w:rsidR="007D170A" w:rsidRDefault="00235EB9" w:rsidP="00235EB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We collect a sample of public firm takeovers from Refinitiv Workspace (formerly Thomson Reuters SDC) taking place during our sample period. </w:t>
      </w:r>
      <w:r w:rsidR="004F33BD">
        <w:rPr>
          <w:rFonts w:ascii="Times New Roman" w:hAnsi="Times New Roman" w:cs="Times New Roman"/>
          <w:sz w:val="24"/>
          <w:szCs w:val="24"/>
        </w:rPr>
        <w:t xml:space="preserve">We apply the following selection criteria </w:t>
      </w:r>
      <w:r w:rsidR="004F33BD">
        <w:rPr>
          <w:rFonts w:ascii="Times New Roman" w:hAnsi="Times New Roman" w:cs="Times New Roman"/>
          <w:sz w:val="24"/>
          <w:szCs w:val="24"/>
        </w:rPr>
        <w:lastRenderedPageBreak/>
        <w:t xml:space="preserve">standard in the M&amp;A literature: i) the target is a U.S. public firm listed on NYSE, Nasdaq, or American Stock Exchange, ii) deal status is completed or withdrawn, iii) the acquiror holds less than 20% of the target prior to the deal and seeks to own </w:t>
      </w:r>
      <w:r w:rsidR="0075655E">
        <w:rPr>
          <w:rFonts w:ascii="Times New Roman" w:hAnsi="Times New Roman" w:cs="Times New Roman"/>
          <w:sz w:val="24"/>
          <w:szCs w:val="24"/>
        </w:rPr>
        <w:t>100</w:t>
      </w:r>
      <w:r w:rsidR="004F33BD">
        <w:rPr>
          <w:rFonts w:ascii="Times New Roman" w:hAnsi="Times New Roman" w:cs="Times New Roman"/>
          <w:sz w:val="24"/>
          <w:szCs w:val="24"/>
        </w:rPr>
        <w:t>%, iv) deal value is at least U.S. $1 million. For our purposes we further require that Refinitiv reports at least one fairness opinion</w:t>
      </w:r>
      <w:r w:rsidR="00781014">
        <w:rPr>
          <w:rFonts w:ascii="Times New Roman" w:hAnsi="Times New Roman" w:cs="Times New Roman"/>
          <w:sz w:val="24"/>
          <w:szCs w:val="24"/>
        </w:rPr>
        <w:t xml:space="preserve"> </w:t>
      </w:r>
      <w:r w:rsidR="004F33BD">
        <w:rPr>
          <w:rFonts w:ascii="Times New Roman" w:hAnsi="Times New Roman" w:cs="Times New Roman"/>
          <w:sz w:val="24"/>
          <w:szCs w:val="24"/>
        </w:rPr>
        <w:t>associated with the deal</w:t>
      </w:r>
      <w:r w:rsidR="00781014">
        <w:rPr>
          <w:rFonts w:ascii="Times New Roman" w:hAnsi="Times New Roman" w:cs="Times New Roman"/>
          <w:sz w:val="24"/>
          <w:szCs w:val="24"/>
        </w:rPr>
        <w:t xml:space="preserve">. We match the resulting sample to </w:t>
      </w:r>
      <w:proofErr w:type="spellStart"/>
      <w:r w:rsidR="00781014">
        <w:rPr>
          <w:rFonts w:ascii="Times New Roman" w:hAnsi="Times New Roman" w:cs="Times New Roman"/>
          <w:sz w:val="24"/>
          <w:szCs w:val="24"/>
        </w:rPr>
        <w:t>Com</w:t>
      </w:r>
      <w:r w:rsidR="00B54215">
        <w:rPr>
          <w:rFonts w:ascii="Times New Roman" w:hAnsi="Times New Roman" w:cs="Times New Roman"/>
          <w:sz w:val="24"/>
          <w:szCs w:val="24"/>
        </w:rPr>
        <w:t>p</w:t>
      </w:r>
      <w:r w:rsidR="00781014">
        <w:rPr>
          <w:rFonts w:ascii="Times New Roman" w:hAnsi="Times New Roman" w:cs="Times New Roman"/>
          <w:sz w:val="24"/>
          <w:szCs w:val="24"/>
        </w:rPr>
        <w:t>ustat</w:t>
      </w:r>
      <w:proofErr w:type="spellEnd"/>
      <w:r w:rsidR="00CF3026">
        <w:rPr>
          <w:rFonts w:ascii="Times New Roman" w:hAnsi="Times New Roman" w:cs="Times New Roman"/>
          <w:sz w:val="24"/>
          <w:szCs w:val="24"/>
        </w:rPr>
        <w:t xml:space="preserve"> fundamentals</w:t>
      </w:r>
      <w:r w:rsidR="00781014">
        <w:rPr>
          <w:rFonts w:ascii="Times New Roman" w:hAnsi="Times New Roman" w:cs="Times New Roman"/>
          <w:sz w:val="24"/>
          <w:szCs w:val="24"/>
        </w:rPr>
        <w:t xml:space="preserve"> using</w:t>
      </w:r>
      <w:r w:rsidR="00753014">
        <w:rPr>
          <w:rFonts w:ascii="Times New Roman" w:hAnsi="Times New Roman" w:cs="Times New Roman"/>
          <w:sz w:val="24"/>
          <w:szCs w:val="24"/>
        </w:rPr>
        <w:t xml:space="preserve"> target</w:t>
      </w:r>
      <w:r w:rsidR="00781014">
        <w:rPr>
          <w:rFonts w:ascii="Times New Roman" w:hAnsi="Times New Roman" w:cs="Times New Roman"/>
          <w:sz w:val="24"/>
          <w:szCs w:val="24"/>
        </w:rPr>
        <w:t xml:space="preserve"> CUSIPs such that the fiscal year-end </w:t>
      </w:r>
      <w:r w:rsidR="00753014">
        <w:rPr>
          <w:rFonts w:ascii="Times New Roman" w:hAnsi="Times New Roman" w:cs="Times New Roman"/>
          <w:sz w:val="24"/>
          <w:szCs w:val="24"/>
        </w:rPr>
        <w:t>precedes</w:t>
      </w:r>
      <w:r w:rsidR="00781014">
        <w:rPr>
          <w:rFonts w:ascii="Times New Roman" w:hAnsi="Times New Roman" w:cs="Times New Roman"/>
          <w:sz w:val="24"/>
          <w:szCs w:val="24"/>
        </w:rPr>
        <w:t xml:space="preserve"> the announcement date of the deal by no more than 365 days.</w:t>
      </w:r>
      <w:r w:rsidR="00753014">
        <w:rPr>
          <w:rFonts w:ascii="Times New Roman" w:hAnsi="Times New Roman" w:cs="Times New Roman"/>
          <w:sz w:val="24"/>
          <w:szCs w:val="24"/>
        </w:rPr>
        <w:t xml:space="preserve"> We require non-missing valuation model inputs to estimate </w:t>
      </w:r>
      <w:r w:rsidR="00753014" w:rsidRPr="002F51FD">
        <w:rPr>
          <w:rFonts w:ascii="Times New Roman" w:hAnsi="Times New Roman" w:cs="Times New Roman"/>
          <w:i/>
          <w:iCs/>
          <w:sz w:val="24"/>
          <w:szCs w:val="24"/>
        </w:rPr>
        <w:t>VU</w:t>
      </w:r>
      <w:r w:rsidR="00753014">
        <w:rPr>
          <w:rFonts w:ascii="Times New Roman" w:hAnsi="Times New Roman" w:cs="Times New Roman"/>
          <w:sz w:val="24"/>
          <w:szCs w:val="24"/>
        </w:rPr>
        <w:t xml:space="preserve"> by means of out-of-sample prediction using the quantile regression coefficients for the</w:t>
      </w:r>
      <w:r w:rsidR="0086411D">
        <w:rPr>
          <w:rFonts w:ascii="Times New Roman" w:hAnsi="Times New Roman" w:cs="Times New Roman"/>
          <w:sz w:val="24"/>
          <w:szCs w:val="24"/>
        </w:rPr>
        <w:t xml:space="preserve"> target’s</w:t>
      </w:r>
      <w:r w:rsidR="00753014">
        <w:rPr>
          <w:rFonts w:ascii="Times New Roman" w:hAnsi="Times New Roman" w:cs="Times New Roman"/>
          <w:sz w:val="24"/>
          <w:szCs w:val="24"/>
        </w:rPr>
        <w:t xml:space="preserve"> industry-year. </w:t>
      </w:r>
    </w:p>
    <w:p w14:paraId="634F28E4" w14:textId="1B6CD164" w:rsidR="00235EB9" w:rsidRDefault="00753014" w:rsidP="00235EB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Refinitiv reports a separate valuation range for each of the three valuation approaches commonly found in fairness opinions: discounted cash</w:t>
      </w:r>
      <w:r w:rsidR="00F526A8">
        <w:rPr>
          <w:rFonts w:ascii="Times New Roman" w:hAnsi="Times New Roman" w:cs="Times New Roman"/>
          <w:sz w:val="24"/>
          <w:szCs w:val="24"/>
        </w:rPr>
        <w:t xml:space="preserve"> </w:t>
      </w:r>
      <w:r>
        <w:rPr>
          <w:rFonts w:ascii="Times New Roman" w:hAnsi="Times New Roman" w:cs="Times New Roman"/>
          <w:sz w:val="24"/>
          <w:szCs w:val="24"/>
        </w:rPr>
        <w:t xml:space="preserve">flows (DCF), multiples based on traded peers, and multiples based on precedent M&amp;A transactions. </w:t>
      </w:r>
      <w:r w:rsidR="007D170A">
        <w:rPr>
          <w:rFonts w:ascii="Times New Roman" w:hAnsi="Times New Roman" w:cs="Times New Roman"/>
          <w:sz w:val="24"/>
          <w:szCs w:val="24"/>
        </w:rPr>
        <w:t xml:space="preserve">A given bank may use one or more approaches in its fairness opinion, and the target may seek one or more fairness opinions. </w:t>
      </w:r>
      <w:r w:rsidR="00240ED4">
        <w:rPr>
          <w:rFonts w:ascii="Times New Roman" w:hAnsi="Times New Roman" w:cs="Times New Roman"/>
          <w:sz w:val="24"/>
          <w:szCs w:val="24"/>
        </w:rPr>
        <w:t>For a given valuation approach in a given fairness opinion, w</w:t>
      </w:r>
      <w:r w:rsidR="007D170A">
        <w:rPr>
          <w:rFonts w:ascii="Times New Roman" w:hAnsi="Times New Roman" w:cs="Times New Roman"/>
          <w:sz w:val="24"/>
          <w:szCs w:val="24"/>
        </w:rPr>
        <w:t xml:space="preserve">e compute the </w:t>
      </w:r>
      <w:r w:rsidR="007D170A" w:rsidRPr="007D170A">
        <w:rPr>
          <w:rFonts w:ascii="Times New Roman" w:hAnsi="Times New Roman" w:cs="Times New Roman"/>
          <w:i/>
          <w:iCs/>
          <w:sz w:val="24"/>
          <w:szCs w:val="24"/>
        </w:rPr>
        <w:t>M&amp;A FO Spread</w:t>
      </w:r>
      <w:r w:rsidR="007D170A">
        <w:rPr>
          <w:rFonts w:ascii="Times New Roman" w:hAnsi="Times New Roman" w:cs="Times New Roman"/>
          <w:sz w:val="24"/>
          <w:szCs w:val="24"/>
        </w:rPr>
        <w:t xml:space="preserve"> as the high minus low</w:t>
      </w:r>
      <w:r w:rsidR="00240ED4">
        <w:rPr>
          <w:rFonts w:ascii="Times New Roman" w:hAnsi="Times New Roman" w:cs="Times New Roman"/>
          <w:sz w:val="24"/>
          <w:szCs w:val="24"/>
        </w:rPr>
        <w:t xml:space="preserve"> estimated</w:t>
      </w:r>
      <w:r w:rsidR="007D170A">
        <w:rPr>
          <w:rFonts w:ascii="Times New Roman" w:hAnsi="Times New Roman" w:cs="Times New Roman"/>
          <w:sz w:val="24"/>
          <w:szCs w:val="24"/>
        </w:rPr>
        <w:t xml:space="preserve"> price, scaled by their mid-point.</w:t>
      </w:r>
      <w:r w:rsidR="0076278D">
        <w:rPr>
          <w:rStyle w:val="FootnoteReference"/>
          <w:rFonts w:ascii="Times New Roman" w:hAnsi="Times New Roman" w:cs="Times New Roman"/>
          <w:sz w:val="24"/>
          <w:szCs w:val="24"/>
        </w:rPr>
        <w:footnoteReference w:id="23"/>
      </w:r>
      <w:r w:rsidR="007D170A">
        <w:rPr>
          <w:rFonts w:ascii="Times New Roman" w:hAnsi="Times New Roman" w:cs="Times New Roman"/>
          <w:sz w:val="24"/>
          <w:szCs w:val="24"/>
        </w:rPr>
        <w:t xml:space="preserve"> When a bank uses multiple approaches</w:t>
      </w:r>
      <w:r w:rsidR="00240ED4">
        <w:rPr>
          <w:rFonts w:ascii="Times New Roman" w:hAnsi="Times New Roman" w:cs="Times New Roman"/>
          <w:sz w:val="24"/>
          <w:szCs w:val="24"/>
        </w:rPr>
        <w:t xml:space="preserve"> in its opinion</w:t>
      </w:r>
      <w:r w:rsidR="007D170A">
        <w:rPr>
          <w:rFonts w:ascii="Times New Roman" w:hAnsi="Times New Roman" w:cs="Times New Roman"/>
          <w:sz w:val="24"/>
          <w:szCs w:val="24"/>
        </w:rPr>
        <w:t xml:space="preserve">, we average the spreads from each approach to obtain a single bank-level valuation spread. If a target retains multiple banks, we </w:t>
      </w:r>
      <w:r w:rsidR="00240ED4">
        <w:rPr>
          <w:rFonts w:ascii="Times New Roman" w:hAnsi="Times New Roman" w:cs="Times New Roman"/>
          <w:sz w:val="24"/>
          <w:szCs w:val="24"/>
        </w:rPr>
        <w:t>further</w:t>
      </w:r>
      <w:r w:rsidR="007D170A">
        <w:rPr>
          <w:rFonts w:ascii="Times New Roman" w:hAnsi="Times New Roman" w:cs="Times New Roman"/>
          <w:sz w:val="24"/>
          <w:szCs w:val="24"/>
        </w:rPr>
        <w:t xml:space="preserve"> average across the bank-level spreads. Our final sample contains 1,224 M&amp;A targets with usable observations on </w:t>
      </w:r>
      <w:r w:rsidR="007D170A" w:rsidRPr="007D170A">
        <w:rPr>
          <w:rFonts w:ascii="Times New Roman" w:hAnsi="Times New Roman" w:cs="Times New Roman"/>
          <w:i/>
          <w:iCs/>
          <w:sz w:val="24"/>
          <w:szCs w:val="24"/>
        </w:rPr>
        <w:t>M&amp;A FO Spread</w:t>
      </w:r>
      <w:r w:rsidR="007D170A">
        <w:rPr>
          <w:rFonts w:ascii="Times New Roman" w:hAnsi="Times New Roman" w:cs="Times New Roman"/>
          <w:sz w:val="24"/>
          <w:szCs w:val="24"/>
        </w:rPr>
        <w:t xml:space="preserve"> and </w:t>
      </w:r>
      <w:r w:rsidR="007D170A" w:rsidRPr="007D170A">
        <w:rPr>
          <w:rFonts w:ascii="Times New Roman" w:hAnsi="Times New Roman" w:cs="Times New Roman"/>
          <w:i/>
          <w:iCs/>
          <w:sz w:val="24"/>
          <w:szCs w:val="24"/>
        </w:rPr>
        <w:t>VU</w:t>
      </w:r>
      <w:r w:rsidR="007D170A">
        <w:rPr>
          <w:rFonts w:ascii="Times New Roman" w:hAnsi="Times New Roman" w:cs="Times New Roman"/>
          <w:sz w:val="24"/>
          <w:szCs w:val="24"/>
        </w:rPr>
        <w:t>.</w:t>
      </w:r>
      <w:r w:rsidR="003423C4">
        <w:rPr>
          <w:rFonts w:ascii="Times New Roman" w:hAnsi="Times New Roman" w:cs="Times New Roman"/>
          <w:sz w:val="24"/>
          <w:szCs w:val="24"/>
        </w:rPr>
        <w:t xml:space="preserve"> The mean </w:t>
      </w:r>
      <w:r w:rsidR="003423C4" w:rsidRPr="003423C4">
        <w:rPr>
          <w:rFonts w:ascii="Times New Roman" w:hAnsi="Times New Roman" w:cs="Times New Roman"/>
          <w:i/>
          <w:iCs/>
          <w:sz w:val="24"/>
          <w:szCs w:val="24"/>
        </w:rPr>
        <w:t>M&amp;A FO Spread</w:t>
      </w:r>
      <w:r w:rsidR="003423C4">
        <w:rPr>
          <w:rFonts w:ascii="Times New Roman" w:hAnsi="Times New Roman" w:cs="Times New Roman"/>
          <w:sz w:val="24"/>
          <w:szCs w:val="24"/>
        </w:rPr>
        <w:t xml:space="preserve"> is </w:t>
      </w:r>
      <w:r w:rsidR="00334053">
        <w:rPr>
          <w:rFonts w:ascii="Times New Roman" w:hAnsi="Times New Roman" w:cs="Times New Roman"/>
          <w:sz w:val="24"/>
          <w:szCs w:val="24"/>
        </w:rPr>
        <w:t>0</w:t>
      </w:r>
      <w:r w:rsidR="003423C4">
        <w:rPr>
          <w:rFonts w:ascii="Times New Roman" w:hAnsi="Times New Roman" w:cs="Times New Roman"/>
          <w:sz w:val="24"/>
          <w:szCs w:val="24"/>
        </w:rPr>
        <w:t>.</w:t>
      </w:r>
      <w:r w:rsidR="00334053">
        <w:rPr>
          <w:rFonts w:ascii="Times New Roman" w:hAnsi="Times New Roman" w:cs="Times New Roman"/>
          <w:sz w:val="24"/>
          <w:szCs w:val="24"/>
        </w:rPr>
        <w:t>449</w:t>
      </w:r>
      <w:r w:rsidR="003423C4">
        <w:rPr>
          <w:rFonts w:ascii="Times New Roman" w:hAnsi="Times New Roman" w:cs="Times New Roman"/>
          <w:sz w:val="24"/>
          <w:szCs w:val="24"/>
        </w:rPr>
        <w:t xml:space="preserve">, with a standard deviation of </w:t>
      </w:r>
      <w:r w:rsidR="00334053">
        <w:rPr>
          <w:rFonts w:ascii="Times New Roman" w:hAnsi="Times New Roman" w:cs="Times New Roman"/>
          <w:sz w:val="24"/>
          <w:szCs w:val="24"/>
        </w:rPr>
        <w:t>0</w:t>
      </w:r>
      <w:r w:rsidR="003423C4">
        <w:rPr>
          <w:rFonts w:ascii="Times New Roman" w:hAnsi="Times New Roman" w:cs="Times New Roman"/>
          <w:sz w:val="24"/>
          <w:szCs w:val="24"/>
        </w:rPr>
        <w:t>.</w:t>
      </w:r>
      <w:r w:rsidR="00334053">
        <w:rPr>
          <w:rFonts w:ascii="Times New Roman" w:hAnsi="Times New Roman" w:cs="Times New Roman"/>
          <w:sz w:val="24"/>
          <w:szCs w:val="24"/>
        </w:rPr>
        <w:t>317</w:t>
      </w:r>
      <w:r w:rsidR="003423C4">
        <w:rPr>
          <w:rFonts w:ascii="Times New Roman" w:hAnsi="Times New Roman" w:cs="Times New Roman"/>
          <w:sz w:val="24"/>
          <w:szCs w:val="24"/>
        </w:rPr>
        <w:t>.</w:t>
      </w:r>
      <w:r w:rsidR="00334053">
        <w:rPr>
          <w:rFonts w:ascii="Times New Roman" w:hAnsi="Times New Roman" w:cs="Times New Roman"/>
          <w:sz w:val="24"/>
          <w:szCs w:val="24"/>
        </w:rPr>
        <w:t xml:space="preserve"> The mean </w:t>
      </w:r>
      <w:r w:rsidR="00334053" w:rsidRPr="00334053">
        <w:rPr>
          <w:rFonts w:ascii="Times New Roman" w:hAnsi="Times New Roman" w:cs="Times New Roman"/>
          <w:i/>
          <w:iCs/>
          <w:sz w:val="24"/>
          <w:szCs w:val="24"/>
        </w:rPr>
        <w:t>VU</w:t>
      </w:r>
      <w:r w:rsidR="00334053">
        <w:rPr>
          <w:rFonts w:ascii="Times New Roman" w:hAnsi="Times New Roman" w:cs="Times New Roman"/>
          <w:sz w:val="24"/>
          <w:szCs w:val="24"/>
        </w:rPr>
        <w:t xml:space="preserve"> of M&amp;A targets is 0.827, which is higher than in our main sample but lower than in our IPO sample.</w:t>
      </w:r>
    </w:p>
    <w:p w14:paraId="27C1972D" w14:textId="093398D1" w:rsidR="00254695" w:rsidRDefault="00AE7FDA" w:rsidP="00A815E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We continue using pooled OLS regressions in this </w:t>
      </w:r>
      <w:r w:rsidR="00890A6F">
        <w:rPr>
          <w:rFonts w:ascii="Times New Roman" w:hAnsi="Times New Roman" w:cs="Times New Roman"/>
          <w:sz w:val="24"/>
          <w:szCs w:val="24"/>
        </w:rPr>
        <w:t>validation test</w:t>
      </w:r>
      <w:r>
        <w:rPr>
          <w:rFonts w:ascii="Times New Roman" w:hAnsi="Times New Roman" w:cs="Times New Roman"/>
          <w:sz w:val="24"/>
          <w:szCs w:val="24"/>
        </w:rPr>
        <w:t xml:space="preserve">, with estimates reported </w:t>
      </w:r>
      <w:r w:rsidR="00890A6F">
        <w:rPr>
          <w:rFonts w:ascii="Times New Roman" w:hAnsi="Times New Roman" w:cs="Times New Roman"/>
          <w:sz w:val="24"/>
          <w:szCs w:val="24"/>
        </w:rPr>
        <w:t xml:space="preserve">in Table </w:t>
      </w:r>
      <w:r w:rsidR="002017C3">
        <w:rPr>
          <w:rFonts w:ascii="Times New Roman" w:hAnsi="Times New Roman" w:cs="Times New Roman"/>
          <w:sz w:val="24"/>
          <w:szCs w:val="24"/>
        </w:rPr>
        <w:t>5</w:t>
      </w:r>
      <w:r w:rsidR="00890A6F">
        <w:rPr>
          <w:rFonts w:ascii="Times New Roman" w:hAnsi="Times New Roman" w:cs="Times New Roman"/>
          <w:sz w:val="24"/>
          <w:szCs w:val="24"/>
        </w:rPr>
        <w:t xml:space="preserve">, Panel B. </w:t>
      </w:r>
      <w:r w:rsidR="007D170A">
        <w:rPr>
          <w:rFonts w:ascii="Times New Roman" w:hAnsi="Times New Roman" w:cs="Times New Roman"/>
          <w:sz w:val="24"/>
          <w:szCs w:val="24"/>
        </w:rPr>
        <w:t>In column (1)</w:t>
      </w:r>
      <w:r w:rsidR="00123087">
        <w:rPr>
          <w:rFonts w:ascii="Times New Roman" w:hAnsi="Times New Roman" w:cs="Times New Roman"/>
          <w:sz w:val="24"/>
          <w:szCs w:val="24"/>
        </w:rPr>
        <w:t>,</w:t>
      </w:r>
      <w:r w:rsidR="007D170A">
        <w:rPr>
          <w:rFonts w:ascii="Times New Roman" w:hAnsi="Times New Roman" w:cs="Times New Roman"/>
          <w:sz w:val="24"/>
          <w:szCs w:val="24"/>
        </w:rPr>
        <w:t xml:space="preserve"> we regress </w:t>
      </w:r>
      <w:r w:rsidR="007D170A" w:rsidRPr="007D170A">
        <w:rPr>
          <w:rFonts w:ascii="Times New Roman" w:hAnsi="Times New Roman" w:cs="Times New Roman"/>
          <w:i/>
          <w:iCs/>
          <w:sz w:val="24"/>
          <w:szCs w:val="24"/>
        </w:rPr>
        <w:t>log(M&amp;A FO Spread)</w:t>
      </w:r>
      <w:r w:rsidR="007D170A">
        <w:rPr>
          <w:rFonts w:ascii="Times New Roman" w:hAnsi="Times New Roman" w:cs="Times New Roman"/>
          <w:sz w:val="24"/>
          <w:szCs w:val="24"/>
        </w:rPr>
        <w:t xml:space="preserve"> on </w:t>
      </w:r>
      <w:r w:rsidR="007D170A" w:rsidRPr="007D170A">
        <w:rPr>
          <w:rFonts w:ascii="Times New Roman" w:hAnsi="Times New Roman" w:cs="Times New Roman"/>
          <w:i/>
          <w:iCs/>
          <w:sz w:val="24"/>
          <w:szCs w:val="24"/>
        </w:rPr>
        <w:t>VU</w:t>
      </w:r>
      <w:r w:rsidR="00240ED4">
        <w:rPr>
          <w:rFonts w:ascii="Times New Roman" w:hAnsi="Times New Roman" w:cs="Times New Roman"/>
          <w:sz w:val="24"/>
          <w:szCs w:val="24"/>
        </w:rPr>
        <w:t xml:space="preserve"> with year fixed effects </w:t>
      </w:r>
      <w:r w:rsidR="00240ED4">
        <w:rPr>
          <w:rFonts w:ascii="Times New Roman" w:hAnsi="Times New Roman" w:cs="Times New Roman"/>
          <w:sz w:val="24"/>
          <w:szCs w:val="24"/>
        </w:rPr>
        <w:lastRenderedPageBreak/>
        <w:t xml:space="preserve">and standard errors clustered by year. </w:t>
      </w:r>
      <w:r w:rsidR="00240ED4" w:rsidRPr="00240ED4">
        <w:rPr>
          <w:rFonts w:ascii="Times New Roman" w:hAnsi="Times New Roman" w:cs="Times New Roman"/>
          <w:i/>
          <w:iCs/>
          <w:sz w:val="24"/>
          <w:szCs w:val="24"/>
        </w:rPr>
        <w:t>VU</w:t>
      </w:r>
      <w:r w:rsidR="00240ED4">
        <w:rPr>
          <w:rFonts w:ascii="Times New Roman" w:hAnsi="Times New Roman" w:cs="Times New Roman"/>
          <w:sz w:val="24"/>
          <w:szCs w:val="24"/>
        </w:rPr>
        <w:t xml:space="preserve"> obtains a positive coefficient that is statistically significant at the 1% level. </w:t>
      </w:r>
      <w:r w:rsidR="00AB3FC2">
        <w:rPr>
          <w:rFonts w:ascii="Times New Roman" w:hAnsi="Times New Roman" w:cs="Times New Roman"/>
          <w:sz w:val="24"/>
          <w:szCs w:val="24"/>
        </w:rPr>
        <w:t>In other words,</w:t>
      </w:r>
      <w:r w:rsidR="00381809">
        <w:rPr>
          <w:rFonts w:ascii="Times New Roman" w:hAnsi="Times New Roman" w:cs="Times New Roman"/>
          <w:sz w:val="24"/>
          <w:szCs w:val="24"/>
        </w:rPr>
        <w:t xml:space="preserve"> firms characterized by higher valuation uncertainty according to our measure tend to have wider ranges of fundamental value estimated by investment bankers.</w:t>
      </w:r>
      <w:r w:rsidR="00AA7C97">
        <w:rPr>
          <w:rFonts w:ascii="Times New Roman" w:hAnsi="Times New Roman" w:cs="Times New Roman"/>
          <w:sz w:val="24"/>
          <w:szCs w:val="24"/>
        </w:rPr>
        <w:t xml:space="preserve"> In column (2) we add our usual set of control variables, this time also including prior stock return volatility (since the targets are listed firms). </w:t>
      </w:r>
      <w:r w:rsidR="00AA7C97" w:rsidRPr="00AA7C97">
        <w:rPr>
          <w:rFonts w:ascii="Times New Roman" w:hAnsi="Times New Roman" w:cs="Times New Roman"/>
          <w:i/>
          <w:iCs/>
          <w:sz w:val="24"/>
          <w:szCs w:val="24"/>
        </w:rPr>
        <w:t>VU</w:t>
      </w:r>
      <w:r w:rsidR="00AA7C97">
        <w:rPr>
          <w:rFonts w:ascii="Times New Roman" w:hAnsi="Times New Roman" w:cs="Times New Roman"/>
          <w:sz w:val="24"/>
          <w:szCs w:val="24"/>
        </w:rPr>
        <w:t xml:space="preserve"> continues to have a positive and statistically significant coefficient in this multivariate regression</w:t>
      </w:r>
      <w:r w:rsidR="00476FDD">
        <w:rPr>
          <w:rFonts w:ascii="Times New Roman" w:hAnsi="Times New Roman" w:cs="Times New Roman"/>
          <w:sz w:val="24"/>
          <w:szCs w:val="24"/>
        </w:rPr>
        <w:t xml:space="preserve">. We conclude that our measure reflects the uncertainty about </w:t>
      </w:r>
      <w:r w:rsidR="00F526A8">
        <w:rPr>
          <w:rFonts w:ascii="Times New Roman" w:hAnsi="Times New Roman" w:cs="Times New Roman"/>
          <w:sz w:val="24"/>
          <w:szCs w:val="24"/>
        </w:rPr>
        <w:t xml:space="preserve">intrinsic </w:t>
      </w:r>
      <w:r w:rsidR="00476FDD">
        <w:rPr>
          <w:rFonts w:ascii="Times New Roman" w:hAnsi="Times New Roman" w:cs="Times New Roman"/>
          <w:sz w:val="24"/>
          <w:szCs w:val="24"/>
        </w:rPr>
        <w:t>value manifested in valuation ranges prepared by experts.</w:t>
      </w:r>
    </w:p>
    <w:p w14:paraId="1F761DC0" w14:textId="50C6B18C" w:rsidR="008642E4" w:rsidRDefault="00D22327" w:rsidP="00D22327">
      <w:pPr>
        <w:spacing w:before="120" w:after="0" w:line="480" w:lineRule="auto"/>
        <w:jc w:val="center"/>
        <w:rPr>
          <w:rFonts w:ascii="Times New Roman" w:hAnsi="Times New Roman" w:cs="Times New Roman"/>
          <w:b/>
          <w:sz w:val="24"/>
          <w:szCs w:val="24"/>
        </w:rPr>
      </w:pPr>
      <w:r>
        <w:rPr>
          <w:rFonts w:ascii="Times New Roman" w:hAnsi="Times New Roman" w:cs="Times New Roman"/>
          <w:b/>
          <w:sz w:val="24"/>
          <w:szCs w:val="24"/>
        </w:rPr>
        <w:t>V</w:t>
      </w:r>
      <w:r w:rsidR="0045584E">
        <w:rPr>
          <w:rFonts w:ascii="Times New Roman" w:hAnsi="Times New Roman" w:cs="Times New Roman"/>
          <w:b/>
          <w:sz w:val="24"/>
          <w:szCs w:val="24"/>
        </w:rPr>
        <w:t xml:space="preserve">. </w:t>
      </w:r>
      <w:r>
        <w:rPr>
          <w:rFonts w:ascii="Times New Roman" w:hAnsi="Times New Roman" w:cs="Times New Roman"/>
          <w:b/>
          <w:sz w:val="24"/>
          <w:szCs w:val="24"/>
        </w:rPr>
        <w:t>APPLICATION: VALUATION UNCERTAINTY AND VALUATION MISTAKES</w:t>
      </w:r>
    </w:p>
    <w:p w14:paraId="116001EE" w14:textId="077AF8D0" w:rsidR="00EB36AB" w:rsidRDefault="00A20A06"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w:t>
      </w:r>
      <w:r w:rsidR="00A815E4">
        <w:rPr>
          <w:rFonts w:ascii="Times New Roman" w:hAnsi="Times New Roman" w:cs="Times New Roman"/>
          <w:sz w:val="24"/>
          <w:szCs w:val="24"/>
        </w:rPr>
        <w:t>s a form of indirect validation</w:t>
      </w:r>
      <w:r w:rsidR="00C2499A">
        <w:rPr>
          <w:rFonts w:ascii="Times New Roman" w:hAnsi="Times New Roman" w:cs="Times New Roman"/>
          <w:sz w:val="24"/>
          <w:szCs w:val="24"/>
        </w:rPr>
        <w:t xml:space="preserve"> of our measure</w:t>
      </w:r>
      <w:r>
        <w:rPr>
          <w:rFonts w:ascii="Times New Roman" w:hAnsi="Times New Roman" w:cs="Times New Roman"/>
          <w:sz w:val="24"/>
          <w:szCs w:val="24"/>
        </w:rPr>
        <w:t xml:space="preserve">, we </w:t>
      </w:r>
      <w:r w:rsidR="0086411D">
        <w:rPr>
          <w:rFonts w:ascii="Times New Roman" w:hAnsi="Times New Roman" w:cs="Times New Roman"/>
          <w:sz w:val="24"/>
          <w:szCs w:val="24"/>
        </w:rPr>
        <w:t xml:space="preserve">apply it to </w:t>
      </w:r>
      <w:r>
        <w:rPr>
          <w:rFonts w:ascii="Times New Roman" w:hAnsi="Times New Roman" w:cs="Times New Roman"/>
          <w:sz w:val="24"/>
          <w:szCs w:val="24"/>
        </w:rPr>
        <w:t>cross-sectional asset pricing</w:t>
      </w:r>
      <w:r w:rsidR="00A815E4">
        <w:rPr>
          <w:rFonts w:ascii="Times New Roman" w:hAnsi="Times New Roman" w:cs="Times New Roman"/>
          <w:sz w:val="24"/>
          <w:szCs w:val="24"/>
        </w:rPr>
        <w:t>.</w:t>
      </w:r>
      <w:r w:rsidR="005C1863">
        <w:rPr>
          <w:rFonts w:ascii="Times New Roman" w:hAnsi="Times New Roman" w:cs="Times New Roman"/>
          <w:sz w:val="24"/>
          <w:szCs w:val="24"/>
        </w:rPr>
        <w:t xml:space="preserve"> </w:t>
      </w:r>
      <w:r w:rsidR="0086411D">
        <w:rPr>
          <w:rFonts w:ascii="Times New Roman" w:hAnsi="Times New Roman" w:cs="Times New Roman"/>
          <w:sz w:val="24"/>
          <w:szCs w:val="24"/>
        </w:rPr>
        <w:t>W</w:t>
      </w:r>
      <w:r w:rsidR="00EB36AB">
        <w:rPr>
          <w:rFonts w:ascii="Times New Roman" w:hAnsi="Times New Roman" w:cs="Times New Roman"/>
          <w:sz w:val="24"/>
          <w:szCs w:val="24"/>
        </w:rPr>
        <w:t xml:space="preserve">e test the hypothesis that valuation uncertainty </w:t>
      </w:r>
      <w:r w:rsidR="0086411D">
        <w:rPr>
          <w:rFonts w:ascii="Times New Roman" w:hAnsi="Times New Roman" w:cs="Times New Roman"/>
          <w:sz w:val="24"/>
          <w:szCs w:val="24"/>
        </w:rPr>
        <w:t>promotes</w:t>
      </w:r>
      <w:r w:rsidR="00EB36AB">
        <w:rPr>
          <w:rFonts w:ascii="Times New Roman" w:hAnsi="Times New Roman" w:cs="Times New Roman"/>
          <w:sz w:val="24"/>
          <w:szCs w:val="24"/>
        </w:rPr>
        <w:t xml:space="preserve"> valuation mistakes</w:t>
      </w:r>
      <w:r w:rsidR="001B5F12">
        <w:rPr>
          <w:rFonts w:ascii="Times New Roman" w:hAnsi="Times New Roman" w:cs="Times New Roman"/>
          <w:sz w:val="24"/>
          <w:szCs w:val="24"/>
        </w:rPr>
        <w:t>, defined as deviations of prices from fundamental value</w:t>
      </w:r>
      <w:r w:rsidR="0086411D">
        <w:rPr>
          <w:rFonts w:ascii="Times New Roman" w:hAnsi="Times New Roman" w:cs="Times New Roman"/>
          <w:sz w:val="24"/>
          <w:szCs w:val="24"/>
        </w:rPr>
        <w:t>s</w:t>
      </w:r>
      <w:r w:rsidR="00096B81">
        <w:rPr>
          <w:rFonts w:ascii="Times New Roman" w:hAnsi="Times New Roman" w:cs="Times New Roman"/>
          <w:sz w:val="24"/>
          <w:szCs w:val="24"/>
        </w:rPr>
        <w:t>.</w:t>
      </w:r>
      <w:r w:rsidR="00EB36AB">
        <w:rPr>
          <w:rFonts w:ascii="Times New Roman" w:hAnsi="Times New Roman" w:cs="Times New Roman"/>
          <w:sz w:val="24"/>
          <w:szCs w:val="24"/>
        </w:rPr>
        <w:t xml:space="preserve"> </w:t>
      </w:r>
      <w:r w:rsidR="005A7C78">
        <w:rPr>
          <w:rFonts w:ascii="Times New Roman" w:hAnsi="Times New Roman" w:cs="Times New Roman"/>
          <w:sz w:val="24"/>
          <w:szCs w:val="24"/>
        </w:rPr>
        <w:t xml:space="preserve">This prediction </w:t>
      </w:r>
      <w:r w:rsidR="0086411D">
        <w:rPr>
          <w:rFonts w:ascii="Times New Roman" w:hAnsi="Times New Roman" w:cs="Times New Roman"/>
          <w:sz w:val="24"/>
          <w:szCs w:val="24"/>
        </w:rPr>
        <w:t xml:space="preserve">arises in at least </w:t>
      </w:r>
      <w:r w:rsidR="005A7C78">
        <w:rPr>
          <w:rFonts w:ascii="Times New Roman" w:hAnsi="Times New Roman" w:cs="Times New Roman"/>
          <w:sz w:val="24"/>
          <w:szCs w:val="24"/>
        </w:rPr>
        <w:t xml:space="preserve">three settings. </w:t>
      </w:r>
    </w:p>
    <w:p w14:paraId="6E0776D9" w14:textId="08F7C256" w:rsidR="00A24F53" w:rsidRPr="00DD78AD" w:rsidRDefault="00A24F53" w:rsidP="002419BD">
      <w:pPr>
        <w:spacing w:before="120" w:after="0" w:line="480" w:lineRule="auto"/>
        <w:jc w:val="both"/>
        <w:rPr>
          <w:rFonts w:ascii="Times New Roman" w:hAnsi="Times New Roman" w:cs="Times New Roman"/>
          <w:b/>
          <w:bCs/>
          <w:iCs/>
          <w:sz w:val="24"/>
          <w:szCs w:val="24"/>
        </w:rPr>
      </w:pPr>
      <w:r w:rsidRPr="00DD78AD">
        <w:rPr>
          <w:rFonts w:ascii="Times New Roman" w:hAnsi="Times New Roman" w:cs="Times New Roman"/>
          <w:b/>
          <w:bCs/>
          <w:iCs/>
          <w:sz w:val="24"/>
          <w:szCs w:val="24"/>
        </w:rPr>
        <w:t xml:space="preserve">Hypothesis </w:t>
      </w:r>
      <w:r w:rsidR="00DD78AD">
        <w:rPr>
          <w:rFonts w:ascii="Times New Roman" w:hAnsi="Times New Roman" w:cs="Times New Roman"/>
          <w:b/>
          <w:bCs/>
          <w:iCs/>
          <w:sz w:val="24"/>
          <w:szCs w:val="24"/>
        </w:rPr>
        <w:t>D</w:t>
      </w:r>
      <w:r w:rsidRPr="00DD78AD">
        <w:rPr>
          <w:rFonts w:ascii="Times New Roman" w:hAnsi="Times New Roman" w:cs="Times New Roman"/>
          <w:b/>
          <w:bCs/>
          <w:iCs/>
          <w:sz w:val="24"/>
          <w:szCs w:val="24"/>
        </w:rPr>
        <w:t>evelopment</w:t>
      </w:r>
      <w:r w:rsidR="00694C9A" w:rsidRPr="00DD78AD">
        <w:rPr>
          <w:rFonts w:ascii="Times New Roman" w:hAnsi="Times New Roman" w:cs="Times New Roman"/>
          <w:b/>
          <w:bCs/>
          <w:iCs/>
          <w:sz w:val="24"/>
          <w:szCs w:val="24"/>
        </w:rPr>
        <w:t xml:space="preserve"> and </w:t>
      </w:r>
      <w:r w:rsidR="00DD78AD">
        <w:rPr>
          <w:rFonts w:ascii="Times New Roman" w:hAnsi="Times New Roman" w:cs="Times New Roman"/>
          <w:b/>
          <w:bCs/>
          <w:iCs/>
          <w:sz w:val="24"/>
          <w:szCs w:val="24"/>
        </w:rPr>
        <w:t>E</w:t>
      </w:r>
      <w:r w:rsidR="00694C9A" w:rsidRPr="00DD78AD">
        <w:rPr>
          <w:rFonts w:ascii="Times New Roman" w:hAnsi="Times New Roman" w:cs="Times New Roman"/>
          <w:b/>
          <w:bCs/>
          <w:iCs/>
          <w:sz w:val="24"/>
          <w:szCs w:val="24"/>
        </w:rPr>
        <w:t xml:space="preserve">mpirical </w:t>
      </w:r>
      <w:r w:rsidR="00DD78AD">
        <w:rPr>
          <w:rFonts w:ascii="Times New Roman" w:hAnsi="Times New Roman" w:cs="Times New Roman"/>
          <w:b/>
          <w:bCs/>
          <w:iCs/>
          <w:sz w:val="24"/>
          <w:szCs w:val="24"/>
        </w:rPr>
        <w:t>P</w:t>
      </w:r>
      <w:r w:rsidR="00694C9A" w:rsidRPr="00DD78AD">
        <w:rPr>
          <w:rFonts w:ascii="Times New Roman" w:hAnsi="Times New Roman" w:cs="Times New Roman"/>
          <w:b/>
          <w:bCs/>
          <w:iCs/>
          <w:sz w:val="24"/>
          <w:szCs w:val="24"/>
        </w:rPr>
        <w:t>redictions</w:t>
      </w:r>
    </w:p>
    <w:p w14:paraId="2A581893" w14:textId="7C4D429B" w:rsidR="00320B0A" w:rsidRDefault="005E060D"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First, c</w:t>
      </w:r>
      <w:r w:rsidR="00445ECB">
        <w:rPr>
          <w:rFonts w:ascii="Times New Roman" w:hAnsi="Times New Roman" w:cs="Times New Roman"/>
          <w:sz w:val="24"/>
          <w:szCs w:val="24"/>
        </w:rPr>
        <w:t xml:space="preserve">onsider a market with heterogeneous investors and trading frictions, such as in Miller (1977). </w:t>
      </w:r>
      <w:r w:rsidR="003245DF">
        <w:rPr>
          <w:rFonts w:ascii="Times New Roman" w:hAnsi="Times New Roman" w:cs="Times New Roman"/>
          <w:sz w:val="24"/>
          <w:szCs w:val="24"/>
        </w:rPr>
        <w:t>In Miller’s words, “</w:t>
      </w:r>
      <w:r w:rsidR="003245DF" w:rsidRPr="003245DF">
        <w:rPr>
          <w:rFonts w:ascii="Times New Roman" w:hAnsi="Times New Roman" w:cs="Times New Roman"/>
          <w:bCs/>
          <w:sz w:val="24"/>
          <w:szCs w:val="24"/>
        </w:rPr>
        <w:t>the very concept of uncertainty implies that reasonable me</w:t>
      </w:r>
      <w:r w:rsidR="003245DF">
        <w:rPr>
          <w:rFonts w:ascii="Times New Roman" w:hAnsi="Times New Roman" w:cs="Times New Roman"/>
          <w:bCs/>
          <w:sz w:val="24"/>
          <w:szCs w:val="24"/>
        </w:rPr>
        <w:t xml:space="preserve">n may differ in their forecasts” (Miller 1977: p. </w:t>
      </w:r>
      <w:r w:rsidR="00264DD4">
        <w:rPr>
          <w:rFonts w:ascii="Times New Roman" w:hAnsi="Times New Roman" w:cs="Times New Roman"/>
          <w:bCs/>
          <w:sz w:val="24"/>
          <w:szCs w:val="24"/>
        </w:rPr>
        <w:t>1151).</w:t>
      </w:r>
      <w:r w:rsidR="00663BDD">
        <w:rPr>
          <w:rFonts w:ascii="Times New Roman" w:hAnsi="Times New Roman" w:cs="Times New Roman"/>
          <w:bCs/>
          <w:sz w:val="24"/>
          <w:szCs w:val="24"/>
        </w:rPr>
        <w:t xml:space="preserve"> </w:t>
      </w:r>
      <w:r w:rsidR="00907267">
        <w:rPr>
          <w:rFonts w:ascii="Times New Roman" w:hAnsi="Times New Roman" w:cs="Times New Roman"/>
          <w:bCs/>
          <w:sz w:val="24"/>
          <w:szCs w:val="24"/>
        </w:rPr>
        <w:t>That is</w:t>
      </w:r>
      <w:r w:rsidR="009E05DD">
        <w:rPr>
          <w:rFonts w:ascii="Times New Roman" w:hAnsi="Times New Roman" w:cs="Times New Roman"/>
          <w:bCs/>
          <w:sz w:val="24"/>
          <w:szCs w:val="24"/>
        </w:rPr>
        <w:t xml:space="preserve">, </w:t>
      </w:r>
      <w:r w:rsidR="003A4CEC">
        <w:rPr>
          <w:rFonts w:ascii="Times New Roman" w:hAnsi="Times New Roman" w:cs="Times New Roman"/>
          <w:bCs/>
          <w:sz w:val="24"/>
          <w:szCs w:val="24"/>
        </w:rPr>
        <w:t xml:space="preserve">different market participants </w:t>
      </w:r>
      <w:r w:rsidR="009E05DD">
        <w:rPr>
          <w:rFonts w:ascii="Times New Roman" w:hAnsi="Times New Roman" w:cs="Times New Roman"/>
          <w:bCs/>
          <w:sz w:val="24"/>
          <w:szCs w:val="24"/>
        </w:rPr>
        <w:t>are likely to</w:t>
      </w:r>
      <w:r w:rsidR="003A4CEC">
        <w:rPr>
          <w:rFonts w:ascii="Times New Roman" w:hAnsi="Times New Roman" w:cs="Times New Roman"/>
          <w:bCs/>
          <w:sz w:val="24"/>
          <w:szCs w:val="24"/>
        </w:rPr>
        <w:t xml:space="preserve"> arrive at </w:t>
      </w:r>
      <w:r w:rsidR="003245DF">
        <w:rPr>
          <w:rFonts w:ascii="Times New Roman" w:hAnsi="Times New Roman" w:cs="Times New Roman"/>
          <w:bCs/>
          <w:sz w:val="24"/>
          <w:szCs w:val="24"/>
        </w:rPr>
        <w:t xml:space="preserve">different </w:t>
      </w:r>
      <w:r w:rsidR="003A4CEC">
        <w:rPr>
          <w:rFonts w:ascii="Times New Roman" w:hAnsi="Times New Roman" w:cs="Times New Roman"/>
          <w:bCs/>
          <w:sz w:val="24"/>
          <w:szCs w:val="24"/>
        </w:rPr>
        <w:t>estimates of</w:t>
      </w:r>
      <w:r w:rsidR="003245DF">
        <w:rPr>
          <w:rFonts w:ascii="Times New Roman" w:hAnsi="Times New Roman" w:cs="Times New Roman"/>
          <w:bCs/>
          <w:sz w:val="24"/>
          <w:szCs w:val="24"/>
        </w:rPr>
        <w:t xml:space="preserve"> a security’s fundamental value</w:t>
      </w:r>
      <w:r w:rsidR="003A4CEC">
        <w:rPr>
          <w:rFonts w:ascii="Times New Roman" w:hAnsi="Times New Roman" w:cs="Times New Roman"/>
          <w:bCs/>
          <w:sz w:val="24"/>
          <w:szCs w:val="24"/>
        </w:rPr>
        <w:t xml:space="preserve">. Even </w:t>
      </w:r>
      <w:r w:rsidR="00F22857">
        <w:rPr>
          <w:rFonts w:ascii="Times New Roman" w:hAnsi="Times New Roman" w:cs="Times New Roman"/>
          <w:bCs/>
          <w:sz w:val="24"/>
          <w:szCs w:val="24"/>
        </w:rPr>
        <w:t xml:space="preserve">if </w:t>
      </w:r>
      <w:r w:rsidR="003A4CEC">
        <w:rPr>
          <w:rFonts w:ascii="Times New Roman" w:hAnsi="Times New Roman" w:cs="Times New Roman"/>
          <w:bCs/>
          <w:sz w:val="24"/>
          <w:szCs w:val="24"/>
        </w:rPr>
        <w:t>investors</w:t>
      </w:r>
      <w:r w:rsidR="00264DD4">
        <w:rPr>
          <w:rFonts w:ascii="Times New Roman" w:hAnsi="Times New Roman" w:cs="Times New Roman"/>
          <w:bCs/>
          <w:sz w:val="24"/>
          <w:szCs w:val="24"/>
        </w:rPr>
        <w:t>’</w:t>
      </w:r>
      <w:r w:rsidR="003A4CEC">
        <w:rPr>
          <w:rFonts w:ascii="Times New Roman" w:hAnsi="Times New Roman" w:cs="Times New Roman"/>
          <w:bCs/>
          <w:sz w:val="24"/>
          <w:szCs w:val="24"/>
        </w:rPr>
        <w:t xml:space="preserve"> forecasts are </w:t>
      </w:r>
      <w:r w:rsidR="00264DD4" w:rsidRPr="007F3CB1">
        <w:rPr>
          <w:rFonts w:ascii="Times New Roman" w:hAnsi="Times New Roman" w:cs="Times New Roman"/>
          <w:bCs/>
          <w:i/>
          <w:sz w:val="24"/>
          <w:szCs w:val="24"/>
        </w:rPr>
        <w:t>un</w:t>
      </w:r>
      <w:r w:rsidR="00264DD4">
        <w:rPr>
          <w:rFonts w:ascii="Times New Roman" w:hAnsi="Times New Roman" w:cs="Times New Roman"/>
          <w:bCs/>
          <w:sz w:val="24"/>
          <w:szCs w:val="24"/>
        </w:rPr>
        <w:t>biased</w:t>
      </w:r>
      <w:r w:rsidR="003A4CEC">
        <w:rPr>
          <w:rFonts w:ascii="Times New Roman" w:hAnsi="Times New Roman" w:cs="Times New Roman"/>
          <w:bCs/>
          <w:sz w:val="24"/>
          <w:szCs w:val="24"/>
        </w:rPr>
        <w:t xml:space="preserve"> on average, differences of opinion</w:t>
      </w:r>
      <w:r w:rsidR="00264DD4">
        <w:rPr>
          <w:rFonts w:ascii="Times New Roman" w:hAnsi="Times New Roman" w:cs="Times New Roman"/>
          <w:bCs/>
          <w:sz w:val="24"/>
          <w:szCs w:val="24"/>
        </w:rPr>
        <w:t xml:space="preserve"> can result in mispricing</w:t>
      </w:r>
      <w:r w:rsidR="00853BAC">
        <w:rPr>
          <w:rFonts w:ascii="Times New Roman" w:hAnsi="Times New Roman" w:cs="Times New Roman"/>
          <w:bCs/>
          <w:sz w:val="24"/>
          <w:szCs w:val="24"/>
        </w:rPr>
        <w:t>. This occurs</w:t>
      </w:r>
      <w:r w:rsidR="00F22857">
        <w:rPr>
          <w:rFonts w:ascii="Times New Roman" w:hAnsi="Times New Roman" w:cs="Times New Roman"/>
          <w:bCs/>
          <w:sz w:val="24"/>
          <w:szCs w:val="24"/>
        </w:rPr>
        <w:t xml:space="preserve"> when a</w:t>
      </w:r>
      <w:r w:rsidR="00320B0A">
        <w:rPr>
          <w:rFonts w:ascii="Times New Roman" w:hAnsi="Times New Roman" w:cs="Times New Roman"/>
          <w:bCs/>
          <w:sz w:val="24"/>
          <w:szCs w:val="24"/>
        </w:rPr>
        <w:t xml:space="preserve"> group of </w:t>
      </w:r>
      <w:r w:rsidR="00A254FF">
        <w:rPr>
          <w:rFonts w:ascii="Times New Roman" w:hAnsi="Times New Roman" w:cs="Times New Roman"/>
          <w:bCs/>
          <w:sz w:val="24"/>
          <w:szCs w:val="24"/>
        </w:rPr>
        <w:t>investors</w:t>
      </w:r>
      <w:r w:rsidR="00663BDD">
        <w:rPr>
          <w:rFonts w:ascii="Times New Roman" w:hAnsi="Times New Roman" w:cs="Times New Roman"/>
          <w:bCs/>
          <w:sz w:val="24"/>
          <w:szCs w:val="24"/>
        </w:rPr>
        <w:t xml:space="preserve"> holding specific beliefs</w:t>
      </w:r>
      <w:r w:rsidR="00016114">
        <w:rPr>
          <w:rFonts w:ascii="Times New Roman" w:hAnsi="Times New Roman" w:cs="Times New Roman"/>
          <w:bCs/>
          <w:sz w:val="24"/>
          <w:szCs w:val="24"/>
        </w:rPr>
        <w:t xml:space="preserve"> </w:t>
      </w:r>
      <w:r w:rsidR="00484E22">
        <w:rPr>
          <w:rFonts w:ascii="Times New Roman" w:hAnsi="Times New Roman" w:cs="Times New Roman"/>
          <w:bCs/>
          <w:sz w:val="24"/>
          <w:szCs w:val="24"/>
        </w:rPr>
        <w:t>is</w:t>
      </w:r>
      <w:r w:rsidR="00016114">
        <w:rPr>
          <w:rFonts w:ascii="Times New Roman" w:hAnsi="Times New Roman" w:cs="Times New Roman"/>
          <w:bCs/>
          <w:sz w:val="24"/>
          <w:szCs w:val="24"/>
        </w:rPr>
        <w:t xml:space="preserve"> prevented from impounding </w:t>
      </w:r>
      <w:r w:rsidR="007A1141">
        <w:rPr>
          <w:rFonts w:ascii="Times New Roman" w:hAnsi="Times New Roman" w:cs="Times New Roman"/>
          <w:bCs/>
          <w:sz w:val="24"/>
          <w:szCs w:val="24"/>
        </w:rPr>
        <w:t>them</w:t>
      </w:r>
      <w:r w:rsidR="00016114">
        <w:rPr>
          <w:rFonts w:ascii="Times New Roman" w:hAnsi="Times New Roman" w:cs="Times New Roman"/>
          <w:bCs/>
          <w:sz w:val="24"/>
          <w:szCs w:val="24"/>
        </w:rPr>
        <w:t xml:space="preserve"> into prices </w:t>
      </w:r>
      <w:r w:rsidR="00264DD4">
        <w:rPr>
          <w:rFonts w:ascii="Times New Roman" w:hAnsi="Times New Roman" w:cs="Times New Roman"/>
          <w:bCs/>
          <w:sz w:val="24"/>
          <w:szCs w:val="24"/>
        </w:rPr>
        <w:t xml:space="preserve">due to trading frictions </w:t>
      </w:r>
      <w:r w:rsidR="00016114">
        <w:rPr>
          <w:rFonts w:ascii="Times New Roman" w:hAnsi="Times New Roman" w:cs="Times New Roman"/>
          <w:bCs/>
          <w:sz w:val="24"/>
          <w:szCs w:val="24"/>
        </w:rPr>
        <w:t>(e.g., short-sale constraints</w:t>
      </w:r>
      <w:r w:rsidR="00320B0A">
        <w:rPr>
          <w:rFonts w:ascii="Times New Roman" w:hAnsi="Times New Roman" w:cs="Times New Roman"/>
          <w:bCs/>
          <w:sz w:val="24"/>
          <w:szCs w:val="24"/>
        </w:rPr>
        <w:t xml:space="preserve"> for pessimists</w:t>
      </w:r>
      <w:r w:rsidR="007F3CB1">
        <w:rPr>
          <w:rFonts w:ascii="Times New Roman" w:hAnsi="Times New Roman" w:cs="Times New Roman"/>
          <w:bCs/>
          <w:sz w:val="24"/>
          <w:szCs w:val="24"/>
        </w:rPr>
        <w:t>, leverage constraints for optimists</w:t>
      </w:r>
      <w:r w:rsidR="00016114">
        <w:rPr>
          <w:rFonts w:ascii="Times New Roman" w:hAnsi="Times New Roman" w:cs="Times New Roman"/>
          <w:bCs/>
          <w:sz w:val="24"/>
          <w:szCs w:val="24"/>
        </w:rPr>
        <w:t>).</w:t>
      </w:r>
      <w:r w:rsidR="00320B0A">
        <w:rPr>
          <w:rFonts w:ascii="Times New Roman" w:hAnsi="Times New Roman" w:cs="Times New Roman"/>
          <w:bCs/>
          <w:sz w:val="24"/>
          <w:szCs w:val="24"/>
        </w:rPr>
        <w:t xml:space="preserve"> </w:t>
      </w:r>
      <w:r w:rsidR="000F1F31">
        <w:rPr>
          <w:rFonts w:ascii="Times New Roman" w:hAnsi="Times New Roman" w:cs="Times New Roman"/>
          <w:sz w:val="24"/>
          <w:szCs w:val="24"/>
        </w:rPr>
        <w:t>G</w:t>
      </w:r>
      <w:r w:rsidR="00320B0A">
        <w:rPr>
          <w:rFonts w:ascii="Times New Roman" w:hAnsi="Times New Roman" w:cs="Times New Roman"/>
          <w:sz w:val="24"/>
          <w:szCs w:val="24"/>
        </w:rPr>
        <w:t xml:space="preserve">reater valuation uncertainty should be associated with </w:t>
      </w:r>
      <w:r w:rsidR="000F1F31">
        <w:rPr>
          <w:rFonts w:ascii="Times New Roman" w:hAnsi="Times New Roman" w:cs="Times New Roman"/>
          <w:sz w:val="24"/>
          <w:szCs w:val="24"/>
        </w:rPr>
        <w:t>greater</w:t>
      </w:r>
      <w:r w:rsidR="00320B0A">
        <w:rPr>
          <w:rFonts w:ascii="Times New Roman" w:hAnsi="Times New Roman" w:cs="Times New Roman"/>
          <w:sz w:val="24"/>
          <w:szCs w:val="24"/>
        </w:rPr>
        <w:t xml:space="preserve"> mispricing, </w:t>
      </w:r>
      <w:r w:rsidR="00320B0A" w:rsidRPr="0094328F">
        <w:rPr>
          <w:rFonts w:ascii="Times New Roman" w:hAnsi="Times New Roman" w:cs="Times New Roman"/>
          <w:sz w:val="24"/>
          <w:szCs w:val="24"/>
        </w:rPr>
        <w:t>because truncating the left or right tail of a more dispersed distribution shifts the mean of represented opinions to a greater extent.</w:t>
      </w:r>
    </w:p>
    <w:p w14:paraId="10B39114" w14:textId="601A6FA9" w:rsidR="00F62DDA" w:rsidRDefault="005E060D" w:rsidP="00E53B52">
      <w:pPr>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Second, consider a</w:t>
      </w:r>
      <w:r w:rsidR="007A1F25">
        <w:rPr>
          <w:rFonts w:ascii="Times New Roman" w:hAnsi="Times New Roman" w:cs="Times New Roman"/>
          <w:bCs/>
          <w:sz w:val="24"/>
          <w:szCs w:val="24"/>
        </w:rPr>
        <w:t xml:space="preserve"> setting with parameter uncertainty and learning, </w:t>
      </w:r>
      <w:r w:rsidR="000E2826">
        <w:rPr>
          <w:rFonts w:ascii="Times New Roman" w:hAnsi="Times New Roman" w:cs="Times New Roman"/>
          <w:bCs/>
          <w:sz w:val="24"/>
          <w:szCs w:val="24"/>
        </w:rPr>
        <w:t>as in</w:t>
      </w:r>
      <w:r w:rsidR="007A1F25">
        <w:rPr>
          <w:rFonts w:ascii="Times New Roman" w:hAnsi="Times New Roman" w:cs="Times New Roman"/>
          <w:bCs/>
          <w:sz w:val="24"/>
          <w:szCs w:val="24"/>
        </w:rPr>
        <w:t xml:space="preserve"> Lewellen and Shanken (2002). In this setup, investors are uncertain about </w:t>
      </w:r>
      <w:r>
        <w:rPr>
          <w:rFonts w:ascii="Times New Roman" w:hAnsi="Times New Roman" w:cs="Times New Roman"/>
          <w:bCs/>
          <w:sz w:val="24"/>
          <w:szCs w:val="24"/>
        </w:rPr>
        <w:t>the true value of the firm</w:t>
      </w:r>
      <w:r w:rsidR="007A1F25">
        <w:rPr>
          <w:rFonts w:ascii="Times New Roman" w:hAnsi="Times New Roman" w:cs="Times New Roman"/>
          <w:bCs/>
          <w:sz w:val="24"/>
          <w:szCs w:val="24"/>
        </w:rPr>
        <w:t xml:space="preserve"> and form </w:t>
      </w:r>
      <w:r w:rsidR="007A1F25">
        <w:rPr>
          <w:rFonts w:ascii="Times New Roman" w:hAnsi="Times New Roman" w:cs="Times New Roman"/>
          <w:bCs/>
          <w:sz w:val="24"/>
          <w:szCs w:val="24"/>
        </w:rPr>
        <w:lastRenderedPageBreak/>
        <w:t>ex</w:t>
      </w:r>
      <w:r>
        <w:rPr>
          <w:rFonts w:ascii="Times New Roman" w:hAnsi="Times New Roman" w:cs="Times New Roman"/>
          <w:bCs/>
          <w:sz w:val="24"/>
          <w:szCs w:val="24"/>
        </w:rPr>
        <w:t>pectations based on their prior beliefs</w:t>
      </w:r>
      <w:r w:rsidR="007A1F25">
        <w:rPr>
          <w:rFonts w:ascii="Times New Roman" w:hAnsi="Times New Roman" w:cs="Times New Roman"/>
          <w:bCs/>
          <w:sz w:val="24"/>
          <w:szCs w:val="24"/>
        </w:rPr>
        <w:t xml:space="preserve"> and </w:t>
      </w:r>
      <w:r w:rsidR="0072705F">
        <w:rPr>
          <w:rFonts w:ascii="Times New Roman" w:hAnsi="Times New Roman" w:cs="Times New Roman"/>
          <w:bCs/>
          <w:sz w:val="24"/>
          <w:szCs w:val="24"/>
        </w:rPr>
        <w:t>noisy signals</w:t>
      </w:r>
      <w:r w:rsidR="007A1F25">
        <w:rPr>
          <w:rFonts w:ascii="Times New Roman" w:hAnsi="Times New Roman" w:cs="Times New Roman"/>
          <w:bCs/>
          <w:sz w:val="24"/>
          <w:szCs w:val="24"/>
        </w:rPr>
        <w:t>.</w:t>
      </w:r>
      <w:r w:rsidR="00C22AB4">
        <w:rPr>
          <w:rFonts w:ascii="Times New Roman" w:hAnsi="Times New Roman" w:cs="Times New Roman"/>
          <w:bCs/>
          <w:sz w:val="24"/>
          <w:szCs w:val="24"/>
        </w:rPr>
        <w:t xml:space="preserve"> </w:t>
      </w:r>
      <w:r w:rsidR="009F2C7D">
        <w:rPr>
          <w:rFonts w:ascii="Times New Roman" w:hAnsi="Times New Roman" w:cs="Times New Roman"/>
          <w:sz w:val="24"/>
          <w:szCs w:val="24"/>
        </w:rPr>
        <w:t>If</w:t>
      </w:r>
      <w:r w:rsidRPr="009F2C7D">
        <w:rPr>
          <w:rFonts w:ascii="Times New Roman" w:hAnsi="Times New Roman" w:cs="Times New Roman"/>
          <w:sz w:val="24"/>
          <w:szCs w:val="24"/>
        </w:rPr>
        <w:t xml:space="preserve"> investors’ prior </w:t>
      </w:r>
      <w:r w:rsidR="009F2C7D">
        <w:rPr>
          <w:rFonts w:ascii="Times New Roman" w:hAnsi="Times New Roman" w:cs="Times New Roman"/>
          <w:sz w:val="24"/>
          <w:szCs w:val="24"/>
        </w:rPr>
        <w:t>is equal</w:t>
      </w:r>
      <w:r w:rsidR="00A17835">
        <w:rPr>
          <w:rFonts w:ascii="Times New Roman" w:hAnsi="Times New Roman" w:cs="Times New Roman"/>
          <w:sz w:val="24"/>
          <w:szCs w:val="24"/>
        </w:rPr>
        <w:t xml:space="preserve"> to</w:t>
      </w:r>
      <w:r w:rsidRPr="009F2C7D">
        <w:rPr>
          <w:rFonts w:ascii="Times New Roman" w:hAnsi="Times New Roman" w:cs="Times New Roman"/>
          <w:sz w:val="24"/>
          <w:szCs w:val="24"/>
        </w:rPr>
        <w:t xml:space="preserve"> the true</w:t>
      </w:r>
      <w:r w:rsidR="009F2C7D">
        <w:rPr>
          <w:rFonts w:ascii="Times New Roman" w:hAnsi="Times New Roman" w:cs="Times New Roman"/>
          <w:sz w:val="24"/>
          <w:szCs w:val="24"/>
        </w:rPr>
        <w:t xml:space="preserve"> (unknown)</w:t>
      </w:r>
      <w:r w:rsidR="0072705F">
        <w:rPr>
          <w:rFonts w:ascii="Times New Roman" w:hAnsi="Times New Roman" w:cs="Times New Roman"/>
          <w:sz w:val="24"/>
          <w:szCs w:val="24"/>
        </w:rPr>
        <w:t xml:space="preserve"> value, any noisy signal </w:t>
      </w:r>
      <w:r w:rsidR="009F2C7D" w:rsidRPr="009F2C7D">
        <w:rPr>
          <w:rFonts w:ascii="Times New Roman" w:hAnsi="Times New Roman" w:cs="Times New Roman"/>
          <w:sz w:val="24"/>
          <w:szCs w:val="24"/>
        </w:rPr>
        <w:t>pushes their belief</w:t>
      </w:r>
      <w:r w:rsidR="009F2C7D">
        <w:rPr>
          <w:rFonts w:ascii="Times New Roman" w:hAnsi="Times New Roman" w:cs="Times New Roman"/>
          <w:sz w:val="24"/>
          <w:szCs w:val="24"/>
        </w:rPr>
        <w:t xml:space="preserve"> away from the truth</w:t>
      </w:r>
      <w:r w:rsidRPr="009F2C7D">
        <w:rPr>
          <w:rFonts w:ascii="Times New Roman" w:hAnsi="Times New Roman" w:cs="Times New Roman"/>
          <w:sz w:val="24"/>
          <w:szCs w:val="24"/>
        </w:rPr>
        <w:t xml:space="preserve">, generating mispricing and subsequent corrections. </w:t>
      </w:r>
      <w:r w:rsidR="009F2C7D">
        <w:rPr>
          <w:rFonts w:ascii="Times New Roman" w:hAnsi="Times New Roman" w:cs="Times New Roman"/>
          <w:sz w:val="24"/>
          <w:szCs w:val="24"/>
        </w:rPr>
        <w:t>If, on the other hand,</w:t>
      </w:r>
      <w:r w:rsidRPr="009F2C7D">
        <w:rPr>
          <w:rFonts w:ascii="Times New Roman" w:hAnsi="Times New Roman" w:cs="Times New Roman"/>
          <w:sz w:val="24"/>
          <w:szCs w:val="24"/>
        </w:rPr>
        <w:t xml:space="preserve"> investors’ prio</w:t>
      </w:r>
      <w:r w:rsidR="009F2C7D">
        <w:rPr>
          <w:rFonts w:ascii="Times New Roman" w:hAnsi="Times New Roman" w:cs="Times New Roman"/>
          <w:sz w:val="24"/>
          <w:szCs w:val="24"/>
        </w:rPr>
        <w:t>r is already away from the true value an</w:t>
      </w:r>
      <w:r w:rsidR="0072705F">
        <w:rPr>
          <w:rFonts w:ascii="Times New Roman" w:hAnsi="Times New Roman" w:cs="Times New Roman"/>
          <w:sz w:val="24"/>
          <w:szCs w:val="24"/>
        </w:rPr>
        <w:t>d the signal distorts expectations even further</w:t>
      </w:r>
      <w:r w:rsidR="009F2C7D">
        <w:rPr>
          <w:rFonts w:ascii="Times New Roman" w:hAnsi="Times New Roman" w:cs="Times New Roman"/>
          <w:sz w:val="24"/>
          <w:szCs w:val="24"/>
        </w:rPr>
        <w:t xml:space="preserve">, </w:t>
      </w:r>
      <w:r w:rsidRPr="009F2C7D">
        <w:rPr>
          <w:rFonts w:ascii="Times New Roman" w:hAnsi="Times New Roman" w:cs="Times New Roman"/>
          <w:sz w:val="24"/>
          <w:szCs w:val="24"/>
        </w:rPr>
        <w:t xml:space="preserve">mispricing </w:t>
      </w:r>
      <w:r w:rsidR="009F2C7D">
        <w:rPr>
          <w:rFonts w:ascii="Times New Roman" w:hAnsi="Times New Roman" w:cs="Times New Roman"/>
          <w:sz w:val="24"/>
          <w:szCs w:val="24"/>
        </w:rPr>
        <w:t>is exacerbated</w:t>
      </w:r>
      <w:r w:rsidRPr="009F2C7D">
        <w:rPr>
          <w:rFonts w:ascii="Times New Roman" w:hAnsi="Times New Roman" w:cs="Times New Roman"/>
          <w:sz w:val="24"/>
          <w:szCs w:val="24"/>
        </w:rPr>
        <w:t>.</w:t>
      </w:r>
      <w:r w:rsidR="00A17835">
        <w:rPr>
          <w:rFonts w:ascii="Times New Roman" w:hAnsi="Times New Roman" w:cs="Times New Roman"/>
          <w:sz w:val="24"/>
          <w:szCs w:val="24"/>
        </w:rPr>
        <w:t xml:space="preserve"> </w:t>
      </w:r>
      <w:r w:rsidR="009F2C7D">
        <w:rPr>
          <w:rFonts w:ascii="Times New Roman" w:hAnsi="Times New Roman" w:cs="Times New Roman"/>
          <w:sz w:val="24"/>
          <w:szCs w:val="24"/>
        </w:rPr>
        <w:t>Both of these</w:t>
      </w:r>
      <w:r w:rsidR="009F2C7D" w:rsidRPr="009F2C7D">
        <w:rPr>
          <w:rFonts w:ascii="Times New Roman" w:hAnsi="Times New Roman" w:cs="Times New Roman"/>
          <w:sz w:val="24"/>
          <w:szCs w:val="24"/>
        </w:rPr>
        <w:t xml:space="preserve"> effects intensify when prior uncertainty is higher, as per Bayesian decision-making.</w:t>
      </w:r>
      <w:r w:rsidR="009F2C7D" w:rsidRPr="009F2C7D">
        <w:rPr>
          <w:rStyle w:val="FootnoteReference"/>
          <w:rFonts w:ascii="Times New Roman" w:hAnsi="Times New Roman" w:cs="Times New Roman"/>
          <w:sz w:val="24"/>
          <w:szCs w:val="24"/>
        </w:rPr>
        <w:footnoteReference w:id="24"/>
      </w:r>
      <w:r w:rsidR="00A17835">
        <w:rPr>
          <w:rFonts w:ascii="Times New Roman" w:hAnsi="Times New Roman" w:cs="Times New Roman"/>
          <w:bCs/>
          <w:sz w:val="24"/>
          <w:szCs w:val="24"/>
        </w:rPr>
        <w:t xml:space="preserve"> In this setup, pricing mistakes arise despite investors </w:t>
      </w:r>
      <w:r w:rsidR="00A20A06">
        <w:rPr>
          <w:rFonts w:ascii="Times New Roman" w:hAnsi="Times New Roman" w:cs="Times New Roman"/>
          <w:bCs/>
          <w:sz w:val="24"/>
          <w:szCs w:val="24"/>
        </w:rPr>
        <w:t>acting</w:t>
      </w:r>
      <w:r w:rsidR="00A17835">
        <w:rPr>
          <w:rFonts w:ascii="Times New Roman" w:hAnsi="Times New Roman" w:cs="Times New Roman"/>
          <w:bCs/>
          <w:sz w:val="24"/>
          <w:szCs w:val="24"/>
        </w:rPr>
        <w:t xml:space="preserve"> rational</w:t>
      </w:r>
      <w:r w:rsidR="00A20A06">
        <w:rPr>
          <w:rFonts w:ascii="Times New Roman" w:hAnsi="Times New Roman" w:cs="Times New Roman"/>
          <w:bCs/>
          <w:sz w:val="24"/>
          <w:szCs w:val="24"/>
        </w:rPr>
        <w:t>ly</w:t>
      </w:r>
      <w:r w:rsidR="00025B2F">
        <w:rPr>
          <w:rFonts w:ascii="Times New Roman" w:hAnsi="Times New Roman" w:cs="Times New Roman"/>
          <w:bCs/>
          <w:sz w:val="24"/>
          <w:szCs w:val="24"/>
        </w:rPr>
        <w:t xml:space="preserve"> and</w:t>
      </w:r>
      <w:r w:rsidR="00A17835">
        <w:rPr>
          <w:rFonts w:ascii="Times New Roman" w:hAnsi="Times New Roman" w:cs="Times New Roman"/>
          <w:bCs/>
          <w:sz w:val="24"/>
          <w:szCs w:val="24"/>
        </w:rPr>
        <w:t xml:space="preserve"> using all available information.</w:t>
      </w:r>
    </w:p>
    <w:p w14:paraId="53D15F4A" w14:textId="09DF8226" w:rsidR="00D32C1E" w:rsidRDefault="001A6F0E" w:rsidP="00E53B52">
      <w:pPr>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Finally, a</w:t>
      </w:r>
      <w:r w:rsidR="00533C34">
        <w:rPr>
          <w:rFonts w:ascii="Times New Roman" w:hAnsi="Times New Roman" w:cs="Times New Roman"/>
          <w:bCs/>
          <w:sz w:val="24"/>
          <w:szCs w:val="24"/>
        </w:rPr>
        <w:t xml:space="preserve"> sim</w:t>
      </w:r>
      <w:r w:rsidR="00F22D78">
        <w:rPr>
          <w:rFonts w:ascii="Times New Roman" w:hAnsi="Times New Roman" w:cs="Times New Roman"/>
          <w:bCs/>
          <w:sz w:val="24"/>
          <w:szCs w:val="24"/>
        </w:rPr>
        <w:t>ilar prediction regarding the effect of valuation uncertainty on the propensity of valuation mistakes can be obtained</w:t>
      </w:r>
      <w:r w:rsidR="00533C34">
        <w:rPr>
          <w:rFonts w:ascii="Times New Roman" w:hAnsi="Times New Roman" w:cs="Times New Roman"/>
          <w:bCs/>
          <w:sz w:val="24"/>
          <w:szCs w:val="24"/>
        </w:rPr>
        <w:t xml:space="preserve"> </w:t>
      </w:r>
      <w:r w:rsidR="00A254FF">
        <w:rPr>
          <w:rFonts w:ascii="Times New Roman" w:hAnsi="Times New Roman" w:cs="Times New Roman"/>
          <w:bCs/>
          <w:sz w:val="24"/>
          <w:szCs w:val="24"/>
        </w:rPr>
        <w:t xml:space="preserve">in a framework with </w:t>
      </w:r>
      <w:r w:rsidR="00FC55FA">
        <w:rPr>
          <w:rFonts w:ascii="Times New Roman" w:hAnsi="Times New Roman" w:cs="Times New Roman"/>
          <w:bCs/>
          <w:sz w:val="24"/>
          <w:szCs w:val="24"/>
        </w:rPr>
        <w:t>sentiment</w:t>
      </w:r>
      <w:r w:rsidR="00533C34">
        <w:rPr>
          <w:rFonts w:ascii="Times New Roman" w:hAnsi="Times New Roman" w:cs="Times New Roman"/>
          <w:bCs/>
          <w:sz w:val="24"/>
          <w:szCs w:val="24"/>
        </w:rPr>
        <w:t xml:space="preserve"> traders (those with biased </w:t>
      </w:r>
      <w:r w:rsidR="00907267">
        <w:rPr>
          <w:rFonts w:ascii="Times New Roman" w:hAnsi="Times New Roman" w:cs="Times New Roman"/>
          <w:bCs/>
          <w:sz w:val="24"/>
          <w:szCs w:val="24"/>
        </w:rPr>
        <w:t>beliefs</w:t>
      </w:r>
      <w:r w:rsidR="00533C34">
        <w:rPr>
          <w:rFonts w:ascii="Times New Roman" w:hAnsi="Times New Roman" w:cs="Times New Roman"/>
          <w:bCs/>
          <w:sz w:val="24"/>
          <w:szCs w:val="24"/>
        </w:rPr>
        <w:t>)</w:t>
      </w:r>
      <w:r w:rsidR="00A254FF">
        <w:rPr>
          <w:rFonts w:ascii="Times New Roman" w:hAnsi="Times New Roman" w:cs="Times New Roman"/>
          <w:bCs/>
          <w:sz w:val="24"/>
          <w:szCs w:val="24"/>
        </w:rPr>
        <w:t xml:space="preserve"> and limits to arbitrage</w:t>
      </w:r>
      <w:r w:rsidR="00E75312">
        <w:rPr>
          <w:rFonts w:ascii="Times New Roman" w:hAnsi="Times New Roman" w:cs="Times New Roman"/>
          <w:bCs/>
          <w:sz w:val="24"/>
          <w:szCs w:val="24"/>
        </w:rPr>
        <w:t>, as in Daniel</w:t>
      </w:r>
      <w:r w:rsidR="00AF1C9D">
        <w:rPr>
          <w:rFonts w:ascii="Times New Roman" w:hAnsi="Times New Roman" w:cs="Times New Roman"/>
          <w:bCs/>
          <w:sz w:val="24"/>
          <w:szCs w:val="24"/>
        </w:rPr>
        <w:t>,</w:t>
      </w:r>
      <w:r w:rsidR="00E75312">
        <w:rPr>
          <w:rFonts w:ascii="Times New Roman" w:hAnsi="Times New Roman" w:cs="Times New Roman"/>
          <w:bCs/>
          <w:sz w:val="24"/>
          <w:szCs w:val="24"/>
        </w:rPr>
        <w:t xml:space="preserve"> Hirshleifer, and Subrahmanyam (1998)</w:t>
      </w:r>
      <w:r w:rsidR="000F2471">
        <w:rPr>
          <w:rFonts w:ascii="Times New Roman" w:hAnsi="Times New Roman" w:cs="Times New Roman"/>
          <w:bCs/>
          <w:sz w:val="24"/>
          <w:szCs w:val="24"/>
        </w:rPr>
        <w:t>.</w:t>
      </w:r>
      <w:r w:rsidR="00F22D78">
        <w:rPr>
          <w:rFonts w:ascii="Times New Roman" w:hAnsi="Times New Roman" w:cs="Times New Roman"/>
          <w:bCs/>
          <w:sz w:val="24"/>
          <w:szCs w:val="24"/>
        </w:rPr>
        <w:t xml:space="preserve"> </w:t>
      </w:r>
      <w:r w:rsidR="0051438E">
        <w:rPr>
          <w:rFonts w:ascii="Times New Roman" w:hAnsi="Times New Roman" w:cs="Times New Roman"/>
          <w:bCs/>
          <w:sz w:val="24"/>
          <w:szCs w:val="24"/>
        </w:rPr>
        <w:t xml:space="preserve">First, </w:t>
      </w:r>
      <w:r w:rsidR="00651508">
        <w:rPr>
          <w:rFonts w:ascii="Times New Roman" w:hAnsi="Times New Roman" w:cs="Times New Roman"/>
          <w:bCs/>
          <w:sz w:val="24"/>
          <w:szCs w:val="24"/>
        </w:rPr>
        <w:t xml:space="preserve">stocks with more uncertain valuations </w:t>
      </w:r>
      <w:r w:rsidR="004739F7">
        <w:rPr>
          <w:rFonts w:ascii="Times New Roman" w:hAnsi="Times New Roman" w:cs="Times New Roman"/>
          <w:bCs/>
          <w:sz w:val="24"/>
          <w:szCs w:val="24"/>
        </w:rPr>
        <w:t>are</w:t>
      </w:r>
      <w:r w:rsidR="00651508">
        <w:rPr>
          <w:rFonts w:ascii="Times New Roman" w:hAnsi="Times New Roman" w:cs="Times New Roman"/>
          <w:bCs/>
          <w:sz w:val="24"/>
          <w:szCs w:val="24"/>
        </w:rPr>
        <w:t xml:space="preserve"> more </w:t>
      </w:r>
      <w:r w:rsidR="004739F7">
        <w:rPr>
          <w:rFonts w:ascii="Times New Roman" w:hAnsi="Times New Roman" w:cs="Times New Roman"/>
          <w:bCs/>
          <w:sz w:val="24"/>
          <w:szCs w:val="24"/>
        </w:rPr>
        <w:t>prone to speculation.</w:t>
      </w:r>
      <w:r w:rsidR="00DC3AF2">
        <w:rPr>
          <w:rFonts w:ascii="Times New Roman" w:hAnsi="Times New Roman" w:cs="Times New Roman"/>
          <w:bCs/>
          <w:sz w:val="24"/>
          <w:szCs w:val="24"/>
        </w:rPr>
        <w:t xml:space="preserve"> </w:t>
      </w:r>
      <w:r w:rsidR="00A254FF">
        <w:rPr>
          <w:rFonts w:ascii="Times New Roman" w:hAnsi="Times New Roman" w:cs="Times New Roman"/>
          <w:bCs/>
          <w:sz w:val="24"/>
          <w:szCs w:val="24"/>
        </w:rPr>
        <w:t>For instance,</w:t>
      </w:r>
      <w:r w:rsidR="00113DA0">
        <w:rPr>
          <w:rFonts w:ascii="Times New Roman" w:hAnsi="Times New Roman" w:cs="Times New Roman"/>
          <w:bCs/>
          <w:sz w:val="24"/>
          <w:szCs w:val="24"/>
        </w:rPr>
        <w:t xml:space="preserve"> </w:t>
      </w:r>
      <w:r w:rsidR="00A254FF">
        <w:rPr>
          <w:rFonts w:ascii="Times New Roman" w:hAnsi="Times New Roman" w:cs="Times New Roman"/>
          <w:bCs/>
          <w:sz w:val="24"/>
          <w:szCs w:val="24"/>
        </w:rPr>
        <w:t>Baker</w:t>
      </w:r>
      <w:r w:rsidR="004C3284">
        <w:rPr>
          <w:rFonts w:ascii="Times New Roman" w:hAnsi="Times New Roman" w:cs="Times New Roman"/>
          <w:bCs/>
          <w:sz w:val="24"/>
          <w:szCs w:val="24"/>
        </w:rPr>
        <w:t xml:space="preserve"> and Wurgler (2006</w:t>
      </w:r>
      <w:r w:rsidR="007F3CB1">
        <w:rPr>
          <w:rFonts w:ascii="Times New Roman" w:hAnsi="Times New Roman" w:cs="Times New Roman"/>
          <w:bCs/>
          <w:sz w:val="24"/>
          <w:szCs w:val="24"/>
        </w:rPr>
        <w:t>: p. 1648</w:t>
      </w:r>
      <w:r w:rsidR="004C3284">
        <w:rPr>
          <w:rFonts w:ascii="Times New Roman" w:hAnsi="Times New Roman" w:cs="Times New Roman"/>
          <w:bCs/>
          <w:sz w:val="24"/>
          <w:szCs w:val="24"/>
        </w:rPr>
        <w:t>) suggest that</w:t>
      </w:r>
      <w:r w:rsidR="00A254FF">
        <w:rPr>
          <w:rFonts w:ascii="Times New Roman" w:hAnsi="Times New Roman" w:cs="Times New Roman"/>
          <w:bCs/>
          <w:sz w:val="24"/>
          <w:szCs w:val="24"/>
        </w:rPr>
        <w:t xml:space="preserve"> </w:t>
      </w:r>
      <w:r w:rsidR="00113DA0">
        <w:rPr>
          <w:rFonts w:ascii="Times New Roman" w:hAnsi="Times New Roman" w:cs="Times New Roman"/>
          <w:bCs/>
          <w:sz w:val="24"/>
          <w:szCs w:val="24"/>
        </w:rPr>
        <w:t>“</w:t>
      </w:r>
      <w:r w:rsidR="004C3284">
        <w:rPr>
          <w:rFonts w:ascii="Times New Roman" w:hAnsi="Times New Roman" w:cs="Times New Roman"/>
          <w:sz w:val="24"/>
          <w:szCs w:val="24"/>
        </w:rPr>
        <w:t>t</w:t>
      </w:r>
      <w:r w:rsidR="00A254FF">
        <w:rPr>
          <w:rFonts w:ascii="Times New Roman" w:hAnsi="Times New Roman" w:cs="Times New Roman"/>
          <w:sz w:val="24"/>
          <w:szCs w:val="24"/>
        </w:rPr>
        <w:t>he lack of an earnings history combined with the presence of apparently unlimited growth opportunities allows unsophisticated investors to defend, with equal plausibility, a wide spectrum of valuations, from much too low to much too high, as suits their sentime</w:t>
      </w:r>
      <w:r w:rsidR="007F3CB1">
        <w:rPr>
          <w:rFonts w:ascii="Times New Roman" w:hAnsi="Times New Roman" w:cs="Times New Roman"/>
          <w:sz w:val="24"/>
          <w:szCs w:val="24"/>
        </w:rPr>
        <w:t>nt.”</w:t>
      </w:r>
      <w:r w:rsidR="00D32C1E">
        <w:rPr>
          <w:rFonts w:ascii="Times New Roman" w:hAnsi="Times New Roman" w:cs="Times New Roman"/>
          <w:sz w:val="24"/>
          <w:szCs w:val="24"/>
        </w:rPr>
        <w:t xml:space="preserve"> </w:t>
      </w:r>
      <w:r w:rsidR="00D32C1E">
        <w:rPr>
          <w:rFonts w:ascii="Times New Roman" w:hAnsi="Times New Roman" w:cs="Times New Roman"/>
          <w:bCs/>
          <w:sz w:val="24"/>
          <w:szCs w:val="24"/>
        </w:rPr>
        <w:t xml:space="preserve">Hence, </w:t>
      </w:r>
      <w:r w:rsidR="007F3CB1">
        <w:rPr>
          <w:rFonts w:ascii="Times New Roman" w:hAnsi="Times New Roman" w:cs="Times New Roman"/>
          <w:bCs/>
          <w:sz w:val="24"/>
          <w:szCs w:val="24"/>
        </w:rPr>
        <w:t xml:space="preserve">holding limits to arbitrage constant, </w:t>
      </w:r>
      <w:r w:rsidR="00D32C1E">
        <w:rPr>
          <w:rFonts w:ascii="Times New Roman" w:hAnsi="Times New Roman" w:cs="Times New Roman"/>
          <w:bCs/>
          <w:sz w:val="24"/>
          <w:szCs w:val="24"/>
        </w:rPr>
        <w:t xml:space="preserve">one can expect greater uninformed demand shocks when valuation uncertainty is high, leading to greater price dislocations. </w:t>
      </w:r>
      <w:r w:rsidR="00D51A45">
        <w:rPr>
          <w:rFonts w:ascii="Times New Roman" w:hAnsi="Times New Roman" w:cs="Times New Roman"/>
          <w:bCs/>
          <w:sz w:val="24"/>
          <w:szCs w:val="24"/>
        </w:rPr>
        <w:t>Second</w:t>
      </w:r>
      <w:r w:rsidR="00D32C1E">
        <w:rPr>
          <w:rFonts w:ascii="Times New Roman" w:hAnsi="Times New Roman" w:cs="Times New Roman"/>
          <w:bCs/>
          <w:sz w:val="24"/>
          <w:szCs w:val="24"/>
        </w:rPr>
        <w:t xml:space="preserve">, valuation uncertainty is related to </w:t>
      </w:r>
      <w:r w:rsidR="00935A2E">
        <w:rPr>
          <w:rFonts w:ascii="Times New Roman" w:hAnsi="Times New Roman" w:cs="Times New Roman"/>
          <w:bCs/>
          <w:sz w:val="24"/>
          <w:szCs w:val="24"/>
        </w:rPr>
        <w:t>the so-called noise-</w:t>
      </w:r>
      <w:r w:rsidR="007F3CB1">
        <w:rPr>
          <w:rFonts w:ascii="Times New Roman" w:hAnsi="Times New Roman" w:cs="Times New Roman"/>
          <w:bCs/>
          <w:sz w:val="24"/>
          <w:szCs w:val="24"/>
        </w:rPr>
        <w:t>trader risk</w:t>
      </w:r>
      <w:r w:rsidR="00D32C1E">
        <w:rPr>
          <w:rFonts w:ascii="Times New Roman" w:hAnsi="Times New Roman" w:cs="Times New Roman"/>
          <w:bCs/>
          <w:sz w:val="24"/>
          <w:szCs w:val="24"/>
        </w:rPr>
        <w:t>, whereby inform</w:t>
      </w:r>
      <w:r w:rsidR="005144D7">
        <w:rPr>
          <w:rFonts w:ascii="Times New Roman" w:hAnsi="Times New Roman" w:cs="Times New Roman"/>
          <w:bCs/>
          <w:sz w:val="24"/>
          <w:szCs w:val="24"/>
        </w:rPr>
        <w:t>ed arbitrageurs</w:t>
      </w:r>
      <w:r w:rsidR="00F86BB5">
        <w:rPr>
          <w:rFonts w:ascii="Times New Roman" w:hAnsi="Times New Roman" w:cs="Times New Roman"/>
          <w:bCs/>
          <w:sz w:val="24"/>
          <w:szCs w:val="24"/>
        </w:rPr>
        <w:t>,</w:t>
      </w:r>
      <w:r w:rsidR="005144D7">
        <w:rPr>
          <w:rFonts w:ascii="Times New Roman" w:hAnsi="Times New Roman" w:cs="Times New Roman"/>
          <w:bCs/>
          <w:sz w:val="24"/>
          <w:szCs w:val="24"/>
        </w:rPr>
        <w:t xml:space="preserve"> whose actions keep prices in check</w:t>
      </w:r>
      <w:r w:rsidR="00F86BB5">
        <w:rPr>
          <w:rFonts w:ascii="Times New Roman" w:hAnsi="Times New Roman" w:cs="Times New Roman"/>
          <w:bCs/>
          <w:sz w:val="24"/>
          <w:szCs w:val="24"/>
        </w:rPr>
        <w:t>,</w:t>
      </w:r>
      <w:r w:rsidR="00D32C1E">
        <w:rPr>
          <w:rFonts w:ascii="Times New Roman" w:hAnsi="Times New Roman" w:cs="Times New Roman"/>
          <w:bCs/>
          <w:sz w:val="24"/>
          <w:szCs w:val="24"/>
        </w:rPr>
        <w:t xml:space="preserve"> </w:t>
      </w:r>
      <w:r w:rsidR="00907267">
        <w:rPr>
          <w:rFonts w:ascii="Times New Roman" w:hAnsi="Times New Roman" w:cs="Times New Roman"/>
          <w:bCs/>
          <w:sz w:val="24"/>
          <w:szCs w:val="24"/>
        </w:rPr>
        <w:t>fear</w:t>
      </w:r>
      <w:r w:rsidR="00D32C1E">
        <w:rPr>
          <w:rFonts w:ascii="Times New Roman" w:hAnsi="Times New Roman" w:cs="Times New Roman"/>
          <w:bCs/>
          <w:sz w:val="24"/>
          <w:szCs w:val="24"/>
        </w:rPr>
        <w:t xml:space="preserve"> further price dislocations</w:t>
      </w:r>
      <w:r w:rsidR="0059627F">
        <w:rPr>
          <w:rFonts w:ascii="Times New Roman" w:hAnsi="Times New Roman" w:cs="Times New Roman"/>
          <w:bCs/>
          <w:sz w:val="24"/>
          <w:szCs w:val="24"/>
        </w:rPr>
        <w:t xml:space="preserve"> and limit their trading</w:t>
      </w:r>
      <w:r w:rsidR="00D32C1E">
        <w:rPr>
          <w:rFonts w:ascii="Times New Roman" w:hAnsi="Times New Roman" w:cs="Times New Roman"/>
          <w:bCs/>
          <w:sz w:val="24"/>
          <w:szCs w:val="24"/>
        </w:rPr>
        <w:t>.</w:t>
      </w:r>
      <w:r w:rsidR="006E71E1">
        <w:rPr>
          <w:rFonts w:ascii="Times New Roman" w:hAnsi="Times New Roman" w:cs="Times New Roman"/>
          <w:bCs/>
          <w:sz w:val="24"/>
          <w:szCs w:val="24"/>
        </w:rPr>
        <w:t xml:space="preserve"> For instance,</w:t>
      </w:r>
      <w:r w:rsidR="006B4D50">
        <w:rPr>
          <w:rFonts w:ascii="Times New Roman" w:hAnsi="Times New Roman" w:cs="Times New Roman"/>
          <w:bCs/>
          <w:sz w:val="24"/>
          <w:szCs w:val="24"/>
        </w:rPr>
        <w:t xml:space="preserve"> </w:t>
      </w:r>
      <w:hyperlink w:anchor="_ENREF_61" w:tooltip="Pontiff, 2006 #1497" w:history="1">
        <w:r w:rsidR="00A4299A">
          <w:rPr>
            <w:rFonts w:ascii="Times New Roman" w:hAnsi="Times New Roman" w:cs="Times New Roman"/>
            <w:bCs/>
            <w:sz w:val="24"/>
            <w:szCs w:val="24"/>
          </w:rPr>
          <w:fldChar w:fldCharType="begin"/>
        </w:r>
        <w:r w:rsidR="00A4299A">
          <w:rPr>
            <w:rFonts w:ascii="Times New Roman" w:hAnsi="Times New Roman" w:cs="Times New Roman"/>
            <w:bCs/>
            <w:sz w:val="24"/>
            <w:szCs w:val="24"/>
          </w:rPr>
          <w:instrText xml:space="preserve"> ADDIN EN.CITE &lt;EndNote&gt;&lt;Cite AuthorYear="1"&gt;&lt;Author&gt;Pontiff&lt;/Author&gt;&lt;Year&gt;2006&lt;/Year&gt;&lt;RecNum&gt;1497&lt;/RecNum&gt;&lt;DisplayText&gt;Pontiff (2006)&lt;/DisplayText&gt;&lt;record&gt;&lt;rec-number&gt;1497&lt;/rec-number&gt;&lt;foreign-keys&gt;&lt;key app="EN" db-id="a00ppf5vbz2zw4efraqp9recxrvdwwtasszf" timestamp="1636055779"&gt;1497&lt;/key&gt;&lt;/foreign-keys&gt;&lt;ref-type name="Journal Article"&gt;17&lt;/ref-type&gt;&lt;contributors&gt;&lt;authors&gt;&lt;author&gt;Pontiff, Jeffrey&lt;/author&gt;&lt;/authors&gt;&lt;/contributors&gt;&lt;titles&gt;&lt;title&gt;Costly arbitrage and the myth of idiosyncratic risk&lt;/title&gt;&lt;secondary-title&gt;Journal of Accounting &amp;amp; Economics&lt;/secondary-title&gt;&lt;/titles&gt;&lt;periodical&gt;&lt;full-title&gt;Journal of Accounting &amp;amp; Economics&lt;/full-title&gt;&lt;/periodical&gt;&lt;pages&gt;35-52&lt;/pages&gt;&lt;volume&gt;42&lt;/volume&gt;&lt;number&gt;1/2&lt;/number&gt;&lt;keywords&gt;&lt;keyword&gt;ARBITRAGE&lt;/keyword&gt;&lt;keyword&gt;INDUSTRIAL costs&lt;/keyword&gt;&lt;keyword&gt;PRICING&lt;/keyword&gt;&lt;keyword&gt;TRANSACTION costs&lt;/keyword&gt;&lt;keyword&gt;COST&lt;/keyword&gt;&lt;keyword&gt;Capital markets&lt;/keyword&gt;&lt;keyword&gt;Costly arbitrage&lt;/keyword&gt;&lt;keyword&gt;G00&lt;/keyword&gt;&lt;keyword&gt;Idiosyncratic risk&lt;/keyword&gt;&lt;keyword&gt;M40&lt;/keyword&gt;&lt;keyword&gt;Market efficiency&lt;/keyword&gt;&lt;/keywords&gt;&lt;dates&gt;&lt;year&gt;2006&lt;/year&gt;&lt;/dates&gt;&lt;isbn&gt;01654101&lt;/isbn&gt;&lt;accession-num&gt;21918692&lt;/accession-num&gt;&lt;work-type&gt;Article&lt;/work-type&gt;&lt;urls&gt;&lt;related-urls&gt;&lt;url&gt;http://search.ebscohost.com/login.aspx?direct=true&amp;amp;db=buh&amp;amp;AN=21918692&amp;amp;site=ehost-live&lt;/url&gt;&lt;/related-urls&gt;&lt;/urls&gt;&lt;electronic-resource-num&gt;10.1016/j.jacceco.2006.04.002&lt;/electronic-resource-num&gt;&lt;remote-database-name&gt;buh&lt;/remote-database-name&gt;&lt;remote-database-provider&gt;EBSCOhost&lt;/remote-database-provider&gt;&lt;/record&gt;&lt;/Cite&gt;&lt;/EndNote&gt;</w:instrText>
        </w:r>
        <w:r w:rsidR="00A4299A">
          <w:rPr>
            <w:rFonts w:ascii="Times New Roman" w:hAnsi="Times New Roman" w:cs="Times New Roman"/>
            <w:bCs/>
            <w:sz w:val="24"/>
            <w:szCs w:val="24"/>
          </w:rPr>
          <w:fldChar w:fldCharType="separate"/>
        </w:r>
        <w:r w:rsidR="00A4299A">
          <w:rPr>
            <w:rFonts w:ascii="Times New Roman" w:hAnsi="Times New Roman" w:cs="Times New Roman"/>
            <w:bCs/>
            <w:noProof/>
            <w:sz w:val="24"/>
            <w:szCs w:val="24"/>
          </w:rPr>
          <w:t>Pontiff (2006)</w:t>
        </w:r>
        <w:r w:rsidR="00A4299A">
          <w:rPr>
            <w:rFonts w:ascii="Times New Roman" w:hAnsi="Times New Roman" w:cs="Times New Roman"/>
            <w:bCs/>
            <w:sz w:val="24"/>
            <w:szCs w:val="24"/>
          </w:rPr>
          <w:fldChar w:fldCharType="end"/>
        </w:r>
      </w:hyperlink>
      <w:r w:rsidR="005F67F0">
        <w:rPr>
          <w:rFonts w:ascii="Times New Roman" w:hAnsi="Times New Roman" w:cs="Times New Roman"/>
          <w:bCs/>
          <w:sz w:val="24"/>
          <w:szCs w:val="24"/>
        </w:rPr>
        <w:t xml:space="preserve"> </w:t>
      </w:r>
      <w:r w:rsidR="006E71E1">
        <w:rPr>
          <w:rFonts w:ascii="Times New Roman" w:hAnsi="Times New Roman" w:cs="Times New Roman"/>
          <w:bCs/>
          <w:sz w:val="24"/>
          <w:szCs w:val="24"/>
        </w:rPr>
        <w:t>argues that securities with greater idiosyncratic volatility are costlier to arbitrage.</w:t>
      </w:r>
      <w:r w:rsidR="00D32C1E">
        <w:rPr>
          <w:rFonts w:ascii="Times New Roman" w:hAnsi="Times New Roman" w:cs="Times New Roman"/>
          <w:bCs/>
          <w:sz w:val="24"/>
          <w:szCs w:val="24"/>
        </w:rPr>
        <w:t xml:space="preserve"> Therefore, </w:t>
      </w:r>
      <w:r w:rsidR="000E453E">
        <w:rPr>
          <w:rFonts w:ascii="Times New Roman" w:hAnsi="Times New Roman" w:cs="Times New Roman"/>
          <w:bCs/>
          <w:sz w:val="24"/>
          <w:szCs w:val="24"/>
        </w:rPr>
        <w:t>higher</w:t>
      </w:r>
      <w:r w:rsidR="00DF30E1">
        <w:rPr>
          <w:rFonts w:ascii="Times New Roman" w:hAnsi="Times New Roman" w:cs="Times New Roman"/>
          <w:bCs/>
          <w:sz w:val="24"/>
          <w:szCs w:val="24"/>
        </w:rPr>
        <w:t xml:space="preserve"> </w:t>
      </w:r>
      <w:r w:rsidR="00D32C1E">
        <w:rPr>
          <w:rFonts w:ascii="Times New Roman" w:hAnsi="Times New Roman" w:cs="Times New Roman"/>
          <w:bCs/>
          <w:sz w:val="24"/>
          <w:szCs w:val="24"/>
        </w:rPr>
        <w:t xml:space="preserve">valuation uncertainty </w:t>
      </w:r>
      <w:r w:rsidR="00DF30E1">
        <w:rPr>
          <w:rFonts w:ascii="Times New Roman" w:hAnsi="Times New Roman" w:cs="Times New Roman"/>
          <w:bCs/>
          <w:sz w:val="24"/>
          <w:szCs w:val="24"/>
        </w:rPr>
        <w:t xml:space="preserve">can result in </w:t>
      </w:r>
      <w:r w:rsidR="000E453E">
        <w:rPr>
          <w:rFonts w:ascii="Times New Roman" w:hAnsi="Times New Roman" w:cs="Times New Roman"/>
          <w:bCs/>
          <w:sz w:val="24"/>
          <w:szCs w:val="24"/>
        </w:rPr>
        <w:t>larger</w:t>
      </w:r>
      <w:r w:rsidR="00DF30E1">
        <w:rPr>
          <w:rFonts w:ascii="Times New Roman" w:hAnsi="Times New Roman" w:cs="Times New Roman"/>
          <w:bCs/>
          <w:sz w:val="24"/>
          <w:szCs w:val="24"/>
        </w:rPr>
        <w:t xml:space="preserve"> pricing mistakes via </w:t>
      </w:r>
      <w:r w:rsidR="000E453E">
        <w:rPr>
          <w:rFonts w:ascii="Times New Roman" w:hAnsi="Times New Roman" w:cs="Times New Roman"/>
          <w:bCs/>
          <w:sz w:val="24"/>
          <w:szCs w:val="24"/>
        </w:rPr>
        <w:t>greater</w:t>
      </w:r>
      <w:r w:rsidR="00DF30E1">
        <w:rPr>
          <w:rFonts w:ascii="Times New Roman" w:hAnsi="Times New Roman" w:cs="Times New Roman"/>
          <w:bCs/>
          <w:sz w:val="24"/>
          <w:szCs w:val="24"/>
        </w:rPr>
        <w:t xml:space="preserve"> limits to arbitrage</w:t>
      </w:r>
      <w:r w:rsidR="00216452">
        <w:rPr>
          <w:rFonts w:ascii="Times New Roman" w:hAnsi="Times New Roman" w:cs="Times New Roman"/>
          <w:bCs/>
          <w:sz w:val="24"/>
          <w:szCs w:val="24"/>
        </w:rPr>
        <w:t xml:space="preserve">, </w:t>
      </w:r>
      <w:r w:rsidR="00DF30E1">
        <w:rPr>
          <w:rFonts w:ascii="Times New Roman" w:hAnsi="Times New Roman" w:cs="Times New Roman"/>
          <w:bCs/>
          <w:sz w:val="24"/>
          <w:szCs w:val="24"/>
        </w:rPr>
        <w:t xml:space="preserve">holding speculative demand constant. For these reasons, </w:t>
      </w:r>
      <w:r w:rsidR="00DF30E1">
        <w:rPr>
          <w:rFonts w:ascii="Times New Roman" w:hAnsi="Times New Roman" w:cs="Times New Roman"/>
          <w:sz w:val="24"/>
          <w:szCs w:val="24"/>
        </w:rPr>
        <w:t xml:space="preserve">Baker and Wurgler (2006) </w:t>
      </w:r>
      <w:r w:rsidR="00216452">
        <w:rPr>
          <w:rFonts w:ascii="Times New Roman" w:hAnsi="Times New Roman" w:cs="Times New Roman"/>
          <w:sz w:val="24"/>
          <w:szCs w:val="24"/>
        </w:rPr>
        <w:t>argue t</w:t>
      </w:r>
      <w:r w:rsidR="00DF30E1">
        <w:rPr>
          <w:rFonts w:ascii="Times New Roman" w:hAnsi="Times New Roman" w:cs="Times New Roman"/>
          <w:sz w:val="24"/>
          <w:szCs w:val="24"/>
        </w:rPr>
        <w:t>hat</w:t>
      </w:r>
      <w:r w:rsidR="00216452">
        <w:rPr>
          <w:rFonts w:ascii="Times New Roman" w:hAnsi="Times New Roman" w:cs="Times New Roman"/>
          <w:sz w:val="24"/>
          <w:szCs w:val="24"/>
        </w:rPr>
        <w:t xml:space="preserve"> aggregate</w:t>
      </w:r>
      <w:r w:rsidR="00DF30E1">
        <w:rPr>
          <w:rFonts w:ascii="Times New Roman" w:hAnsi="Times New Roman" w:cs="Times New Roman"/>
          <w:sz w:val="24"/>
          <w:szCs w:val="24"/>
        </w:rPr>
        <w:t xml:space="preserve"> sentiment effects should be strongest for stocks that are difficult to value.</w:t>
      </w:r>
    </w:p>
    <w:p w14:paraId="480383B6" w14:textId="092B07F7" w:rsidR="002D3233" w:rsidRDefault="00E44606" w:rsidP="00063581">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Note </w:t>
      </w:r>
      <w:r w:rsidR="009D3402">
        <w:rPr>
          <w:rFonts w:ascii="Times New Roman" w:hAnsi="Times New Roman" w:cs="Times New Roman"/>
          <w:sz w:val="24"/>
          <w:szCs w:val="24"/>
        </w:rPr>
        <w:t>that valuation uncertainty is conducive to</w:t>
      </w:r>
      <w:r w:rsidR="00216452">
        <w:rPr>
          <w:rFonts w:ascii="Times New Roman" w:hAnsi="Times New Roman" w:cs="Times New Roman"/>
          <w:sz w:val="24"/>
          <w:szCs w:val="24"/>
        </w:rPr>
        <w:t xml:space="preserve"> pricing</w:t>
      </w:r>
      <w:r w:rsidR="009D3402">
        <w:rPr>
          <w:rFonts w:ascii="Times New Roman" w:hAnsi="Times New Roman" w:cs="Times New Roman"/>
          <w:sz w:val="24"/>
          <w:szCs w:val="24"/>
        </w:rPr>
        <w:t xml:space="preserve"> errors of </w:t>
      </w:r>
      <w:r w:rsidR="00EF05E7">
        <w:rPr>
          <w:rFonts w:ascii="Times New Roman" w:hAnsi="Times New Roman" w:cs="Times New Roman"/>
          <w:sz w:val="24"/>
          <w:szCs w:val="24"/>
        </w:rPr>
        <w:t>either</w:t>
      </w:r>
      <w:r w:rsidR="009D3402">
        <w:rPr>
          <w:rFonts w:ascii="Times New Roman" w:hAnsi="Times New Roman" w:cs="Times New Roman"/>
          <w:sz w:val="24"/>
          <w:szCs w:val="24"/>
        </w:rPr>
        <w:t xml:space="preserve"> </w:t>
      </w:r>
      <w:r w:rsidR="00EF05E7">
        <w:rPr>
          <w:rFonts w:ascii="Times New Roman" w:hAnsi="Times New Roman" w:cs="Times New Roman"/>
          <w:sz w:val="24"/>
          <w:szCs w:val="24"/>
        </w:rPr>
        <w:t xml:space="preserve">type </w:t>
      </w:r>
      <w:r w:rsidR="00730F89">
        <w:rPr>
          <w:rFonts w:ascii="Times New Roman" w:hAnsi="Times New Roman" w:cs="Times New Roman"/>
          <w:sz w:val="24"/>
          <w:szCs w:val="24"/>
        </w:rPr>
        <w:t>– both overvaluation and undervaluation.</w:t>
      </w:r>
      <w:r w:rsidR="009D3402">
        <w:rPr>
          <w:rFonts w:ascii="Times New Roman" w:hAnsi="Times New Roman" w:cs="Times New Roman"/>
          <w:sz w:val="24"/>
          <w:szCs w:val="24"/>
        </w:rPr>
        <w:t xml:space="preserve"> </w:t>
      </w:r>
      <w:r w:rsidR="005D3BF4">
        <w:rPr>
          <w:rFonts w:ascii="Times New Roman" w:hAnsi="Times New Roman" w:cs="Times New Roman"/>
          <w:sz w:val="24"/>
          <w:szCs w:val="24"/>
        </w:rPr>
        <w:t>Instead of assuming that one type of trading friction dominates</w:t>
      </w:r>
      <w:r w:rsidR="004C3284">
        <w:rPr>
          <w:rFonts w:ascii="Times New Roman" w:hAnsi="Times New Roman" w:cs="Times New Roman"/>
          <w:sz w:val="24"/>
          <w:szCs w:val="24"/>
        </w:rPr>
        <w:t xml:space="preserve"> </w:t>
      </w:r>
      <w:r w:rsidR="00730F89">
        <w:rPr>
          <w:rFonts w:ascii="Times New Roman" w:hAnsi="Times New Roman" w:cs="Times New Roman"/>
          <w:sz w:val="24"/>
          <w:szCs w:val="24"/>
        </w:rPr>
        <w:t>empirically</w:t>
      </w:r>
      <w:r w:rsidR="005D3BF4">
        <w:rPr>
          <w:rFonts w:ascii="Times New Roman" w:hAnsi="Times New Roman" w:cs="Times New Roman"/>
          <w:sz w:val="24"/>
          <w:szCs w:val="24"/>
        </w:rPr>
        <w:t xml:space="preserve"> (e.g., </w:t>
      </w:r>
      <w:r>
        <w:rPr>
          <w:rFonts w:ascii="Times New Roman" w:hAnsi="Times New Roman" w:cs="Times New Roman"/>
          <w:sz w:val="24"/>
          <w:szCs w:val="24"/>
        </w:rPr>
        <w:t xml:space="preserve">short-sale constraints are more binding than </w:t>
      </w:r>
      <w:r w:rsidR="00C8640E">
        <w:rPr>
          <w:rFonts w:ascii="Times New Roman" w:hAnsi="Times New Roman" w:cs="Times New Roman"/>
          <w:sz w:val="24"/>
          <w:szCs w:val="24"/>
        </w:rPr>
        <w:t>leverage constraints</w:t>
      </w:r>
      <w:r w:rsidR="0076322E">
        <w:rPr>
          <w:rFonts w:ascii="Times New Roman" w:hAnsi="Times New Roman" w:cs="Times New Roman"/>
          <w:sz w:val="24"/>
          <w:szCs w:val="24"/>
        </w:rPr>
        <w:t xml:space="preserve">, as in </w:t>
      </w:r>
      <w:hyperlink w:anchor="_ENREF_29" w:tooltip="Diether, 2002 #611"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AuthorYear="1"&gt;&lt;Author&gt;Diether&lt;/Author&gt;&lt;Year&gt;2002&lt;/Year&gt;&lt;RecNum&gt;611&lt;/RecNum&gt;&lt;DisplayText&gt;Diether, Malloy, and Scherbina (2002)&lt;/DisplayText&gt;&lt;record&gt;&lt;rec-number&gt;611&lt;/rec-number&gt;&lt;foreign-keys&gt;&lt;key app="EN" db-id="a00ppf5vbz2zw4efraqp9recxrvdwwtasszf" timestamp="1636055771"&gt;611&lt;/key&gt;&lt;/foreign-keys&gt;&lt;ref-type name="Journal Article"&gt;17&lt;/ref-type&gt;&lt;contributors&gt;&lt;authors&gt;&lt;author&gt;Diether, Karl B.&lt;/author&gt;&lt;author&gt;Malloy, Christopher J.&lt;/author&gt;&lt;author&gt;Scherbina, Anna&lt;/author&gt;&lt;/authors&gt;&lt;/contributors&gt;&lt;titles&gt;&lt;title&gt;Differences of Opinion and the Cross Section of Stock Returns&lt;/title&gt;&lt;secondary-title&gt;Journal of Finance&lt;/secondary-title&gt;&lt;/titles&gt;&lt;periodical&gt;&lt;full-title&gt;Journal of FInance&lt;/full-title&gt;&lt;/periodical&gt;&lt;pages&gt;2113-2141&lt;/pages&gt;&lt;volume&gt;57&lt;/volume&gt;&lt;number&gt;5&lt;/number&gt;&lt;keywords&gt;&lt;keyword&gt;STOCKS (Finance) -- Rate of return&lt;/keyword&gt;&lt;keyword&gt;EARNINGS forecasting&lt;/keyword&gt;&lt;keyword&gt;ANALYSTS (Finance)&lt;/keyword&gt;&lt;keyword&gt;INVESTMENT analysis&lt;/keyword&gt;&lt;keyword&gt;PROXY&lt;/keyword&gt;&lt;keyword&gt;RISK&lt;/keyword&gt;&lt;keyword&gt;CAPITALISTS &amp;amp; financiers&lt;/keyword&gt;&lt;keyword&gt;RATIONAL expectations (Economic theory)&lt;/keyword&gt;&lt;keyword&gt;SECURITIES trading&lt;/keyword&gt;&lt;keyword&gt;PSYCHOLOGY&lt;/keyword&gt;&lt;keyword&gt;OPTIMISM&lt;/keyword&gt;&lt;/keywords&gt;&lt;dates&gt;&lt;year&gt;2002&lt;/year&gt;&lt;/dates&gt;&lt;publisher&gt;Wiley-Blackwell&lt;/publisher&gt;&lt;isbn&gt;00221082&lt;/isbn&gt;&lt;accession-num&gt;7405417&lt;/accession-num&gt;&lt;work-type&gt;Article&lt;/work-type&gt;&lt;urls&gt;&lt;related-urls&gt;&lt;url&gt;http://search.ebscohost.com/login.aspx?direct=true&amp;amp;db=bth&amp;amp;AN=7405417&amp;amp;site=ehost-live&lt;/url&gt;&lt;/related-urls&gt;&lt;/urls&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Diether, Malloy, and Scherbina (2002)</w:t>
        </w:r>
        <w:r w:rsidR="00A4299A">
          <w:rPr>
            <w:rFonts w:ascii="Times New Roman" w:hAnsi="Times New Roman" w:cs="Times New Roman"/>
            <w:sz w:val="24"/>
            <w:szCs w:val="24"/>
          </w:rPr>
          <w:fldChar w:fldCharType="end"/>
        </w:r>
      </w:hyperlink>
      <w:r w:rsidR="00A46621">
        <w:rPr>
          <w:rFonts w:ascii="Times New Roman" w:hAnsi="Times New Roman" w:cs="Times New Roman"/>
          <w:sz w:val="24"/>
          <w:szCs w:val="24"/>
        </w:rPr>
        <w:t xml:space="preserve"> and </w:t>
      </w:r>
      <w:hyperlink w:anchor="_ENREF_65" w:tooltip="Stambaugh, 2015 #1648"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AuthorYear="1"&gt;&lt;Author&gt;Stambaugh&lt;/Author&gt;&lt;Year&gt;2015&lt;/Year&gt;&lt;RecNum&gt;1648&lt;/RecNum&gt;&lt;DisplayText&gt;Stambaugh, Yu, and Yuan (2015)&lt;/DisplayText&gt;&lt;record&gt;&lt;rec-number&gt;1648&lt;/rec-number&gt;&lt;foreign-keys&gt;&lt;key app="EN" db-id="a00ppf5vbz2zw4efraqp9recxrvdwwtasszf" timestamp="1636055780"&gt;1648&lt;/key&gt;&lt;/foreign-keys&gt;&lt;ref-type name="Journal Article"&gt;17&lt;/ref-type&gt;&lt;contributors&gt;&lt;authors&gt;&lt;author&gt;Stambaugh, Robert F.&lt;/author&gt;&lt;author&gt;Yu, Jianfeng&lt;/author&gt;&lt;author&gt;Yuan, Yu&lt;/author&gt;&lt;/authors&gt;&lt;/contributors&gt;&lt;titles&gt;&lt;title&gt;Arbitrage Asymmetry and the Idiosyncratic Volatility Puzzle&lt;/title&gt;&lt;secondary-title&gt;Journal of Finance&lt;/secondary-title&gt;&lt;/titles&gt;&lt;periodical&gt;&lt;full-title&gt;Journal of FInance&lt;/full-title&gt;&lt;/periodical&gt;&lt;pages&gt;1903-1948&lt;/pages&gt;&lt;volume&gt;70&lt;/volume&gt;&lt;number&gt;5&lt;/number&gt;&lt;keywords&gt;&lt;keyword&gt;SECURITIES trading&lt;/keyword&gt;&lt;keyword&gt;SHORT selling (Securities)&lt;/keyword&gt;&lt;keyword&gt;MARKET volatility&lt;/keyword&gt;&lt;keyword&gt;ARBITRAGE&lt;/keyword&gt;&lt;keyword&gt;STOCK prices&lt;/keyword&gt;&lt;keyword&gt;RATE of return on stocks&lt;/keyword&gt;&lt;keyword&gt;FINANCIAL risk&lt;/keyword&gt;&lt;keyword&gt;HEDGING (Finance)&lt;/keyword&gt;&lt;keyword&gt;SPREAD (Finance)&lt;/keyword&gt;&lt;keyword&gt;MATHEMATICAL models&lt;/keyword&gt;&lt;keyword&gt;ECONOMIC expectations&lt;/keyword&gt;&lt;keyword&gt;FINANCIAL markets&lt;/keyword&gt;&lt;keyword&gt;CAPITAL assets pricing model&lt;/keyword&gt;&lt;keyword&gt;INFORMATION asymmetry&lt;/keyword&gt;&lt;/keywords&gt;&lt;dates&gt;&lt;year&gt;2015&lt;/year&gt;&lt;/dates&gt;&lt;isbn&gt;00221082&lt;/isbn&gt;&lt;accession-num&gt;109307651&lt;/accession-num&gt;&lt;work-type&gt;Article&lt;/work-type&gt;&lt;urls&gt;&lt;related-urls&gt;&lt;url&gt;https://search.ebscohost.com/login.aspx?direct=true&amp;amp;db=buh&amp;amp;AN=109307651&amp;amp;site=ehost-live&lt;/url&gt;&lt;/related-urls&gt;&lt;/urls&gt;&lt;electronic-resource-num&gt;10.1111/jofi.12286&lt;/electronic-resource-num&gt;&lt;remote-database-name&gt;Business Source Premier&lt;/remote-database-name&gt;&lt;remote-database-provider&gt;EBSCOhost&lt;/remote-database-provider&gt;&lt;/record&gt;&lt;/Cite&gt;&lt;/EndNote&gt;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Stambaugh, Yu, and Yuan (2015)</w:t>
        </w:r>
        <w:r w:rsidR="00A4299A">
          <w:rPr>
            <w:rFonts w:ascii="Times New Roman" w:hAnsi="Times New Roman" w:cs="Times New Roman"/>
            <w:sz w:val="24"/>
            <w:szCs w:val="24"/>
          </w:rPr>
          <w:fldChar w:fldCharType="end"/>
        </w:r>
      </w:hyperlink>
      <w:r w:rsidR="005D3BF4">
        <w:rPr>
          <w:rFonts w:ascii="Times New Roman" w:hAnsi="Times New Roman" w:cs="Times New Roman"/>
          <w:sz w:val="24"/>
          <w:szCs w:val="24"/>
        </w:rPr>
        <w:t xml:space="preserve">), we propose to sort assets on </w:t>
      </w:r>
      <w:r w:rsidR="004C3284">
        <w:rPr>
          <w:rFonts w:ascii="Times New Roman" w:hAnsi="Times New Roman" w:cs="Times New Roman"/>
          <w:sz w:val="24"/>
          <w:szCs w:val="24"/>
        </w:rPr>
        <w:t xml:space="preserve">a </w:t>
      </w:r>
      <w:r w:rsidR="007F3CB1">
        <w:rPr>
          <w:rFonts w:ascii="Times New Roman" w:hAnsi="Times New Roman" w:cs="Times New Roman"/>
          <w:sz w:val="24"/>
          <w:szCs w:val="24"/>
        </w:rPr>
        <w:t>directional</w:t>
      </w:r>
      <w:r w:rsidR="004C3284">
        <w:rPr>
          <w:rFonts w:ascii="Times New Roman" w:hAnsi="Times New Roman" w:cs="Times New Roman"/>
          <w:sz w:val="24"/>
          <w:szCs w:val="24"/>
        </w:rPr>
        <w:t xml:space="preserve"> measure of </w:t>
      </w:r>
      <w:r w:rsidR="004C3284" w:rsidRPr="007F3CB1">
        <w:rPr>
          <w:rFonts w:ascii="Times New Roman" w:hAnsi="Times New Roman" w:cs="Times New Roman"/>
          <w:sz w:val="24"/>
          <w:szCs w:val="24"/>
        </w:rPr>
        <w:t>presumed</w:t>
      </w:r>
      <w:r w:rsidR="004C3284">
        <w:rPr>
          <w:rFonts w:ascii="Times New Roman" w:hAnsi="Times New Roman" w:cs="Times New Roman"/>
          <w:sz w:val="24"/>
          <w:szCs w:val="24"/>
        </w:rPr>
        <w:t xml:space="preserve"> valuation mistakes</w:t>
      </w:r>
      <w:r w:rsidR="009A27DE">
        <w:rPr>
          <w:rFonts w:ascii="Times New Roman" w:hAnsi="Times New Roman" w:cs="Times New Roman"/>
          <w:sz w:val="24"/>
          <w:szCs w:val="24"/>
        </w:rPr>
        <w:t>, namely, the price-to-</w:t>
      </w:r>
      <w:r w:rsidR="00F6560C">
        <w:rPr>
          <w:rFonts w:ascii="Times New Roman" w:hAnsi="Times New Roman" w:cs="Times New Roman"/>
          <w:sz w:val="24"/>
          <w:szCs w:val="24"/>
        </w:rPr>
        <w:t>intrinsic-</w:t>
      </w:r>
      <w:r w:rsidR="009A27DE">
        <w:rPr>
          <w:rFonts w:ascii="Times New Roman" w:hAnsi="Times New Roman" w:cs="Times New Roman"/>
          <w:sz w:val="24"/>
          <w:szCs w:val="24"/>
        </w:rPr>
        <w:t>valu</w:t>
      </w:r>
      <w:r w:rsidR="00F6560C">
        <w:rPr>
          <w:rFonts w:ascii="Times New Roman" w:hAnsi="Times New Roman" w:cs="Times New Roman"/>
          <w:sz w:val="24"/>
          <w:szCs w:val="24"/>
        </w:rPr>
        <w:t>e</w:t>
      </w:r>
      <w:r w:rsidR="009A2CB1">
        <w:rPr>
          <w:rFonts w:ascii="Times New Roman" w:hAnsi="Times New Roman" w:cs="Times New Roman"/>
          <w:sz w:val="24"/>
          <w:szCs w:val="24"/>
        </w:rPr>
        <w:t>-estimate</w:t>
      </w:r>
      <w:r w:rsidR="009A27DE">
        <w:rPr>
          <w:rFonts w:ascii="Times New Roman" w:hAnsi="Times New Roman" w:cs="Times New Roman"/>
          <w:sz w:val="24"/>
          <w:szCs w:val="24"/>
        </w:rPr>
        <w:t xml:space="preserve"> ratio</w:t>
      </w:r>
      <w:r w:rsidR="00641CA9">
        <w:rPr>
          <w:rFonts w:ascii="Times New Roman" w:hAnsi="Times New Roman" w:cs="Times New Roman"/>
          <w:sz w:val="24"/>
          <w:szCs w:val="24"/>
        </w:rPr>
        <w:t xml:space="preserve"> (price-to-value hereafter)</w:t>
      </w:r>
      <w:r w:rsidR="009A27DE">
        <w:rPr>
          <w:rFonts w:ascii="Times New Roman" w:hAnsi="Times New Roman" w:cs="Times New Roman"/>
          <w:sz w:val="24"/>
          <w:szCs w:val="24"/>
        </w:rPr>
        <w:t>.</w:t>
      </w:r>
      <w:r w:rsidR="00ED4F64">
        <w:rPr>
          <w:rFonts w:ascii="Times New Roman" w:hAnsi="Times New Roman" w:cs="Times New Roman"/>
          <w:sz w:val="24"/>
          <w:szCs w:val="24"/>
        </w:rPr>
        <w:t xml:space="preserve"> </w:t>
      </w:r>
      <w:r w:rsidR="005A4951">
        <w:rPr>
          <w:rFonts w:ascii="Times New Roman" w:hAnsi="Times New Roman" w:cs="Times New Roman"/>
          <w:sz w:val="24"/>
          <w:szCs w:val="24"/>
        </w:rPr>
        <w:t>P</w:t>
      </w:r>
      <w:r w:rsidR="00ED4F64">
        <w:rPr>
          <w:rFonts w:ascii="Times New Roman" w:hAnsi="Times New Roman" w:cs="Times New Roman"/>
          <w:sz w:val="24"/>
          <w:szCs w:val="24"/>
        </w:rPr>
        <w:t>rice-to-value</w:t>
      </w:r>
      <w:r w:rsidR="00ED4F64" w:rsidRPr="00ED4F64">
        <w:rPr>
          <w:rFonts w:ascii="Times New Roman" w:hAnsi="Times New Roman" w:cs="Times New Roman"/>
          <w:sz w:val="24"/>
          <w:szCs w:val="24"/>
        </w:rPr>
        <w:t xml:space="preserve"> is the residual from</w:t>
      </w:r>
      <w:r w:rsidR="00ED4F64">
        <w:rPr>
          <w:rFonts w:ascii="Times New Roman" w:hAnsi="Times New Roman" w:cs="Times New Roman"/>
          <w:sz w:val="24"/>
          <w:szCs w:val="24"/>
        </w:rPr>
        <w:t xml:space="preserve"> the valuation model in eq.</w:t>
      </w:r>
      <w:r w:rsidR="00ED4F64" w:rsidRPr="00ED4F64">
        <w:rPr>
          <w:rFonts w:ascii="Times New Roman" w:hAnsi="Times New Roman" w:cs="Times New Roman"/>
          <w:sz w:val="24"/>
          <w:szCs w:val="24"/>
        </w:rPr>
        <w:t xml:space="preserve"> </w:t>
      </w:r>
      <w:r w:rsidR="00ED4F64">
        <w:rPr>
          <w:rFonts w:ascii="Times New Roman" w:hAnsi="Times New Roman" w:cs="Times New Roman"/>
          <w:sz w:val="24"/>
          <w:szCs w:val="24"/>
        </w:rPr>
        <w:t>(</w:t>
      </w:r>
      <w:r w:rsidR="006E03B4">
        <w:rPr>
          <w:rFonts w:ascii="Times New Roman" w:hAnsi="Times New Roman" w:cs="Times New Roman"/>
          <w:sz w:val="24"/>
          <w:szCs w:val="24"/>
        </w:rPr>
        <w:t>6</w:t>
      </w:r>
      <w:r w:rsidR="00ED4F64">
        <w:rPr>
          <w:rFonts w:ascii="Times New Roman" w:hAnsi="Times New Roman" w:cs="Times New Roman"/>
          <w:sz w:val="24"/>
          <w:szCs w:val="24"/>
        </w:rPr>
        <w:t>) when estimated with OLS</w:t>
      </w:r>
      <w:r w:rsidR="00360892">
        <w:rPr>
          <w:rFonts w:ascii="Times New Roman" w:hAnsi="Times New Roman" w:cs="Times New Roman"/>
          <w:sz w:val="24"/>
          <w:szCs w:val="24"/>
        </w:rPr>
        <w:t xml:space="preserve"> (i.e.</w:t>
      </w:r>
      <w:r w:rsidR="00C463FC">
        <w:rPr>
          <w:rFonts w:ascii="Times New Roman" w:hAnsi="Times New Roman" w:cs="Times New Roman"/>
          <w:sz w:val="24"/>
          <w:szCs w:val="24"/>
        </w:rPr>
        <w:t xml:space="preserve"> </w:t>
      </w:r>
      <w:proofErr w:type="spellStart"/>
      <w:r w:rsidR="00C463FC" w:rsidRPr="00310369">
        <w:rPr>
          <w:rFonts w:ascii="Times New Roman" w:hAnsi="Times New Roman" w:cs="Times New Roman"/>
          <w:i/>
          <w:sz w:val="24"/>
          <w:szCs w:val="24"/>
        </w:rPr>
        <w:t>ε</w:t>
      </w:r>
      <w:r w:rsidR="00C463FC" w:rsidRPr="00310369">
        <w:rPr>
          <w:rFonts w:ascii="Times New Roman" w:hAnsi="Times New Roman" w:cs="Times New Roman"/>
          <w:i/>
          <w:sz w:val="24"/>
          <w:szCs w:val="24"/>
          <w:vertAlign w:val="subscript"/>
        </w:rPr>
        <w:t>it</w:t>
      </w:r>
      <w:proofErr w:type="spellEnd"/>
      <w:r w:rsidR="00C463FC">
        <w:rPr>
          <w:rFonts w:ascii="Times New Roman" w:hAnsi="Times New Roman" w:cs="Times New Roman"/>
          <w:sz w:val="24"/>
          <w:szCs w:val="24"/>
        </w:rPr>
        <w:t xml:space="preserve"> = </w:t>
      </w:r>
      <w:proofErr w:type="spellStart"/>
      <w:r w:rsidR="00C463FC" w:rsidRPr="00310369">
        <w:rPr>
          <w:rFonts w:ascii="Times New Roman" w:hAnsi="Times New Roman" w:cs="Times New Roman"/>
          <w:i/>
          <w:sz w:val="24"/>
          <w:szCs w:val="24"/>
        </w:rPr>
        <w:t>m</w:t>
      </w:r>
      <w:r w:rsidR="00C463FC" w:rsidRPr="00310369">
        <w:rPr>
          <w:rFonts w:ascii="Times New Roman" w:hAnsi="Times New Roman" w:cs="Times New Roman"/>
          <w:i/>
          <w:sz w:val="24"/>
          <w:szCs w:val="24"/>
          <w:vertAlign w:val="subscript"/>
        </w:rPr>
        <w:t>it</w:t>
      </w:r>
      <w:proofErr w:type="spellEnd"/>
      <w:r w:rsidR="00C463FC">
        <w:rPr>
          <w:rFonts w:ascii="Times New Roman" w:hAnsi="Times New Roman" w:cs="Times New Roman"/>
          <w:sz w:val="24"/>
          <w:szCs w:val="24"/>
        </w:rPr>
        <w:t xml:space="preserve"> –</w:t>
      </w:r>
      <w:r w:rsidR="00934C87">
        <w:rPr>
          <w:rFonts w:ascii="Times New Roman" w:hAnsi="Times New Roman" w:cs="Times New Roman"/>
          <w:sz w:val="24"/>
          <w:szCs w:val="24"/>
        </w:rPr>
        <w:t xml:space="preserve"> </w:t>
      </w:r>
      <w:r w:rsidR="00C463FC" w:rsidRPr="00310369">
        <w:rPr>
          <w:rFonts w:ascii="Times New Roman" w:hAnsi="Times New Roman" w:cs="Times New Roman"/>
          <w:i/>
          <w:sz w:val="24"/>
          <w:szCs w:val="24"/>
        </w:rPr>
        <w:t>v</w:t>
      </w:r>
      <w:r w:rsidR="00C463FC" w:rsidRPr="00310369">
        <w:rPr>
          <w:rFonts w:ascii="Times New Roman" w:hAnsi="Times New Roman" w:cs="Times New Roman"/>
          <w:i/>
          <w:sz w:val="24"/>
          <w:szCs w:val="24"/>
          <w:vertAlign w:val="subscript"/>
        </w:rPr>
        <w:t>it</w:t>
      </w:r>
      <w:r w:rsidR="00360892">
        <w:rPr>
          <w:rFonts w:ascii="Times New Roman" w:hAnsi="Times New Roman" w:cs="Times New Roman"/>
          <w:sz w:val="24"/>
          <w:szCs w:val="24"/>
        </w:rPr>
        <w:t>)</w:t>
      </w:r>
      <w:r w:rsidR="0047134A">
        <w:rPr>
          <w:rFonts w:ascii="Times New Roman" w:hAnsi="Times New Roman" w:cs="Times New Roman"/>
          <w:sz w:val="24"/>
          <w:szCs w:val="24"/>
        </w:rPr>
        <w:t>,</w:t>
      </w:r>
      <w:r w:rsidR="001C421C">
        <w:rPr>
          <w:rFonts w:ascii="Times New Roman" w:hAnsi="Times New Roman" w:cs="Times New Roman"/>
          <w:sz w:val="24"/>
          <w:szCs w:val="24"/>
        </w:rPr>
        <w:t xml:space="preserve"> and</w:t>
      </w:r>
      <w:r w:rsidR="004C3C61">
        <w:rPr>
          <w:rFonts w:ascii="Times New Roman" w:hAnsi="Times New Roman" w:cs="Times New Roman"/>
          <w:sz w:val="24"/>
          <w:szCs w:val="24"/>
        </w:rPr>
        <w:t xml:space="preserve"> thus</w:t>
      </w:r>
      <w:r w:rsidR="001C421C">
        <w:rPr>
          <w:rFonts w:ascii="Times New Roman" w:hAnsi="Times New Roman" w:cs="Times New Roman"/>
          <w:sz w:val="24"/>
          <w:szCs w:val="24"/>
        </w:rPr>
        <w:t xml:space="preserve"> represents </w:t>
      </w:r>
      <w:r w:rsidR="00ED4F64" w:rsidRPr="00ED4F64">
        <w:rPr>
          <w:rFonts w:ascii="Times New Roman" w:hAnsi="Times New Roman" w:cs="Times New Roman"/>
          <w:sz w:val="24"/>
          <w:szCs w:val="24"/>
        </w:rPr>
        <w:t>deviations of</w:t>
      </w:r>
      <w:r w:rsidR="00C463FC">
        <w:rPr>
          <w:rFonts w:ascii="Times New Roman" w:hAnsi="Times New Roman" w:cs="Times New Roman"/>
          <w:sz w:val="24"/>
          <w:szCs w:val="24"/>
        </w:rPr>
        <w:t xml:space="preserve"> (log)</w:t>
      </w:r>
      <w:r w:rsidR="00ED4F64" w:rsidRPr="00ED4F64">
        <w:rPr>
          <w:rFonts w:ascii="Times New Roman" w:hAnsi="Times New Roman" w:cs="Times New Roman"/>
          <w:sz w:val="24"/>
          <w:szCs w:val="24"/>
        </w:rPr>
        <w:t xml:space="preserve"> market </w:t>
      </w:r>
      <w:r w:rsidR="00C6719F">
        <w:rPr>
          <w:rFonts w:ascii="Times New Roman" w:hAnsi="Times New Roman" w:cs="Times New Roman"/>
          <w:sz w:val="24"/>
          <w:szCs w:val="24"/>
        </w:rPr>
        <w:t>equity</w:t>
      </w:r>
      <w:r w:rsidR="00C6719F" w:rsidRPr="00ED4F64">
        <w:rPr>
          <w:rFonts w:ascii="Times New Roman" w:hAnsi="Times New Roman" w:cs="Times New Roman"/>
          <w:sz w:val="24"/>
          <w:szCs w:val="24"/>
        </w:rPr>
        <w:t xml:space="preserve"> </w:t>
      </w:r>
      <w:r w:rsidR="00ED4F64" w:rsidRPr="00ED4F64">
        <w:rPr>
          <w:rFonts w:ascii="Times New Roman" w:hAnsi="Times New Roman" w:cs="Times New Roman"/>
          <w:sz w:val="24"/>
          <w:szCs w:val="24"/>
        </w:rPr>
        <w:t>fr</w:t>
      </w:r>
      <w:r w:rsidR="00ED4F64">
        <w:rPr>
          <w:rFonts w:ascii="Times New Roman" w:hAnsi="Times New Roman" w:cs="Times New Roman"/>
          <w:sz w:val="24"/>
          <w:szCs w:val="24"/>
        </w:rPr>
        <w:t>om expected</w:t>
      </w:r>
      <w:r w:rsidR="00C463FC">
        <w:rPr>
          <w:rFonts w:ascii="Times New Roman" w:hAnsi="Times New Roman" w:cs="Times New Roman"/>
          <w:sz w:val="24"/>
          <w:szCs w:val="24"/>
        </w:rPr>
        <w:t xml:space="preserve"> (log)</w:t>
      </w:r>
      <w:r w:rsidR="00ED4F64">
        <w:rPr>
          <w:rFonts w:ascii="Times New Roman" w:hAnsi="Times New Roman" w:cs="Times New Roman"/>
          <w:sz w:val="24"/>
          <w:szCs w:val="24"/>
        </w:rPr>
        <w:t xml:space="preserve"> fundamental </w:t>
      </w:r>
      <w:r w:rsidR="00C6719F">
        <w:rPr>
          <w:rFonts w:ascii="Times New Roman" w:hAnsi="Times New Roman" w:cs="Times New Roman"/>
          <w:sz w:val="24"/>
          <w:szCs w:val="24"/>
        </w:rPr>
        <w:t xml:space="preserve">equity </w:t>
      </w:r>
      <w:r w:rsidR="00ED4F64">
        <w:rPr>
          <w:rFonts w:ascii="Times New Roman" w:hAnsi="Times New Roman" w:cs="Times New Roman"/>
          <w:sz w:val="24"/>
          <w:szCs w:val="24"/>
        </w:rPr>
        <w:t>value.</w:t>
      </w:r>
      <w:r w:rsidR="0097275A">
        <w:rPr>
          <w:rStyle w:val="FootnoteReference"/>
          <w:rFonts w:ascii="Times New Roman" w:hAnsi="Times New Roman" w:cs="Times New Roman"/>
          <w:sz w:val="24"/>
          <w:szCs w:val="24"/>
        </w:rPr>
        <w:footnoteReference w:id="25"/>
      </w:r>
      <w:r w:rsidR="00ED4F64">
        <w:rPr>
          <w:rFonts w:ascii="Times New Roman" w:hAnsi="Times New Roman" w:cs="Times New Roman"/>
          <w:sz w:val="24"/>
          <w:szCs w:val="24"/>
        </w:rPr>
        <w:t xml:space="preserve"> Price-to-value is analogous to the priced component of market-to-book (“firm-specific error”) in </w:t>
      </w:r>
      <w:r w:rsidR="00ED4F64" w:rsidRPr="00ED4F64">
        <w:rPr>
          <w:rFonts w:ascii="Times New Roman" w:hAnsi="Times New Roman" w:cs="Times New Roman"/>
          <w:sz w:val="24"/>
          <w:szCs w:val="24"/>
        </w:rPr>
        <w:t>Golubov and Konstantinidi (2019)</w:t>
      </w:r>
      <w:r w:rsidR="00ED4F64">
        <w:rPr>
          <w:rFonts w:ascii="Times New Roman" w:hAnsi="Times New Roman" w:cs="Times New Roman"/>
          <w:sz w:val="24"/>
          <w:szCs w:val="24"/>
        </w:rPr>
        <w:t xml:space="preserve">, </w:t>
      </w:r>
      <w:r w:rsidR="00ED4F64" w:rsidRPr="00ED4F64">
        <w:rPr>
          <w:rFonts w:ascii="Times New Roman" w:hAnsi="Times New Roman" w:cs="Times New Roman"/>
          <w:sz w:val="24"/>
          <w:szCs w:val="24"/>
        </w:rPr>
        <w:t xml:space="preserve">except for </w:t>
      </w:r>
      <w:r w:rsidR="00A20A06">
        <w:rPr>
          <w:rFonts w:ascii="Times New Roman" w:hAnsi="Times New Roman" w:cs="Times New Roman"/>
          <w:sz w:val="24"/>
          <w:szCs w:val="24"/>
        </w:rPr>
        <w:t>our</w:t>
      </w:r>
      <w:r w:rsidR="00A20A06" w:rsidRPr="00ED4F64">
        <w:rPr>
          <w:rFonts w:ascii="Times New Roman" w:hAnsi="Times New Roman" w:cs="Times New Roman"/>
          <w:sz w:val="24"/>
          <w:szCs w:val="24"/>
        </w:rPr>
        <w:t xml:space="preserve"> </w:t>
      </w:r>
      <w:r w:rsidR="00ED4F64" w:rsidRPr="00ED4F64">
        <w:rPr>
          <w:rFonts w:ascii="Times New Roman" w:hAnsi="Times New Roman" w:cs="Times New Roman"/>
          <w:sz w:val="24"/>
          <w:szCs w:val="24"/>
        </w:rPr>
        <w:t xml:space="preserve">valuation </w:t>
      </w:r>
      <w:r w:rsidR="00ED4F64">
        <w:rPr>
          <w:rFonts w:ascii="Times New Roman" w:hAnsi="Times New Roman" w:cs="Times New Roman"/>
          <w:sz w:val="24"/>
          <w:szCs w:val="24"/>
        </w:rPr>
        <w:t xml:space="preserve">model </w:t>
      </w:r>
      <w:r w:rsidR="00ED4F64" w:rsidRPr="00ED4F64">
        <w:rPr>
          <w:rFonts w:ascii="Times New Roman" w:hAnsi="Times New Roman" w:cs="Times New Roman"/>
          <w:sz w:val="24"/>
          <w:szCs w:val="24"/>
        </w:rPr>
        <w:t>refinements discussed above.</w:t>
      </w:r>
      <w:r w:rsidR="009A27DE">
        <w:rPr>
          <w:rFonts w:ascii="Times New Roman" w:hAnsi="Times New Roman" w:cs="Times New Roman"/>
          <w:sz w:val="24"/>
          <w:szCs w:val="24"/>
        </w:rPr>
        <w:t xml:space="preserve"> If valuation uncertainty is conducive to valuation mistakes</w:t>
      </w:r>
      <w:r w:rsidR="004C3284">
        <w:rPr>
          <w:rFonts w:ascii="Times New Roman" w:hAnsi="Times New Roman" w:cs="Times New Roman"/>
          <w:sz w:val="24"/>
          <w:szCs w:val="24"/>
        </w:rPr>
        <w:t>, then we expect</w:t>
      </w:r>
      <w:r w:rsidR="002D3233">
        <w:rPr>
          <w:rFonts w:ascii="Times New Roman" w:hAnsi="Times New Roman" w:cs="Times New Roman"/>
          <w:sz w:val="24"/>
          <w:szCs w:val="24"/>
        </w:rPr>
        <w:t xml:space="preserve"> </w:t>
      </w:r>
      <w:r w:rsidR="00A815E4">
        <w:rPr>
          <w:rFonts w:ascii="Times New Roman" w:hAnsi="Times New Roman" w:cs="Times New Roman"/>
          <w:sz w:val="24"/>
          <w:szCs w:val="24"/>
        </w:rPr>
        <w:t>the following:</w:t>
      </w:r>
    </w:p>
    <w:p w14:paraId="573F8E77" w14:textId="40935878" w:rsidR="00133C95" w:rsidRDefault="00340473" w:rsidP="00241A00">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H1</w:t>
      </w:r>
      <w:r w:rsidR="00133C95">
        <w:rPr>
          <w:rFonts w:ascii="Times New Roman" w:hAnsi="Times New Roman" w:cs="Times New Roman"/>
          <w:i/>
          <w:sz w:val="24"/>
          <w:szCs w:val="24"/>
        </w:rPr>
        <w:t>: Long-short returns on the price-to-value strategy are higher among high valuation uncertainty stocks.</w:t>
      </w:r>
    </w:p>
    <w:p w14:paraId="3C4940E0" w14:textId="484CB237" w:rsidR="00ED208B" w:rsidRDefault="009C6F24" w:rsidP="00241A00">
      <w:pPr>
        <w:spacing w:after="0" w:line="480" w:lineRule="auto"/>
        <w:jc w:val="both"/>
        <w:rPr>
          <w:rFonts w:ascii="Times New Roman" w:hAnsi="Times New Roman" w:cs="Times New Roman"/>
          <w:sz w:val="24"/>
          <w:szCs w:val="24"/>
        </w:rPr>
      </w:pPr>
      <w:r w:rsidRPr="009C6F24">
        <w:rPr>
          <w:rFonts w:ascii="Times New Roman" w:hAnsi="Times New Roman" w:cs="Times New Roman"/>
          <w:sz w:val="24"/>
          <w:szCs w:val="24"/>
        </w:rPr>
        <w:t>To the extent that valuation mistakes get resolved over time, subsequent stock returns</w:t>
      </w:r>
      <w:r w:rsidR="00957EC1">
        <w:rPr>
          <w:rFonts w:ascii="Times New Roman" w:hAnsi="Times New Roman" w:cs="Times New Roman"/>
          <w:sz w:val="24"/>
          <w:szCs w:val="24"/>
        </w:rPr>
        <w:t xml:space="preserve"> partly</w:t>
      </w:r>
      <w:r w:rsidRPr="009C6F24">
        <w:rPr>
          <w:rFonts w:ascii="Times New Roman" w:hAnsi="Times New Roman" w:cs="Times New Roman"/>
          <w:sz w:val="24"/>
          <w:szCs w:val="24"/>
        </w:rPr>
        <w:t xml:space="preserve"> reflect resolution of mispricing. The magnitude of such resolution is therefore inform</w:t>
      </w:r>
      <w:r>
        <w:rPr>
          <w:rFonts w:ascii="Times New Roman" w:hAnsi="Times New Roman" w:cs="Times New Roman"/>
          <w:sz w:val="24"/>
          <w:szCs w:val="24"/>
        </w:rPr>
        <w:t xml:space="preserve">ative about the magnitude or </w:t>
      </w:r>
      <w:r w:rsidRPr="009C6F24">
        <w:rPr>
          <w:rFonts w:ascii="Times New Roman" w:hAnsi="Times New Roman" w:cs="Times New Roman"/>
          <w:sz w:val="24"/>
          <w:szCs w:val="24"/>
        </w:rPr>
        <w:t>like</w:t>
      </w:r>
      <w:r w:rsidR="00ED208B">
        <w:rPr>
          <w:rFonts w:ascii="Times New Roman" w:hAnsi="Times New Roman" w:cs="Times New Roman"/>
          <w:sz w:val="24"/>
          <w:szCs w:val="24"/>
        </w:rPr>
        <w:t xml:space="preserve">lihood of initial mistakes. This suggests that trading on </w:t>
      </w:r>
      <w:r w:rsidRPr="009C6F24">
        <w:rPr>
          <w:rFonts w:ascii="Times New Roman" w:hAnsi="Times New Roman" w:cs="Times New Roman"/>
          <w:sz w:val="24"/>
          <w:szCs w:val="24"/>
        </w:rPr>
        <w:t xml:space="preserve">price-to-value should </w:t>
      </w:r>
      <w:r w:rsidR="00ED208B">
        <w:rPr>
          <w:rFonts w:ascii="Times New Roman" w:hAnsi="Times New Roman" w:cs="Times New Roman"/>
          <w:sz w:val="24"/>
          <w:szCs w:val="24"/>
        </w:rPr>
        <w:t>be more profitable when</w:t>
      </w:r>
      <w:r w:rsidRPr="009C6F24">
        <w:rPr>
          <w:rFonts w:ascii="Times New Roman" w:hAnsi="Times New Roman" w:cs="Times New Roman"/>
          <w:sz w:val="24"/>
          <w:szCs w:val="24"/>
        </w:rPr>
        <w:t xml:space="preserve"> valuation uncertainty</w:t>
      </w:r>
      <w:r w:rsidR="00ED208B">
        <w:rPr>
          <w:rFonts w:ascii="Times New Roman" w:hAnsi="Times New Roman" w:cs="Times New Roman"/>
          <w:sz w:val="24"/>
          <w:szCs w:val="24"/>
        </w:rPr>
        <w:t xml:space="preserve"> is high</w:t>
      </w:r>
      <w:r>
        <w:rPr>
          <w:rFonts w:ascii="Times New Roman" w:hAnsi="Times New Roman" w:cs="Times New Roman"/>
          <w:sz w:val="24"/>
          <w:szCs w:val="24"/>
        </w:rPr>
        <w:t xml:space="preserve">, as per </w:t>
      </w:r>
      <w:r w:rsidR="00340473" w:rsidRPr="00ED208B">
        <w:rPr>
          <w:rFonts w:ascii="Times New Roman" w:hAnsi="Times New Roman" w:cs="Times New Roman"/>
          <w:i/>
          <w:sz w:val="24"/>
          <w:szCs w:val="24"/>
        </w:rPr>
        <w:t>H</w:t>
      </w:r>
      <w:r w:rsidR="00340473">
        <w:rPr>
          <w:rFonts w:ascii="Times New Roman" w:hAnsi="Times New Roman" w:cs="Times New Roman"/>
          <w:i/>
          <w:sz w:val="24"/>
          <w:szCs w:val="24"/>
        </w:rPr>
        <w:t>1</w:t>
      </w:r>
      <w:r w:rsidR="00ED208B">
        <w:rPr>
          <w:rFonts w:ascii="Times New Roman" w:hAnsi="Times New Roman" w:cs="Times New Roman"/>
          <w:sz w:val="24"/>
          <w:szCs w:val="24"/>
        </w:rPr>
        <w:t>.</w:t>
      </w:r>
      <w:r>
        <w:rPr>
          <w:rFonts w:ascii="Times New Roman" w:hAnsi="Times New Roman" w:cs="Times New Roman"/>
          <w:sz w:val="24"/>
          <w:szCs w:val="24"/>
        </w:rPr>
        <w:t xml:space="preserve"> </w:t>
      </w:r>
    </w:p>
    <w:p w14:paraId="614A9C74" w14:textId="6A2234C5" w:rsidR="00724854" w:rsidRPr="005616DB" w:rsidRDefault="00340473" w:rsidP="00241A00">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H2</w:t>
      </w:r>
      <w:r w:rsidR="00133C95">
        <w:rPr>
          <w:rFonts w:ascii="Times New Roman" w:hAnsi="Times New Roman" w:cs="Times New Roman"/>
          <w:i/>
          <w:sz w:val="24"/>
          <w:szCs w:val="24"/>
        </w:rPr>
        <w:t xml:space="preserve">: </w:t>
      </w:r>
      <w:r w:rsidR="00724854">
        <w:rPr>
          <w:rFonts w:ascii="Times New Roman" w:hAnsi="Times New Roman" w:cs="Times New Roman"/>
          <w:i/>
          <w:sz w:val="24"/>
          <w:szCs w:val="24"/>
        </w:rPr>
        <w:t>Returns to long (short) positions in “value” (“growth”) stocks are higher following periods o</w:t>
      </w:r>
      <w:r w:rsidR="007F3CB1">
        <w:rPr>
          <w:rFonts w:ascii="Times New Roman" w:hAnsi="Times New Roman" w:cs="Times New Roman"/>
          <w:i/>
          <w:sz w:val="24"/>
          <w:szCs w:val="24"/>
        </w:rPr>
        <w:t>f low (high) investor sentiment –</w:t>
      </w:r>
      <w:r w:rsidR="00724854">
        <w:rPr>
          <w:rFonts w:ascii="Times New Roman" w:hAnsi="Times New Roman" w:cs="Times New Roman"/>
          <w:i/>
          <w:sz w:val="24"/>
          <w:szCs w:val="24"/>
        </w:rPr>
        <w:t xml:space="preserve"> </w:t>
      </w:r>
      <w:r w:rsidR="007F3CB1">
        <w:rPr>
          <w:rFonts w:ascii="Times New Roman" w:hAnsi="Times New Roman" w:cs="Times New Roman"/>
          <w:i/>
          <w:sz w:val="24"/>
          <w:szCs w:val="24"/>
        </w:rPr>
        <w:t xml:space="preserve">and </w:t>
      </w:r>
      <w:r w:rsidR="00724854">
        <w:rPr>
          <w:rFonts w:ascii="Times New Roman" w:hAnsi="Times New Roman" w:cs="Times New Roman"/>
          <w:i/>
          <w:sz w:val="24"/>
          <w:szCs w:val="24"/>
        </w:rPr>
        <w:t>particularly</w:t>
      </w:r>
      <w:r w:rsidR="007F3CB1">
        <w:rPr>
          <w:rFonts w:ascii="Times New Roman" w:hAnsi="Times New Roman" w:cs="Times New Roman"/>
          <w:i/>
          <w:sz w:val="24"/>
          <w:szCs w:val="24"/>
        </w:rPr>
        <w:t xml:space="preserve"> so</w:t>
      </w:r>
      <w:r w:rsidR="00724854">
        <w:rPr>
          <w:rFonts w:ascii="Times New Roman" w:hAnsi="Times New Roman" w:cs="Times New Roman"/>
          <w:i/>
          <w:sz w:val="24"/>
          <w:szCs w:val="24"/>
        </w:rPr>
        <w:t xml:space="preserve"> for high valuation uncertainty stocks.</w:t>
      </w:r>
    </w:p>
    <w:p w14:paraId="0660E822" w14:textId="12EBE6A5" w:rsidR="00724854" w:rsidRDefault="00CF2D41" w:rsidP="00C172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Put differently, if valuation mistakes arise due to uninformed demand</w:t>
      </w:r>
      <w:r w:rsidR="00A23485">
        <w:rPr>
          <w:rFonts w:ascii="Times New Roman" w:hAnsi="Times New Roman" w:cs="Times New Roman"/>
          <w:sz w:val="24"/>
          <w:szCs w:val="24"/>
        </w:rPr>
        <w:t>/</w:t>
      </w:r>
      <w:r w:rsidR="006753A0">
        <w:rPr>
          <w:rFonts w:ascii="Times New Roman" w:hAnsi="Times New Roman" w:cs="Times New Roman"/>
          <w:sz w:val="24"/>
          <w:szCs w:val="24"/>
        </w:rPr>
        <w:t xml:space="preserve">supply </w:t>
      </w:r>
      <w:r>
        <w:rPr>
          <w:rFonts w:ascii="Times New Roman" w:hAnsi="Times New Roman" w:cs="Times New Roman"/>
          <w:sz w:val="24"/>
          <w:szCs w:val="24"/>
        </w:rPr>
        <w:t>from speculators, then</w:t>
      </w:r>
      <w:r w:rsidR="006753A0">
        <w:rPr>
          <w:rFonts w:ascii="Times New Roman" w:hAnsi="Times New Roman" w:cs="Times New Roman"/>
          <w:sz w:val="24"/>
          <w:szCs w:val="24"/>
        </w:rPr>
        <w:t xml:space="preserve"> the</w:t>
      </w:r>
      <w:r>
        <w:rPr>
          <w:rFonts w:ascii="Times New Roman" w:hAnsi="Times New Roman" w:cs="Times New Roman"/>
          <w:sz w:val="24"/>
          <w:szCs w:val="24"/>
        </w:rPr>
        <w:t xml:space="preserve"> subsequent returns o</w:t>
      </w:r>
      <w:r w:rsidR="006753A0">
        <w:rPr>
          <w:rFonts w:ascii="Times New Roman" w:hAnsi="Times New Roman" w:cs="Times New Roman"/>
          <w:sz w:val="24"/>
          <w:szCs w:val="24"/>
        </w:rPr>
        <w:t>f</w:t>
      </w:r>
      <w:r>
        <w:rPr>
          <w:rFonts w:ascii="Times New Roman" w:hAnsi="Times New Roman" w:cs="Times New Roman"/>
          <w:sz w:val="24"/>
          <w:szCs w:val="24"/>
        </w:rPr>
        <w:t xml:space="preserve"> the affected stocks should be predictable by investor sentiment. </w:t>
      </w:r>
      <w:r>
        <w:rPr>
          <w:rFonts w:ascii="Times New Roman" w:hAnsi="Times New Roman" w:cs="Times New Roman"/>
          <w:sz w:val="24"/>
          <w:szCs w:val="24"/>
        </w:rPr>
        <w:lastRenderedPageBreak/>
        <w:t xml:space="preserve">Moreover, if sentiment </w:t>
      </w:r>
      <w:r w:rsidR="006753A0">
        <w:rPr>
          <w:rFonts w:ascii="Times New Roman" w:hAnsi="Times New Roman" w:cs="Times New Roman"/>
          <w:sz w:val="24"/>
          <w:szCs w:val="24"/>
        </w:rPr>
        <w:t>is</w:t>
      </w:r>
      <w:r>
        <w:rPr>
          <w:rFonts w:ascii="Times New Roman" w:hAnsi="Times New Roman" w:cs="Times New Roman"/>
          <w:sz w:val="24"/>
          <w:szCs w:val="24"/>
        </w:rPr>
        <w:t xml:space="preserve"> more likely to affect high valuation uncertainty stocks</w:t>
      </w:r>
      <w:r w:rsidR="001502B1">
        <w:rPr>
          <w:rFonts w:ascii="Times New Roman" w:hAnsi="Times New Roman" w:cs="Times New Roman"/>
          <w:sz w:val="24"/>
          <w:szCs w:val="24"/>
        </w:rPr>
        <w:t xml:space="preserve"> (</w:t>
      </w:r>
      <w:hyperlink w:anchor="_ENREF_7" w:tooltip="Baker, 2006 #145"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AuthorYear="1"&gt;&lt;Author&gt;Baker&lt;/Author&gt;&lt;Year&gt;2006&lt;/Year&gt;&lt;RecNum&gt;145&lt;/RecNum&gt;&lt;DisplayText&gt;Baker and Wurgler (2006)&lt;/DisplayText&gt;&lt;record&gt;&lt;rec-number&gt;145&lt;/rec-number&gt;&lt;foreign-keys&gt;&lt;key app="EN" db-id="a00ppf5vbz2zw4efraqp9recxrvdwwtasszf" timestamp="1636055766"&gt;145&lt;/key&gt;&lt;/foreign-keys&gt;&lt;ref-type name="Journal Article"&gt;17&lt;/ref-type&gt;&lt;contributors&gt;&lt;authors&gt;&lt;author&gt;Baker, Malcolm&lt;/author&gt;&lt;author&gt;Wurgler, Jeffrey&lt;/author&gt;&lt;/authors&gt;&lt;/contributors&gt;&lt;titles&gt;&lt;title&gt;Investor Sentiment and the Cross-Section of Stock Returns&lt;/title&gt;&lt;secondary-title&gt;Journal of Finance&lt;/secondary-title&gt;&lt;/titles&gt;&lt;periodical&gt;&lt;full-title&gt;Journal of FInance&lt;/full-title&gt;&lt;/periodical&gt;&lt;pages&gt;1645-1680&lt;/pages&gt;&lt;volume&gt;61&lt;/volume&gt;&lt;number&gt;4&lt;/number&gt;&lt;keywords&gt;&lt;keyword&gt;RATE of return&lt;/keyword&gt;&lt;keyword&gt;STOCKS (Finance) -- Prices&lt;/keyword&gt;&lt;keyword&gt;CAPITALISTS &amp;amp; financiers&lt;/keyword&gt;&lt;keyword&gt;SECURITIES trading&lt;/keyword&gt;&lt;keyword&gt;ARBITRAGE&lt;/keyword&gt;&lt;keyword&gt;STOCK exchanges&lt;/keyword&gt;&lt;keyword&gt;GROWTH stocks&lt;/keyword&gt;&lt;keyword&gt;EXPECTED returns&lt;/keyword&gt;&lt;keyword&gt;MARKET value&lt;/keyword&gt;&lt;keyword&gt;INVESTMENT policy&lt;/keyword&gt;&lt;keyword&gt;PSYCHOLOGY&lt;/keyword&gt;&lt;/keywords&gt;&lt;dates&gt;&lt;year&gt;2006&lt;/year&gt;&lt;/dates&gt;&lt;publisher&gt;Wiley-Blackwell&lt;/publisher&gt;&lt;isbn&gt;00221082&lt;/isbn&gt;&lt;accession-num&gt;21796407&lt;/accession-num&gt;&lt;work-type&gt;Article&lt;/work-type&gt;&lt;urls&gt;&lt;related-urls&gt;&lt;url&gt;http://search.ebscohost.com/login.aspx?direct=true&amp;amp;AuthType=athens,ip,cookie,url,uid&amp;amp;db=bth&amp;amp;AN=21796407&amp;amp;site=ehost-live&lt;/url&gt;&lt;/related-urls&gt;&lt;/urls&gt;&lt;electronic-resource-num&gt;10.1111/j.1540-6261.2006.00885.x&lt;/electronic-resource-num&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Baker and Wurgler (2006)</w:t>
        </w:r>
        <w:r w:rsidR="00A4299A">
          <w:rPr>
            <w:rFonts w:ascii="Times New Roman" w:hAnsi="Times New Roman" w:cs="Times New Roman"/>
            <w:sz w:val="24"/>
            <w:szCs w:val="24"/>
          </w:rPr>
          <w:fldChar w:fldCharType="end"/>
        </w:r>
      </w:hyperlink>
      <w:r w:rsidR="001502B1">
        <w:rPr>
          <w:rFonts w:ascii="Times New Roman" w:hAnsi="Times New Roman" w:cs="Times New Roman"/>
          <w:sz w:val="24"/>
          <w:szCs w:val="24"/>
        </w:rPr>
        <w:t>)</w:t>
      </w:r>
      <w:r>
        <w:rPr>
          <w:rFonts w:ascii="Times New Roman" w:hAnsi="Times New Roman" w:cs="Times New Roman"/>
          <w:sz w:val="24"/>
          <w:szCs w:val="24"/>
        </w:rPr>
        <w:t xml:space="preserve">, then the ability </w:t>
      </w:r>
      <w:r w:rsidR="006753A0">
        <w:rPr>
          <w:rFonts w:ascii="Times New Roman" w:hAnsi="Times New Roman" w:cs="Times New Roman"/>
          <w:sz w:val="24"/>
          <w:szCs w:val="24"/>
        </w:rPr>
        <w:t xml:space="preserve">of sentiment </w:t>
      </w:r>
      <w:r>
        <w:rPr>
          <w:rFonts w:ascii="Times New Roman" w:hAnsi="Times New Roman" w:cs="Times New Roman"/>
          <w:sz w:val="24"/>
          <w:szCs w:val="24"/>
        </w:rPr>
        <w:t xml:space="preserve">to time the returns of </w:t>
      </w:r>
      <w:r w:rsidR="00AA5CE4">
        <w:rPr>
          <w:rFonts w:ascii="Times New Roman" w:hAnsi="Times New Roman" w:cs="Times New Roman"/>
          <w:sz w:val="24"/>
          <w:szCs w:val="24"/>
        </w:rPr>
        <w:t xml:space="preserve">such </w:t>
      </w:r>
      <w:r>
        <w:rPr>
          <w:rFonts w:ascii="Times New Roman" w:hAnsi="Times New Roman" w:cs="Times New Roman"/>
          <w:sz w:val="24"/>
          <w:szCs w:val="24"/>
        </w:rPr>
        <w:t xml:space="preserve">stocks </w:t>
      </w:r>
      <w:r w:rsidR="008E2115">
        <w:rPr>
          <w:rFonts w:ascii="Times New Roman" w:hAnsi="Times New Roman" w:cs="Times New Roman"/>
          <w:sz w:val="24"/>
          <w:szCs w:val="24"/>
        </w:rPr>
        <w:t xml:space="preserve">should </w:t>
      </w:r>
      <w:r w:rsidR="00AA5CE4">
        <w:rPr>
          <w:rFonts w:ascii="Times New Roman" w:hAnsi="Times New Roman" w:cs="Times New Roman"/>
          <w:sz w:val="24"/>
          <w:szCs w:val="24"/>
        </w:rPr>
        <w:t>be higher</w:t>
      </w:r>
      <w:r>
        <w:rPr>
          <w:rFonts w:ascii="Times New Roman" w:hAnsi="Times New Roman" w:cs="Times New Roman"/>
          <w:sz w:val="24"/>
          <w:szCs w:val="24"/>
        </w:rPr>
        <w:t>.</w:t>
      </w:r>
      <w:r w:rsidR="00AF1C9D">
        <w:rPr>
          <w:rStyle w:val="FootnoteReference"/>
          <w:rFonts w:ascii="Times New Roman" w:hAnsi="Times New Roman" w:cs="Times New Roman"/>
          <w:sz w:val="24"/>
          <w:szCs w:val="24"/>
        </w:rPr>
        <w:footnoteReference w:id="26"/>
      </w:r>
    </w:p>
    <w:p w14:paraId="67D59230" w14:textId="2F7F3EAB" w:rsidR="00763483" w:rsidRDefault="00E4116F" w:rsidP="002419BD">
      <w:pPr>
        <w:spacing w:after="0" w:line="480" w:lineRule="auto"/>
        <w:ind w:firstLine="567"/>
        <w:jc w:val="both"/>
        <w:rPr>
          <w:rFonts w:ascii="Times New Roman" w:hAnsi="Times New Roman" w:cs="Times New Roman"/>
          <w:sz w:val="24"/>
          <w:szCs w:val="24"/>
        </w:rPr>
      </w:pPr>
      <w:r w:rsidRPr="00E4116F">
        <w:rPr>
          <w:rFonts w:ascii="Times New Roman" w:hAnsi="Times New Roman" w:cs="Times New Roman"/>
          <w:sz w:val="24"/>
          <w:szCs w:val="24"/>
        </w:rPr>
        <w:t>We recognize the joint-hypothesis problem</w:t>
      </w:r>
      <w:r>
        <w:rPr>
          <w:rFonts w:ascii="Times New Roman" w:hAnsi="Times New Roman" w:cs="Times New Roman"/>
          <w:sz w:val="24"/>
          <w:szCs w:val="24"/>
        </w:rPr>
        <w:t xml:space="preserve"> inherent </w:t>
      </w:r>
      <w:r w:rsidR="00467353">
        <w:rPr>
          <w:rFonts w:ascii="Times New Roman" w:hAnsi="Times New Roman" w:cs="Times New Roman"/>
          <w:sz w:val="24"/>
          <w:szCs w:val="24"/>
        </w:rPr>
        <w:t>in some of the foregoing discussion</w:t>
      </w:r>
      <w:r w:rsidRPr="00E4116F">
        <w:rPr>
          <w:rFonts w:ascii="Times New Roman" w:hAnsi="Times New Roman" w:cs="Times New Roman"/>
          <w:sz w:val="24"/>
          <w:szCs w:val="24"/>
        </w:rPr>
        <w:t>.</w:t>
      </w:r>
      <w:r>
        <w:rPr>
          <w:rFonts w:ascii="Times New Roman" w:hAnsi="Times New Roman" w:cs="Times New Roman"/>
          <w:sz w:val="24"/>
          <w:szCs w:val="24"/>
        </w:rPr>
        <w:t xml:space="preserve"> In particular, o</w:t>
      </w:r>
      <w:r w:rsidRPr="00E4116F">
        <w:rPr>
          <w:rFonts w:ascii="Times New Roman" w:hAnsi="Times New Roman" w:cs="Times New Roman"/>
          <w:sz w:val="24"/>
          <w:szCs w:val="24"/>
        </w:rPr>
        <w:t xml:space="preserve">ur tests should be viewed as a </w:t>
      </w:r>
      <w:r w:rsidR="00297056">
        <w:rPr>
          <w:rFonts w:ascii="Times New Roman" w:hAnsi="Times New Roman" w:cs="Times New Roman"/>
          <w:sz w:val="24"/>
          <w:szCs w:val="24"/>
        </w:rPr>
        <w:t>test of the</w:t>
      </w:r>
      <w:r w:rsidR="000D683F">
        <w:rPr>
          <w:rFonts w:ascii="Times New Roman" w:hAnsi="Times New Roman" w:cs="Times New Roman"/>
          <w:sz w:val="24"/>
          <w:szCs w:val="24"/>
        </w:rPr>
        <w:t xml:space="preserve"> joint</w:t>
      </w:r>
      <w:r w:rsidR="00297056">
        <w:rPr>
          <w:rFonts w:ascii="Times New Roman" w:hAnsi="Times New Roman" w:cs="Times New Roman"/>
          <w:sz w:val="24"/>
          <w:szCs w:val="24"/>
        </w:rPr>
        <w:t xml:space="preserve"> </w:t>
      </w:r>
      <w:r w:rsidR="000D683F">
        <w:rPr>
          <w:rFonts w:ascii="Times New Roman" w:hAnsi="Times New Roman" w:cs="Times New Roman"/>
          <w:sz w:val="24"/>
          <w:szCs w:val="24"/>
        </w:rPr>
        <w:t>hypothesi</w:t>
      </w:r>
      <w:r w:rsidRPr="00E4116F">
        <w:rPr>
          <w:rFonts w:ascii="Times New Roman" w:hAnsi="Times New Roman" w:cs="Times New Roman"/>
          <w:sz w:val="24"/>
          <w:szCs w:val="24"/>
        </w:rPr>
        <w:t xml:space="preserve">s that i) </w:t>
      </w:r>
      <w:r w:rsidR="00A2033D">
        <w:rPr>
          <w:rFonts w:ascii="Times New Roman" w:hAnsi="Times New Roman" w:cs="Times New Roman"/>
          <w:sz w:val="24"/>
          <w:szCs w:val="24"/>
        </w:rPr>
        <w:t>valuation uncertainty promotes valuation mistakes</w:t>
      </w:r>
      <w:r w:rsidRPr="00E4116F">
        <w:rPr>
          <w:rFonts w:ascii="Times New Roman" w:hAnsi="Times New Roman" w:cs="Times New Roman"/>
          <w:sz w:val="24"/>
          <w:szCs w:val="24"/>
        </w:rPr>
        <w:t xml:space="preserve">, </w:t>
      </w:r>
      <w:r w:rsidRPr="00297056">
        <w:rPr>
          <w:rFonts w:ascii="Times New Roman" w:hAnsi="Times New Roman" w:cs="Times New Roman"/>
          <w:sz w:val="24"/>
          <w:szCs w:val="24"/>
        </w:rPr>
        <w:t>and</w:t>
      </w:r>
      <w:r w:rsidRPr="00E4116F">
        <w:rPr>
          <w:rFonts w:ascii="Times New Roman" w:hAnsi="Times New Roman" w:cs="Times New Roman"/>
          <w:sz w:val="24"/>
          <w:szCs w:val="24"/>
        </w:rPr>
        <w:t xml:space="preserve"> ii) o</w:t>
      </w:r>
      <w:r>
        <w:rPr>
          <w:rFonts w:ascii="Times New Roman" w:hAnsi="Times New Roman" w:cs="Times New Roman"/>
          <w:sz w:val="24"/>
          <w:szCs w:val="24"/>
        </w:rPr>
        <w:t xml:space="preserve">ur sorting variable, price-to-value, </w:t>
      </w:r>
      <w:r w:rsidR="00297056">
        <w:rPr>
          <w:rFonts w:ascii="Times New Roman" w:hAnsi="Times New Roman" w:cs="Times New Roman"/>
          <w:sz w:val="24"/>
          <w:szCs w:val="24"/>
        </w:rPr>
        <w:t>identifies</w:t>
      </w:r>
      <w:r>
        <w:rPr>
          <w:rFonts w:ascii="Times New Roman" w:hAnsi="Times New Roman" w:cs="Times New Roman"/>
          <w:sz w:val="24"/>
          <w:szCs w:val="24"/>
        </w:rPr>
        <w:t xml:space="preserve"> valuation mistakes at least to some extent. While we cannot fully overcome this joint-hypothesis problem,</w:t>
      </w:r>
      <w:r w:rsidR="00C408CD">
        <w:rPr>
          <w:rFonts w:ascii="Times New Roman" w:hAnsi="Times New Roman" w:cs="Times New Roman"/>
          <w:sz w:val="24"/>
          <w:szCs w:val="24"/>
        </w:rPr>
        <w:t xml:space="preserve"> </w:t>
      </w:r>
      <w:r>
        <w:rPr>
          <w:rFonts w:ascii="Times New Roman" w:hAnsi="Times New Roman" w:cs="Times New Roman"/>
          <w:sz w:val="24"/>
          <w:szCs w:val="24"/>
        </w:rPr>
        <w:t xml:space="preserve">we </w:t>
      </w:r>
      <w:r w:rsidR="003F61B8">
        <w:rPr>
          <w:rFonts w:ascii="Times New Roman" w:hAnsi="Times New Roman" w:cs="Times New Roman"/>
          <w:sz w:val="24"/>
          <w:szCs w:val="24"/>
        </w:rPr>
        <w:t xml:space="preserve">will </w:t>
      </w:r>
      <w:r>
        <w:rPr>
          <w:rFonts w:ascii="Times New Roman" w:hAnsi="Times New Roman" w:cs="Times New Roman"/>
          <w:sz w:val="24"/>
          <w:szCs w:val="24"/>
        </w:rPr>
        <w:t xml:space="preserve">appeal to economic theory </w:t>
      </w:r>
      <w:r w:rsidR="00730F89">
        <w:rPr>
          <w:rFonts w:ascii="Times New Roman" w:hAnsi="Times New Roman" w:cs="Times New Roman"/>
          <w:sz w:val="24"/>
          <w:szCs w:val="24"/>
        </w:rPr>
        <w:t>to</w:t>
      </w:r>
      <w:r>
        <w:rPr>
          <w:rFonts w:ascii="Times New Roman" w:hAnsi="Times New Roman" w:cs="Times New Roman"/>
          <w:sz w:val="24"/>
          <w:szCs w:val="24"/>
        </w:rPr>
        <w:t xml:space="preserve"> limit the validity of alternative interpretations</w:t>
      </w:r>
      <w:r w:rsidR="00A2033D">
        <w:rPr>
          <w:rFonts w:ascii="Times New Roman" w:hAnsi="Times New Roman" w:cs="Times New Roman"/>
          <w:sz w:val="24"/>
          <w:szCs w:val="24"/>
        </w:rPr>
        <w:t xml:space="preserve"> (e.g.,</w:t>
      </w:r>
      <w:r w:rsidR="00A056B3">
        <w:rPr>
          <w:rFonts w:ascii="Times New Roman" w:hAnsi="Times New Roman" w:cs="Times New Roman"/>
          <w:sz w:val="24"/>
          <w:szCs w:val="24"/>
        </w:rPr>
        <w:t xml:space="preserve"> </w:t>
      </w:r>
      <w:r>
        <w:rPr>
          <w:rFonts w:ascii="Times New Roman" w:hAnsi="Times New Roman" w:cs="Times New Roman"/>
          <w:sz w:val="24"/>
          <w:szCs w:val="24"/>
        </w:rPr>
        <w:t>theory c</w:t>
      </w:r>
      <w:r w:rsidR="000D683F">
        <w:rPr>
          <w:rFonts w:ascii="Times New Roman" w:hAnsi="Times New Roman" w:cs="Times New Roman"/>
          <w:sz w:val="24"/>
          <w:szCs w:val="24"/>
        </w:rPr>
        <w:t>onstrain</w:t>
      </w:r>
      <w:r>
        <w:rPr>
          <w:rFonts w:ascii="Times New Roman" w:hAnsi="Times New Roman" w:cs="Times New Roman"/>
          <w:sz w:val="24"/>
          <w:szCs w:val="24"/>
        </w:rPr>
        <w:t xml:space="preserve">s the </w:t>
      </w:r>
      <w:r w:rsidR="009C1A15">
        <w:rPr>
          <w:rFonts w:ascii="Times New Roman" w:hAnsi="Times New Roman" w:cs="Times New Roman"/>
          <w:sz w:val="24"/>
          <w:szCs w:val="24"/>
        </w:rPr>
        <w:t xml:space="preserve">signs and/or </w:t>
      </w:r>
      <w:r w:rsidRPr="00297056">
        <w:rPr>
          <w:rFonts w:ascii="Times New Roman" w:hAnsi="Times New Roman" w:cs="Times New Roman"/>
          <w:sz w:val="24"/>
          <w:szCs w:val="24"/>
        </w:rPr>
        <w:t>magnitudes</w:t>
      </w:r>
      <w:r>
        <w:rPr>
          <w:rFonts w:ascii="Times New Roman" w:hAnsi="Times New Roman" w:cs="Times New Roman"/>
          <w:sz w:val="24"/>
          <w:szCs w:val="24"/>
        </w:rPr>
        <w:t xml:space="preserve"> of certain </w:t>
      </w:r>
      <w:r w:rsidR="000D683F">
        <w:rPr>
          <w:rFonts w:ascii="Times New Roman" w:hAnsi="Times New Roman" w:cs="Times New Roman"/>
          <w:sz w:val="24"/>
          <w:szCs w:val="24"/>
        </w:rPr>
        <w:t>parameters</w:t>
      </w:r>
      <w:r w:rsidR="00A056B3">
        <w:rPr>
          <w:rFonts w:ascii="Times New Roman" w:hAnsi="Times New Roman" w:cs="Times New Roman"/>
          <w:sz w:val="24"/>
          <w:szCs w:val="24"/>
        </w:rPr>
        <w:t>, such as risk premia</w:t>
      </w:r>
      <w:r w:rsidR="00A2033D">
        <w:rPr>
          <w:rFonts w:ascii="Times New Roman" w:hAnsi="Times New Roman" w:cs="Times New Roman"/>
          <w:sz w:val="24"/>
          <w:szCs w:val="24"/>
        </w:rPr>
        <w:t>)</w:t>
      </w:r>
      <w:r w:rsidR="00A056B3">
        <w:rPr>
          <w:rFonts w:ascii="Times New Roman" w:hAnsi="Times New Roman" w:cs="Times New Roman"/>
          <w:sz w:val="24"/>
          <w:szCs w:val="24"/>
        </w:rPr>
        <w:t>.</w:t>
      </w:r>
    </w:p>
    <w:p w14:paraId="0E1903D8" w14:textId="40DFF911" w:rsidR="0045584E" w:rsidRPr="00A5212F" w:rsidRDefault="00A5212F" w:rsidP="002419BD">
      <w:pPr>
        <w:spacing w:before="120" w:after="0" w:line="480" w:lineRule="auto"/>
        <w:jc w:val="both"/>
        <w:rPr>
          <w:rFonts w:ascii="Times New Roman" w:hAnsi="Times New Roman" w:cs="Times New Roman"/>
          <w:b/>
          <w:bCs/>
          <w:iCs/>
          <w:sz w:val="24"/>
          <w:szCs w:val="24"/>
        </w:rPr>
      </w:pPr>
      <w:r w:rsidRPr="00A5212F">
        <w:rPr>
          <w:rFonts w:ascii="Times New Roman" w:hAnsi="Times New Roman" w:cs="Times New Roman"/>
          <w:b/>
          <w:bCs/>
          <w:iCs/>
          <w:sz w:val="24"/>
          <w:szCs w:val="24"/>
        </w:rPr>
        <w:t>A</w:t>
      </w:r>
      <w:r w:rsidR="005E55D7" w:rsidRPr="00A5212F">
        <w:rPr>
          <w:rFonts w:ascii="Times New Roman" w:hAnsi="Times New Roman" w:cs="Times New Roman"/>
          <w:b/>
          <w:bCs/>
          <w:iCs/>
          <w:sz w:val="24"/>
          <w:szCs w:val="24"/>
        </w:rPr>
        <w:t xml:space="preserve">nalysis </w:t>
      </w:r>
      <w:r w:rsidRPr="00A5212F">
        <w:rPr>
          <w:rFonts w:ascii="Times New Roman" w:hAnsi="Times New Roman" w:cs="Times New Roman"/>
          <w:b/>
          <w:bCs/>
          <w:iCs/>
          <w:sz w:val="24"/>
          <w:szCs w:val="24"/>
        </w:rPr>
        <w:t>S</w:t>
      </w:r>
      <w:r w:rsidR="005E55D7" w:rsidRPr="00A5212F">
        <w:rPr>
          <w:rFonts w:ascii="Times New Roman" w:hAnsi="Times New Roman" w:cs="Times New Roman"/>
          <w:b/>
          <w:bCs/>
          <w:iCs/>
          <w:sz w:val="24"/>
          <w:szCs w:val="24"/>
        </w:rPr>
        <w:t>ample</w:t>
      </w:r>
    </w:p>
    <w:p w14:paraId="70B53CDF" w14:textId="77BFC124" w:rsidR="003A7CE7" w:rsidRDefault="008D6AF5"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w:t>
      </w:r>
      <w:r w:rsidR="002D1329">
        <w:rPr>
          <w:rFonts w:ascii="Times New Roman" w:hAnsi="Times New Roman" w:cs="Times New Roman"/>
          <w:sz w:val="24"/>
          <w:szCs w:val="24"/>
        </w:rPr>
        <w:t>e</w:t>
      </w:r>
      <w:r>
        <w:rPr>
          <w:rFonts w:ascii="Times New Roman" w:hAnsi="Times New Roman" w:cs="Times New Roman"/>
          <w:sz w:val="24"/>
          <w:szCs w:val="24"/>
        </w:rPr>
        <w:t xml:space="preserve"> implement our tests of the above predictions using</w:t>
      </w:r>
      <w:r w:rsidR="00B308B8">
        <w:rPr>
          <w:rFonts w:ascii="Times New Roman" w:hAnsi="Times New Roman" w:cs="Times New Roman"/>
          <w:sz w:val="24"/>
          <w:szCs w:val="24"/>
        </w:rPr>
        <w:t xml:space="preserve"> our main universe over the period 1974</w:t>
      </w:r>
      <w:r w:rsidR="00DB3109">
        <w:rPr>
          <w:rFonts w:ascii="Times New Roman" w:hAnsi="Times New Roman" w:cs="Times New Roman"/>
          <w:sz w:val="24"/>
          <w:szCs w:val="24"/>
        </w:rPr>
        <w:t>–</w:t>
      </w:r>
      <w:r w:rsidR="003D64C0">
        <w:rPr>
          <w:rFonts w:ascii="Times New Roman" w:hAnsi="Times New Roman" w:cs="Times New Roman"/>
          <w:sz w:val="24"/>
          <w:szCs w:val="24"/>
        </w:rPr>
        <w:t>2022</w:t>
      </w:r>
      <w:r w:rsidR="002D1329">
        <w:rPr>
          <w:rFonts w:ascii="Times New Roman" w:hAnsi="Times New Roman" w:cs="Times New Roman"/>
          <w:sz w:val="24"/>
          <w:szCs w:val="24"/>
        </w:rPr>
        <w:t xml:space="preserve"> </w:t>
      </w:r>
      <w:r w:rsidR="00155C03">
        <w:rPr>
          <w:rFonts w:ascii="Times New Roman" w:hAnsi="Times New Roman" w:cs="Times New Roman"/>
          <w:sz w:val="24"/>
          <w:szCs w:val="24"/>
        </w:rPr>
        <w:t>but after</w:t>
      </w:r>
      <w:r w:rsidR="002D1329">
        <w:rPr>
          <w:rFonts w:ascii="Times New Roman" w:hAnsi="Times New Roman" w:cs="Times New Roman"/>
          <w:sz w:val="24"/>
          <w:szCs w:val="24"/>
        </w:rPr>
        <w:t xml:space="preserve"> exclud</w:t>
      </w:r>
      <w:r w:rsidR="00155C03">
        <w:rPr>
          <w:rFonts w:ascii="Times New Roman" w:hAnsi="Times New Roman" w:cs="Times New Roman"/>
          <w:sz w:val="24"/>
          <w:szCs w:val="24"/>
        </w:rPr>
        <w:t>ing</w:t>
      </w:r>
      <w:r w:rsidR="002D1329">
        <w:rPr>
          <w:rFonts w:ascii="Times New Roman" w:hAnsi="Times New Roman" w:cs="Times New Roman"/>
          <w:sz w:val="24"/>
          <w:szCs w:val="24"/>
        </w:rPr>
        <w:t xml:space="preserve"> </w:t>
      </w:r>
      <w:proofErr w:type="spellStart"/>
      <w:r w:rsidR="002D1329">
        <w:rPr>
          <w:rFonts w:ascii="Times New Roman" w:hAnsi="Times New Roman" w:cs="Times New Roman"/>
          <w:sz w:val="24"/>
          <w:szCs w:val="24"/>
        </w:rPr>
        <w:t>megacaps</w:t>
      </w:r>
      <w:proofErr w:type="spellEnd"/>
      <w:r w:rsidR="00B87087">
        <w:rPr>
          <w:rFonts w:ascii="Times New Roman" w:hAnsi="Times New Roman" w:cs="Times New Roman"/>
          <w:sz w:val="24"/>
          <w:szCs w:val="24"/>
        </w:rPr>
        <w:t xml:space="preserve">, </w:t>
      </w:r>
      <w:r w:rsidR="00B308B8">
        <w:rPr>
          <w:rFonts w:ascii="Times New Roman" w:hAnsi="Times New Roman" w:cs="Times New Roman"/>
          <w:sz w:val="24"/>
          <w:szCs w:val="24"/>
        </w:rPr>
        <w:t>defined as firms whose</w:t>
      </w:r>
      <w:r w:rsidR="00B87087">
        <w:rPr>
          <w:rFonts w:ascii="Times New Roman" w:hAnsi="Times New Roman" w:cs="Times New Roman"/>
          <w:sz w:val="24"/>
          <w:szCs w:val="24"/>
        </w:rPr>
        <w:t xml:space="preserve"> June 30</w:t>
      </w:r>
      <w:r w:rsidR="00B308B8">
        <w:rPr>
          <w:rFonts w:ascii="Times New Roman" w:hAnsi="Times New Roman" w:cs="Times New Roman"/>
          <w:sz w:val="24"/>
          <w:szCs w:val="24"/>
        </w:rPr>
        <w:t xml:space="preserve"> market capitalizations</w:t>
      </w:r>
      <w:r w:rsidR="00AD7286">
        <w:rPr>
          <w:rFonts w:ascii="Times New Roman" w:hAnsi="Times New Roman" w:cs="Times New Roman"/>
          <w:sz w:val="24"/>
          <w:szCs w:val="24"/>
        </w:rPr>
        <w:t xml:space="preserve"> </w:t>
      </w:r>
      <w:r w:rsidR="00B308B8">
        <w:rPr>
          <w:rFonts w:ascii="Times New Roman" w:hAnsi="Times New Roman" w:cs="Times New Roman"/>
          <w:sz w:val="24"/>
          <w:szCs w:val="24"/>
        </w:rPr>
        <w:t xml:space="preserve">are </w:t>
      </w:r>
      <w:r w:rsidR="00F24F92">
        <w:rPr>
          <w:rFonts w:ascii="Times New Roman" w:hAnsi="Times New Roman" w:cs="Times New Roman"/>
          <w:sz w:val="24"/>
          <w:szCs w:val="24"/>
        </w:rPr>
        <w:t>above</w:t>
      </w:r>
      <w:r w:rsidR="00B308B8">
        <w:rPr>
          <w:rFonts w:ascii="Times New Roman" w:hAnsi="Times New Roman" w:cs="Times New Roman"/>
          <w:sz w:val="24"/>
          <w:szCs w:val="24"/>
        </w:rPr>
        <w:t xml:space="preserve"> the top quartile (75</w:t>
      </w:r>
      <w:r w:rsidR="00B308B8" w:rsidRPr="00B308B8">
        <w:rPr>
          <w:rFonts w:ascii="Times New Roman" w:hAnsi="Times New Roman" w:cs="Times New Roman"/>
          <w:sz w:val="24"/>
          <w:szCs w:val="24"/>
          <w:vertAlign w:val="superscript"/>
        </w:rPr>
        <w:t>th</w:t>
      </w:r>
      <w:r w:rsidR="00B308B8">
        <w:rPr>
          <w:rFonts w:ascii="Times New Roman" w:hAnsi="Times New Roman" w:cs="Times New Roman"/>
          <w:sz w:val="24"/>
          <w:szCs w:val="24"/>
        </w:rPr>
        <w:t xml:space="preserve"> percentile) of </w:t>
      </w:r>
      <w:r w:rsidR="00F24F92">
        <w:rPr>
          <w:rFonts w:ascii="Times New Roman" w:hAnsi="Times New Roman" w:cs="Times New Roman"/>
          <w:sz w:val="24"/>
          <w:szCs w:val="24"/>
        </w:rPr>
        <w:t xml:space="preserve">market capitalization of </w:t>
      </w:r>
      <w:r w:rsidR="00B308B8">
        <w:rPr>
          <w:rFonts w:ascii="Times New Roman" w:hAnsi="Times New Roman" w:cs="Times New Roman"/>
          <w:sz w:val="24"/>
          <w:szCs w:val="24"/>
        </w:rPr>
        <w:t xml:space="preserve">NYSE firms. </w:t>
      </w:r>
      <w:r w:rsidR="009C062A">
        <w:rPr>
          <w:rFonts w:ascii="Times New Roman" w:hAnsi="Times New Roman" w:cs="Times New Roman"/>
          <w:sz w:val="24"/>
          <w:szCs w:val="24"/>
        </w:rPr>
        <w:t>T</w:t>
      </w:r>
      <w:r w:rsidR="002D1329">
        <w:rPr>
          <w:rFonts w:ascii="Times New Roman" w:hAnsi="Times New Roman" w:cs="Times New Roman"/>
          <w:sz w:val="24"/>
          <w:szCs w:val="24"/>
        </w:rPr>
        <w:t xml:space="preserve">his </w:t>
      </w:r>
      <w:r w:rsidR="003A7CE7">
        <w:rPr>
          <w:rFonts w:ascii="Times New Roman" w:hAnsi="Times New Roman" w:cs="Times New Roman"/>
          <w:sz w:val="24"/>
          <w:szCs w:val="24"/>
        </w:rPr>
        <w:t>requirement</w:t>
      </w:r>
      <w:r w:rsidR="002D1329">
        <w:rPr>
          <w:rFonts w:ascii="Times New Roman" w:hAnsi="Times New Roman" w:cs="Times New Roman"/>
          <w:sz w:val="24"/>
          <w:szCs w:val="24"/>
        </w:rPr>
        <w:t xml:space="preserve"> is not onerous on the data: it</w:t>
      </w:r>
      <w:r w:rsidR="003A7CE7">
        <w:rPr>
          <w:rFonts w:ascii="Times New Roman" w:hAnsi="Times New Roman" w:cs="Times New Roman"/>
          <w:sz w:val="24"/>
          <w:szCs w:val="24"/>
        </w:rPr>
        <w:t xml:space="preserve"> eliminates 10.</w:t>
      </w:r>
      <w:r w:rsidR="00CC05EC">
        <w:rPr>
          <w:rFonts w:ascii="Times New Roman" w:hAnsi="Times New Roman" w:cs="Times New Roman"/>
          <w:sz w:val="24"/>
          <w:szCs w:val="24"/>
        </w:rPr>
        <w:t>65</w:t>
      </w:r>
      <w:r w:rsidR="003A7CE7">
        <w:rPr>
          <w:rFonts w:ascii="Times New Roman" w:hAnsi="Times New Roman" w:cs="Times New Roman"/>
          <w:sz w:val="24"/>
          <w:szCs w:val="24"/>
        </w:rPr>
        <w:t>% of firm-year</w:t>
      </w:r>
      <w:r w:rsidR="00B87087">
        <w:rPr>
          <w:rFonts w:ascii="Times New Roman" w:hAnsi="Times New Roman" w:cs="Times New Roman"/>
          <w:sz w:val="24"/>
          <w:szCs w:val="24"/>
        </w:rPr>
        <w:t>s</w:t>
      </w:r>
      <w:r w:rsidR="0029027D">
        <w:rPr>
          <w:rFonts w:ascii="Times New Roman" w:hAnsi="Times New Roman" w:cs="Times New Roman"/>
          <w:sz w:val="24"/>
          <w:szCs w:val="24"/>
        </w:rPr>
        <w:t xml:space="preserve"> (</w:t>
      </w:r>
      <w:r w:rsidR="006727EC">
        <w:rPr>
          <w:rFonts w:ascii="Times New Roman" w:hAnsi="Times New Roman" w:cs="Times New Roman"/>
          <w:sz w:val="24"/>
          <w:szCs w:val="24"/>
        </w:rPr>
        <w:t>12,796</w:t>
      </w:r>
      <w:r w:rsidR="0029027D">
        <w:rPr>
          <w:rFonts w:ascii="Times New Roman" w:hAnsi="Times New Roman" w:cs="Times New Roman"/>
          <w:sz w:val="24"/>
          <w:szCs w:val="24"/>
        </w:rPr>
        <w:t>)</w:t>
      </w:r>
      <w:r w:rsidR="002D1329">
        <w:rPr>
          <w:rFonts w:ascii="Times New Roman" w:hAnsi="Times New Roman" w:cs="Times New Roman"/>
          <w:sz w:val="24"/>
          <w:szCs w:val="24"/>
        </w:rPr>
        <w:t xml:space="preserve"> and</w:t>
      </w:r>
      <w:r w:rsidR="003A7CE7">
        <w:rPr>
          <w:rFonts w:ascii="Times New Roman" w:hAnsi="Times New Roman" w:cs="Times New Roman"/>
          <w:sz w:val="24"/>
          <w:szCs w:val="24"/>
        </w:rPr>
        <w:t xml:space="preserve"> only </w:t>
      </w:r>
      <w:r w:rsidR="006727EC">
        <w:rPr>
          <w:rFonts w:ascii="Times New Roman" w:hAnsi="Times New Roman" w:cs="Times New Roman"/>
          <w:sz w:val="24"/>
          <w:szCs w:val="24"/>
        </w:rPr>
        <w:t>2.24</w:t>
      </w:r>
      <w:r w:rsidR="003A7CE7">
        <w:rPr>
          <w:rFonts w:ascii="Times New Roman" w:hAnsi="Times New Roman" w:cs="Times New Roman"/>
          <w:sz w:val="24"/>
          <w:szCs w:val="24"/>
        </w:rPr>
        <w:t>%</w:t>
      </w:r>
      <w:r w:rsidR="0029027D">
        <w:rPr>
          <w:rFonts w:ascii="Times New Roman" w:hAnsi="Times New Roman" w:cs="Times New Roman"/>
          <w:sz w:val="24"/>
          <w:szCs w:val="24"/>
        </w:rPr>
        <w:t xml:space="preserve"> (</w:t>
      </w:r>
      <w:r w:rsidR="006727EC">
        <w:rPr>
          <w:rFonts w:ascii="Times New Roman" w:hAnsi="Times New Roman" w:cs="Times New Roman"/>
          <w:sz w:val="24"/>
          <w:szCs w:val="24"/>
        </w:rPr>
        <w:t>312</w:t>
      </w:r>
      <w:r w:rsidR="0029027D">
        <w:rPr>
          <w:rFonts w:ascii="Times New Roman" w:hAnsi="Times New Roman" w:cs="Times New Roman"/>
          <w:sz w:val="24"/>
          <w:szCs w:val="24"/>
        </w:rPr>
        <w:t>)</w:t>
      </w:r>
      <w:r>
        <w:rPr>
          <w:rFonts w:ascii="Times New Roman" w:hAnsi="Times New Roman" w:cs="Times New Roman"/>
          <w:sz w:val="24"/>
          <w:szCs w:val="24"/>
        </w:rPr>
        <w:t xml:space="preserve"> of</w:t>
      </w:r>
      <w:r w:rsidR="003A7CE7">
        <w:rPr>
          <w:rFonts w:ascii="Times New Roman" w:hAnsi="Times New Roman" w:cs="Times New Roman"/>
          <w:sz w:val="24"/>
          <w:szCs w:val="24"/>
        </w:rPr>
        <w:t xml:space="preserve"> unique firms</w:t>
      </w:r>
      <w:r w:rsidR="00B87087">
        <w:rPr>
          <w:rFonts w:ascii="Times New Roman" w:hAnsi="Times New Roman" w:cs="Times New Roman"/>
          <w:sz w:val="24"/>
          <w:szCs w:val="24"/>
        </w:rPr>
        <w:t>, for a sample of 107,387 observations</w:t>
      </w:r>
      <w:r w:rsidR="003A7CE7">
        <w:rPr>
          <w:rFonts w:ascii="Times New Roman" w:hAnsi="Times New Roman" w:cs="Times New Roman"/>
          <w:sz w:val="24"/>
          <w:szCs w:val="24"/>
        </w:rPr>
        <w:t xml:space="preserve">. We impose this filter for two reasons. </w:t>
      </w:r>
    </w:p>
    <w:p w14:paraId="73ED3B2F" w14:textId="190C720F" w:rsidR="00F97E51" w:rsidRDefault="003A7CE7"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First, i</w:t>
      </w:r>
      <w:r w:rsidR="00F97E51">
        <w:rPr>
          <w:rFonts w:ascii="Times New Roman" w:hAnsi="Times New Roman" w:cs="Times New Roman"/>
          <w:sz w:val="24"/>
          <w:szCs w:val="24"/>
        </w:rPr>
        <w:t xml:space="preserve">t is </w:t>
      </w:r>
      <w:r w:rsidR="00B308B8">
        <w:rPr>
          <w:rFonts w:ascii="Times New Roman" w:hAnsi="Times New Roman" w:cs="Times New Roman"/>
          <w:sz w:val="24"/>
          <w:szCs w:val="24"/>
        </w:rPr>
        <w:t>well known</w:t>
      </w:r>
      <w:r w:rsidR="00F97E51">
        <w:rPr>
          <w:rFonts w:ascii="Times New Roman" w:hAnsi="Times New Roman" w:cs="Times New Roman"/>
          <w:sz w:val="24"/>
          <w:szCs w:val="24"/>
        </w:rPr>
        <w:t xml:space="preserve"> that the profitability of value</w:t>
      </w:r>
      <w:r w:rsidR="00EF42A3">
        <w:rPr>
          <w:rFonts w:ascii="Times New Roman" w:hAnsi="Times New Roman" w:cs="Times New Roman"/>
          <w:sz w:val="24"/>
          <w:szCs w:val="24"/>
        </w:rPr>
        <w:t>-like</w:t>
      </w:r>
      <w:r w:rsidR="00F97E51">
        <w:rPr>
          <w:rFonts w:ascii="Times New Roman" w:hAnsi="Times New Roman" w:cs="Times New Roman"/>
          <w:sz w:val="24"/>
          <w:szCs w:val="24"/>
        </w:rPr>
        <w:t xml:space="preserve"> strategies is coming primarily from small stocks. For </w:t>
      </w:r>
      <w:r w:rsidR="00653606">
        <w:rPr>
          <w:rFonts w:ascii="Times New Roman" w:hAnsi="Times New Roman" w:cs="Times New Roman"/>
          <w:sz w:val="24"/>
          <w:szCs w:val="24"/>
        </w:rPr>
        <w:t>instance</w:t>
      </w:r>
      <w:r w:rsidR="00F97E51">
        <w:rPr>
          <w:rFonts w:ascii="Times New Roman" w:hAnsi="Times New Roman" w:cs="Times New Roman"/>
          <w:sz w:val="24"/>
          <w:szCs w:val="24"/>
        </w:rPr>
        <w:t xml:space="preserve">, </w:t>
      </w:r>
      <w:hyperlink w:anchor="_ENREF_31" w:tooltip="Fama, 2021 #726"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AuthorYear="1"&gt;&lt;Author&gt;Fama&lt;/Author&gt;&lt;Year&gt;2021&lt;/Year&gt;&lt;RecNum&gt;726&lt;/RecNum&gt;&lt;DisplayText&gt;Fama and French (2021)&lt;/DisplayText&gt;&lt;record&gt;&lt;rec-number&gt;726&lt;/rec-number&gt;&lt;foreign-keys&gt;&lt;key app="EN" db-id="a00ppf5vbz2zw4efraqp9recxrvdwwtasszf" timestamp="1636055772"&gt;726&lt;/key&gt;&lt;/foreign-keys&gt;&lt;ref-type name="Journal Article"&gt;17&lt;/ref-type&gt;&lt;contributors&gt;&lt;authors&gt;&lt;author&gt;Fama, Eugene F.&lt;/author&gt;&lt;author&gt;French, Kenneth R.&lt;/author&gt;&lt;/authors&gt;&lt;/contributors&gt;&lt;titles&gt;&lt;title&gt;The Value Premium&lt;/title&gt;&lt;secondary-title&gt;Review of Asset Pricing Studies&lt;/secondary-title&gt;&lt;/titles&gt;&lt;periodical&gt;&lt;full-title&gt;Review of Asset Pricing Studies&lt;/full-title&gt;&lt;/periodical&gt;&lt;pages&gt;105–121&lt;/pages&gt;&lt;volume&gt;11&lt;/volume&gt;&lt;number&gt;1&lt;/number&gt;&lt;dates&gt;&lt;year&gt;2021&lt;/year&gt;&lt;/dates&gt;&lt;publisher&gt;Oxford University Press&lt;/publisher&gt;&lt;urls&gt;&lt;/urls&gt;&lt;/record&gt;&lt;/Cite&gt;&lt;/EndNote&gt;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Fama and French (2021)</w:t>
        </w:r>
        <w:r w:rsidR="00A4299A">
          <w:rPr>
            <w:rFonts w:ascii="Times New Roman" w:hAnsi="Times New Roman" w:cs="Times New Roman"/>
            <w:sz w:val="24"/>
            <w:szCs w:val="24"/>
          </w:rPr>
          <w:fldChar w:fldCharType="end"/>
        </w:r>
      </w:hyperlink>
      <w:r w:rsidR="00F97E51">
        <w:rPr>
          <w:rFonts w:ascii="Times New Roman" w:hAnsi="Times New Roman" w:cs="Times New Roman"/>
          <w:sz w:val="24"/>
          <w:szCs w:val="24"/>
        </w:rPr>
        <w:t xml:space="preserve"> sh</w:t>
      </w:r>
      <w:r w:rsidR="00B308B8">
        <w:rPr>
          <w:rFonts w:ascii="Times New Roman" w:hAnsi="Times New Roman" w:cs="Times New Roman"/>
          <w:sz w:val="24"/>
          <w:szCs w:val="24"/>
        </w:rPr>
        <w:t xml:space="preserve">ow that the value premium among large stocks over the last 30 years (1991–2019) is virtually zero. Similarly, using data from as far back as 1926, </w:t>
      </w:r>
      <w:hyperlink w:anchor="_ENREF_3" w:tooltip="Asness, 2015 #113"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AuthorYear="1"&gt;&lt;Author&gt;Asness&lt;/Author&gt;&lt;Year&gt;2015&lt;/Year&gt;&lt;RecNum&gt;113&lt;/RecNum&gt;&lt;DisplayText&gt;Asness, Frazzini, Israel, and Moskowitz (2015)&lt;/DisplayText&gt;&lt;record&gt;&lt;rec-number&gt;113&lt;/rec-number&gt;&lt;foreign-keys&gt;&lt;key app="EN" db-id="a00ppf5vbz2zw4efraqp9recxrvdwwtasszf" timestamp="1636055766"&gt;113&lt;/key&gt;&lt;/foreign-keys&gt;&lt;ref-type name="Journal Article"&gt;17&lt;/ref-type&gt;&lt;contributors&gt;&lt;authors&gt;&lt;author&gt;Asness, Clifford&lt;/author&gt;&lt;author&gt;Frazzini, Andrea&lt;/author&gt;&lt;author&gt;Israel, Ronen&lt;/author&gt;&lt;author&gt;Moskowitz, Tobias&lt;/author&gt;&lt;/authors&gt;&lt;/contributors&gt;&lt;titles&gt;&lt;title&gt;Fact, Fiction, and Value Investing&lt;/title&gt;&lt;secondary-title&gt;Journal of Portfolio Management&lt;/secondary-title&gt;&lt;/titles&gt;&lt;periodical&gt;&lt;full-title&gt;Journal of Portfolio Management&lt;/full-title&gt;&lt;/periodical&gt;&lt;pages&gt;34-52&lt;/pages&gt;&lt;volume&gt;42&lt;/volume&gt;&lt;number&gt;1&lt;/number&gt;&lt;keywords&gt;&lt;keyword&gt;VALUE investing (Finance)&lt;/keyword&gt;&lt;keyword&gt;INVESTMENTS&lt;/keyword&gt;&lt;keyword&gt;RESEARCH&lt;/keyword&gt;&lt;keyword&gt;INVESTMENT policy&lt;/keyword&gt;&lt;keyword&gt;MOMENTUM investing&lt;/keyword&gt;&lt;keyword&gt;PORTFOLIO management (Investments)&lt;/keyword&gt;&lt;/keywords&gt;&lt;dates&gt;&lt;year&gt;2015&lt;/year&gt;&lt;pub-dates&gt;&lt;date&gt;Fall2015&lt;/date&gt;&lt;/pub-dates&gt;&lt;/dates&gt;&lt;publisher&gt;Euromoney Institutional Investor PLC&lt;/publisher&gt;&lt;isbn&gt;00954918&lt;/isbn&gt;&lt;accession-num&gt;110711599&lt;/accession-num&gt;&lt;work-type&gt;Article&lt;/work-type&gt;&lt;urls&gt;&lt;related-urls&gt;&lt;url&gt;http://search.ebscohost.com/login.aspx?direct=true&amp;amp;db=buh&amp;amp;AN=110711599&amp;amp;site=ehost-live&lt;/url&gt;&lt;/related-urls&gt;&lt;/urls&gt;&lt;remote-database-name&gt;bu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Asness, Frazzini, Israel, and Moskowitz (2015)</w:t>
        </w:r>
        <w:r w:rsidR="00A4299A">
          <w:rPr>
            <w:rFonts w:ascii="Times New Roman" w:hAnsi="Times New Roman" w:cs="Times New Roman"/>
            <w:sz w:val="24"/>
            <w:szCs w:val="24"/>
          </w:rPr>
          <w:fldChar w:fldCharType="end"/>
        </w:r>
      </w:hyperlink>
      <w:r w:rsidR="00B308B8">
        <w:rPr>
          <w:rFonts w:ascii="Times New Roman" w:hAnsi="Times New Roman" w:cs="Times New Roman"/>
          <w:sz w:val="24"/>
          <w:szCs w:val="24"/>
        </w:rPr>
        <w:t xml:space="preserve"> show that the value premium among large stocks existed only during the 1963–1981 period.</w:t>
      </w:r>
      <w:r w:rsidR="00EF42A3">
        <w:rPr>
          <w:rFonts w:ascii="Times New Roman" w:hAnsi="Times New Roman" w:cs="Times New Roman"/>
          <w:sz w:val="24"/>
          <w:szCs w:val="24"/>
        </w:rPr>
        <w:t xml:space="preserve"> </w:t>
      </w:r>
      <w:r w:rsidR="00B308B8">
        <w:rPr>
          <w:rFonts w:ascii="Times New Roman" w:hAnsi="Times New Roman" w:cs="Times New Roman"/>
          <w:sz w:val="24"/>
          <w:szCs w:val="24"/>
        </w:rPr>
        <w:t>Both studies define small (large)</w:t>
      </w:r>
      <w:r w:rsidR="00EF42AB">
        <w:rPr>
          <w:rFonts w:ascii="Times New Roman" w:hAnsi="Times New Roman" w:cs="Times New Roman"/>
          <w:sz w:val="24"/>
          <w:szCs w:val="24"/>
        </w:rPr>
        <w:t xml:space="preserve"> firms</w:t>
      </w:r>
      <w:r w:rsidR="00B308B8">
        <w:rPr>
          <w:rFonts w:ascii="Times New Roman" w:hAnsi="Times New Roman" w:cs="Times New Roman"/>
          <w:sz w:val="24"/>
          <w:szCs w:val="24"/>
        </w:rPr>
        <w:t xml:space="preserve"> as firms whose market capitalizations are below (above) the 50</w:t>
      </w:r>
      <w:r w:rsidR="00B308B8" w:rsidRPr="00B308B8">
        <w:rPr>
          <w:rFonts w:ascii="Times New Roman" w:hAnsi="Times New Roman" w:cs="Times New Roman"/>
          <w:sz w:val="24"/>
          <w:szCs w:val="24"/>
          <w:vertAlign w:val="superscript"/>
        </w:rPr>
        <w:t>th</w:t>
      </w:r>
      <w:r w:rsidR="00B308B8">
        <w:rPr>
          <w:rFonts w:ascii="Times New Roman" w:hAnsi="Times New Roman" w:cs="Times New Roman"/>
          <w:sz w:val="24"/>
          <w:szCs w:val="24"/>
        </w:rPr>
        <w:t xml:space="preserve"> percentile of NYSE firms.</w:t>
      </w:r>
      <w:r w:rsidR="0029027D">
        <w:rPr>
          <w:rFonts w:ascii="Times New Roman" w:hAnsi="Times New Roman" w:cs="Times New Roman"/>
          <w:sz w:val="24"/>
          <w:szCs w:val="24"/>
        </w:rPr>
        <w:t xml:space="preserve"> O</w:t>
      </w:r>
      <w:r>
        <w:rPr>
          <w:rFonts w:ascii="Times New Roman" w:hAnsi="Times New Roman" w:cs="Times New Roman"/>
          <w:sz w:val="24"/>
          <w:szCs w:val="24"/>
        </w:rPr>
        <w:t>ur filter</w:t>
      </w:r>
      <w:r w:rsidR="00EF42A3">
        <w:rPr>
          <w:rFonts w:ascii="Times New Roman" w:hAnsi="Times New Roman" w:cs="Times New Roman"/>
          <w:sz w:val="24"/>
          <w:szCs w:val="24"/>
        </w:rPr>
        <w:t>,</w:t>
      </w:r>
      <w:r w:rsidR="00F24F92">
        <w:rPr>
          <w:rFonts w:ascii="Times New Roman" w:hAnsi="Times New Roman" w:cs="Times New Roman"/>
          <w:sz w:val="24"/>
          <w:szCs w:val="24"/>
        </w:rPr>
        <w:t xml:space="preserve"> which is</w:t>
      </w:r>
      <w:r>
        <w:rPr>
          <w:rFonts w:ascii="Times New Roman" w:hAnsi="Times New Roman" w:cs="Times New Roman"/>
          <w:sz w:val="24"/>
          <w:szCs w:val="24"/>
        </w:rPr>
        <w:t xml:space="preserve"> </w:t>
      </w:r>
      <w:r w:rsidR="00D735CD">
        <w:rPr>
          <w:rFonts w:ascii="Times New Roman" w:hAnsi="Times New Roman" w:cs="Times New Roman"/>
          <w:sz w:val="24"/>
          <w:szCs w:val="24"/>
        </w:rPr>
        <w:t>set at the 75</w:t>
      </w:r>
      <w:r w:rsidR="00D735CD" w:rsidRPr="00D735CD">
        <w:rPr>
          <w:rFonts w:ascii="Times New Roman" w:hAnsi="Times New Roman" w:cs="Times New Roman"/>
          <w:sz w:val="24"/>
          <w:szCs w:val="24"/>
          <w:vertAlign w:val="superscript"/>
        </w:rPr>
        <w:t>th</w:t>
      </w:r>
      <w:r w:rsidR="00D735CD">
        <w:rPr>
          <w:rFonts w:ascii="Times New Roman" w:hAnsi="Times New Roman" w:cs="Times New Roman"/>
          <w:sz w:val="24"/>
          <w:szCs w:val="24"/>
        </w:rPr>
        <w:t xml:space="preserve"> </w:t>
      </w:r>
      <w:r w:rsidR="00EF42A3">
        <w:rPr>
          <w:rFonts w:ascii="Times New Roman" w:hAnsi="Times New Roman" w:cs="Times New Roman"/>
          <w:sz w:val="24"/>
          <w:szCs w:val="24"/>
        </w:rPr>
        <w:t>percentile</w:t>
      </w:r>
      <w:r w:rsidR="00D735CD">
        <w:rPr>
          <w:rFonts w:ascii="Times New Roman" w:hAnsi="Times New Roman" w:cs="Times New Roman"/>
          <w:sz w:val="24"/>
          <w:szCs w:val="24"/>
        </w:rPr>
        <w:t>,</w:t>
      </w:r>
      <w:r w:rsidR="00EF42A3">
        <w:rPr>
          <w:rFonts w:ascii="Times New Roman" w:hAnsi="Times New Roman" w:cs="Times New Roman"/>
          <w:sz w:val="24"/>
          <w:szCs w:val="24"/>
        </w:rPr>
        <w:t xml:space="preserve"> </w:t>
      </w:r>
      <w:r w:rsidR="009C1A15">
        <w:rPr>
          <w:rFonts w:ascii="Times New Roman" w:hAnsi="Times New Roman" w:cs="Times New Roman"/>
          <w:sz w:val="24"/>
          <w:szCs w:val="24"/>
        </w:rPr>
        <w:t>is</w:t>
      </w:r>
      <w:r w:rsidR="00AD7286">
        <w:rPr>
          <w:rFonts w:ascii="Times New Roman" w:hAnsi="Times New Roman" w:cs="Times New Roman"/>
          <w:sz w:val="24"/>
          <w:szCs w:val="24"/>
        </w:rPr>
        <w:t xml:space="preserve"> </w:t>
      </w:r>
      <w:r w:rsidR="009C1A15">
        <w:rPr>
          <w:rFonts w:ascii="Times New Roman" w:hAnsi="Times New Roman" w:cs="Times New Roman"/>
          <w:sz w:val="24"/>
          <w:szCs w:val="24"/>
        </w:rPr>
        <w:t>less restrictive</w:t>
      </w:r>
      <w:r w:rsidR="00AD7286">
        <w:rPr>
          <w:rFonts w:ascii="Times New Roman" w:hAnsi="Times New Roman" w:cs="Times New Roman"/>
          <w:sz w:val="24"/>
          <w:szCs w:val="24"/>
        </w:rPr>
        <w:t>.</w:t>
      </w:r>
      <w:r w:rsidR="00D735CD">
        <w:rPr>
          <w:rFonts w:ascii="Times New Roman" w:hAnsi="Times New Roman" w:cs="Times New Roman"/>
          <w:sz w:val="24"/>
          <w:szCs w:val="24"/>
        </w:rPr>
        <w:t xml:space="preserve"> </w:t>
      </w:r>
    </w:p>
    <w:p w14:paraId="6F0463CC" w14:textId="0724FFFE" w:rsidR="001979A9" w:rsidRDefault="003A7CE7"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Second, the rise of superstar firms</w:t>
      </w:r>
      <w:r w:rsidR="00625503">
        <w:rPr>
          <w:rFonts w:ascii="Times New Roman" w:hAnsi="Times New Roman" w:cs="Times New Roman"/>
          <w:sz w:val="24"/>
          <w:szCs w:val="24"/>
        </w:rPr>
        <w:t xml:space="preserve"> over the last decade </w:t>
      </w:r>
      <w:r w:rsidR="00EF42AB">
        <w:rPr>
          <w:rFonts w:ascii="Times New Roman" w:hAnsi="Times New Roman" w:cs="Times New Roman"/>
          <w:sz w:val="24"/>
          <w:szCs w:val="24"/>
        </w:rPr>
        <w:t xml:space="preserve">(e.g., </w:t>
      </w:r>
      <w:hyperlink w:anchor="_ENREF_5" w:tooltip="Autor, 2020 #126"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AuthorYear="1"&gt;&lt;Author&gt;Autor&lt;/Author&gt;&lt;Year&gt;2020&lt;/Year&gt;&lt;RecNum&gt;126&lt;/RecNum&gt;&lt;DisplayText&gt;Autor, Dorn, Katz, Patterson, and Van Reenen (2020)&lt;/DisplayText&gt;&lt;record&gt;&lt;rec-number&gt;126&lt;/rec-number&gt;&lt;foreign-keys&gt;&lt;key app="EN" db-id="a00ppf5vbz2zw4efraqp9recxrvdwwtasszf" timestamp="1636055766"&gt;126&lt;/key&gt;&lt;/foreign-keys&gt;&lt;ref-type name="Journal Article"&gt;17&lt;/ref-type&gt;&lt;contributors&gt;&lt;authors&gt;&lt;author&gt;Autor, David&lt;/author&gt;&lt;author&gt;Dorn, David&lt;/author&gt;&lt;author&gt;Katz, Lawrence F.&lt;/author&gt;&lt;author&gt;Patterson, Christina&lt;/author&gt;&lt;author&gt;Van Reenen, John&lt;/author&gt;&lt;/authors&gt;&lt;/contributors&gt;&lt;titles&gt;&lt;title&gt;The Fall of the Labor Share and the Rise of Superstar Firms&lt;/title&gt;&lt;secondary-title&gt;The Quarterly Journal of Economics&lt;/secondary-title&gt;&lt;/titles&gt;&lt;periodical&gt;&lt;full-title&gt;The Quarterly Journal of Economics&lt;/full-title&gt;&lt;/periodical&gt;&lt;pages&gt;645-709&lt;/pages&gt;&lt;volume&gt;135&lt;/volume&gt;&lt;number&gt;2&lt;/number&gt;&lt;dates&gt;&lt;year&gt;2020&lt;/year&gt;&lt;/dates&gt;&lt;isbn&gt;0033-5533&lt;/isbn&gt;&lt;urls&gt;&lt;related-urls&gt;&lt;url&gt;https://doi.org/10.1093/qje/qjaa004&lt;/url&gt;&lt;/related-urls&gt;&lt;/urls&gt;&lt;electronic-resource-num&gt;10.1093/qje/qjaa004&lt;/electronic-resource-num&gt;&lt;access-date&gt;11/14/2020&lt;/access-date&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Autor, Dorn, Katz, Patterson, and Van Reenen (2020)</w:t>
        </w:r>
        <w:r w:rsidR="00A4299A">
          <w:rPr>
            <w:rFonts w:ascii="Times New Roman" w:hAnsi="Times New Roman" w:cs="Times New Roman"/>
            <w:sz w:val="24"/>
            <w:szCs w:val="24"/>
          </w:rPr>
          <w:fldChar w:fldCharType="end"/>
        </w:r>
      </w:hyperlink>
      <w:r w:rsidR="00EF42AB">
        <w:rPr>
          <w:rFonts w:ascii="Times New Roman" w:hAnsi="Times New Roman" w:cs="Times New Roman"/>
          <w:sz w:val="24"/>
          <w:szCs w:val="24"/>
        </w:rPr>
        <w:t xml:space="preserve">) </w:t>
      </w:r>
      <w:r w:rsidR="00625503">
        <w:rPr>
          <w:rFonts w:ascii="Times New Roman" w:hAnsi="Times New Roman" w:cs="Times New Roman"/>
          <w:sz w:val="24"/>
          <w:szCs w:val="24"/>
        </w:rPr>
        <w:t>poses a measurement challenge</w:t>
      </w:r>
      <w:r w:rsidR="0029027D">
        <w:rPr>
          <w:rFonts w:ascii="Times New Roman" w:hAnsi="Times New Roman" w:cs="Times New Roman"/>
          <w:sz w:val="24"/>
          <w:szCs w:val="24"/>
        </w:rPr>
        <w:t xml:space="preserve"> fo</w:t>
      </w:r>
      <w:r w:rsidR="00625503">
        <w:rPr>
          <w:rFonts w:ascii="Times New Roman" w:hAnsi="Times New Roman" w:cs="Times New Roman"/>
          <w:sz w:val="24"/>
          <w:szCs w:val="24"/>
        </w:rPr>
        <w:t>r asset pricing tests</w:t>
      </w:r>
      <w:r w:rsidR="009772F5">
        <w:rPr>
          <w:rFonts w:ascii="Times New Roman" w:hAnsi="Times New Roman" w:cs="Times New Roman"/>
          <w:sz w:val="24"/>
          <w:szCs w:val="24"/>
        </w:rPr>
        <w:t>:</w:t>
      </w:r>
      <w:r w:rsidR="00625503">
        <w:rPr>
          <w:rFonts w:ascii="Times New Roman" w:hAnsi="Times New Roman" w:cs="Times New Roman"/>
          <w:sz w:val="24"/>
          <w:szCs w:val="24"/>
        </w:rPr>
        <w:t xml:space="preserve"> firms</w:t>
      </w:r>
      <w:r>
        <w:rPr>
          <w:rFonts w:ascii="Times New Roman" w:hAnsi="Times New Roman" w:cs="Times New Roman"/>
          <w:sz w:val="24"/>
          <w:szCs w:val="24"/>
        </w:rPr>
        <w:t xml:space="preserve"> with market capitalizations in the</w:t>
      </w:r>
      <w:r w:rsidR="00625503">
        <w:rPr>
          <w:rFonts w:ascii="Times New Roman" w:hAnsi="Times New Roman" w:cs="Times New Roman"/>
          <w:sz w:val="24"/>
          <w:szCs w:val="24"/>
        </w:rPr>
        <w:t xml:space="preserve"> </w:t>
      </w:r>
      <w:r w:rsidR="0018677B">
        <w:rPr>
          <w:rFonts w:ascii="Times New Roman" w:hAnsi="Times New Roman" w:cs="Times New Roman"/>
          <w:sz w:val="24"/>
          <w:szCs w:val="24"/>
        </w:rPr>
        <w:t>trillions</w:t>
      </w:r>
      <w:r w:rsidR="00625503">
        <w:rPr>
          <w:rFonts w:ascii="Times New Roman" w:hAnsi="Times New Roman" w:cs="Times New Roman"/>
          <w:sz w:val="24"/>
          <w:szCs w:val="24"/>
        </w:rPr>
        <w:t xml:space="preserve"> of dollars </w:t>
      </w:r>
      <w:r w:rsidR="00FE4722">
        <w:rPr>
          <w:rFonts w:ascii="Times New Roman" w:hAnsi="Times New Roman" w:cs="Times New Roman"/>
          <w:sz w:val="24"/>
          <w:szCs w:val="24"/>
        </w:rPr>
        <w:t>generate excessive concentration in</w:t>
      </w:r>
      <w:r w:rsidR="0029027D">
        <w:rPr>
          <w:rFonts w:ascii="Times New Roman" w:hAnsi="Times New Roman" w:cs="Times New Roman"/>
          <w:sz w:val="24"/>
          <w:szCs w:val="24"/>
        </w:rPr>
        <w:t xml:space="preserve"> value-weighted portfolio</w:t>
      </w:r>
      <w:r w:rsidR="009C1A15">
        <w:rPr>
          <w:rFonts w:ascii="Times New Roman" w:hAnsi="Times New Roman" w:cs="Times New Roman"/>
          <w:sz w:val="24"/>
          <w:szCs w:val="24"/>
        </w:rPr>
        <w:t>s</w:t>
      </w:r>
      <w:r w:rsidR="0029027D">
        <w:rPr>
          <w:rFonts w:ascii="Times New Roman" w:hAnsi="Times New Roman" w:cs="Times New Roman"/>
          <w:sz w:val="24"/>
          <w:szCs w:val="24"/>
        </w:rPr>
        <w:t xml:space="preserve">. For instance, </w:t>
      </w:r>
      <w:r w:rsidR="004555DC">
        <w:rPr>
          <w:rFonts w:ascii="Times New Roman" w:hAnsi="Times New Roman" w:cs="Times New Roman"/>
          <w:sz w:val="24"/>
          <w:szCs w:val="24"/>
        </w:rPr>
        <w:t>in</w:t>
      </w:r>
      <w:r w:rsidR="00EF42AB">
        <w:rPr>
          <w:rFonts w:ascii="Times New Roman" w:hAnsi="Times New Roman" w:cs="Times New Roman"/>
          <w:sz w:val="24"/>
          <w:szCs w:val="24"/>
        </w:rPr>
        <w:t xml:space="preserve"> </w:t>
      </w:r>
      <w:r w:rsidR="00AD7286">
        <w:rPr>
          <w:rFonts w:ascii="Times New Roman" w:hAnsi="Times New Roman" w:cs="Times New Roman"/>
          <w:sz w:val="24"/>
          <w:szCs w:val="24"/>
        </w:rPr>
        <w:t>our double-sorted portfolio</w:t>
      </w:r>
      <w:r w:rsidR="00EF42AB">
        <w:rPr>
          <w:rFonts w:ascii="Times New Roman" w:hAnsi="Times New Roman" w:cs="Times New Roman"/>
          <w:sz w:val="24"/>
          <w:szCs w:val="24"/>
        </w:rPr>
        <w:t>s</w:t>
      </w:r>
      <w:r w:rsidR="0029027D">
        <w:rPr>
          <w:rFonts w:ascii="Times New Roman" w:hAnsi="Times New Roman" w:cs="Times New Roman"/>
          <w:sz w:val="24"/>
          <w:szCs w:val="24"/>
        </w:rPr>
        <w:t xml:space="preserve"> with </w:t>
      </w:r>
      <w:proofErr w:type="spellStart"/>
      <w:r w:rsidR="0029027D">
        <w:rPr>
          <w:rFonts w:ascii="Times New Roman" w:hAnsi="Times New Roman" w:cs="Times New Roman"/>
          <w:sz w:val="24"/>
          <w:szCs w:val="24"/>
        </w:rPr>
        <w:t>megacaps</w:t>
      </w:r>
      <w:proofErr w:type="spellEnd"/>
      <w:r w:rsidR="0029027D">
        <w:rPr>
          <w:rFonts w:ascii="Times New Roman" w:hAnsi="Times New Roman" w:cs="Times New Roman"/>
          <w:sz w:val="24"/>
          <w:szCs w:val="24"/>
        </w:rPr>
        <w:t xml:space="preserve"> included,</w:t>
      </w:r>
      <w:r w:rsidR="008D6AF5">
        <w:rPr>
          <w:rFonts w:ascii="Times New Roman" w:hAnsi="Times New Roman" w:cs="Times New Roman"/>
          <w:sz w:val="24"/>
          <w:szCs w:val="24"/>
        </w:rPr>
        <w:t xml:space="preserve"> the </w:t>
      </w:r>
      <w:r w:rsidR="00CF7AF2">
        <w:rPr>
          <w:rFonts w:ascii="Times New Roman" w:hAnsi="Times New Roman" w:cs="Times New Roman"/>
          <w:sz w:val="24"/>
          <w:szCs w:val="24"/>
        </w:rPr>
        <w:t>largest stock in a portfolio has a</w:t>
      </w:r>
      <w:r w:rsidR="00475F20">
        <w:rPr>
          <w:rFonts w:ascii="Times New Roman" w:hAnsi="Times New Roman" w:cs="Times New Roman"/>
          <w:sz w:val="24"/>
          <w:szCs w:val="24"/>
        </w:rPr>
        <w:t xml:space="preserve">n </w:t>
      </w:r>
      <w:r w:rsidR="00475F20" w:rsidRPr="00520172">
        <w:rPr>
          <w:rFonts w:ascii="Times New Roman" w:hAnsi="Times New Roman" w:cs="Times New Roman"/>
          <w:i/>
          <w:sz w:val="24"/>
          <w:szCs w:val="24"/>
        </w:rPr>
        <w:t>average</w:t>
      </w:r>
      <w:r w:rsidR="00CF7AF2">
        <w:rPr>
          <w:rFonts w:ascii="Times New Roman" w:hAnsi="Times New Roman" w:cs="Times New Roman"/>
          <w:sz w:val="24"/>
          <w:szCs w:val="24"/>
        </w:rPr>
        <w:t xml:space="preserve"> </w:t>
      </w:r>
      <w:r w:rsidR="00CF7AF2" w:rsidRPr="00AE5CD2">
        <w:rPr>
          <w:rFonts w:ascii="Times New Roman" w:hAnsi="Times New Roman" w:cs="Times New Roman"/>
          <w:sz w:val="24"/>
          <w:szCs w:val="24"/>
        </w:rPr>
        <w:t xml:space="preserve">weight of </w:t>
      </w:r>
      <w:r w:rsidR="00A352D9" w:rsidRPr="00AE5CD2">
        <w:rPr>
          <w:rFonts w:ascii="Times New Roman" w:hAnsi="Times New Roman" w:cs="Times New Roman"/>
          <w:sz w:val="24"/>
          <w:szCs w:val="24"/>
        </w:rPr>
        <w:t>1</w:t>
      </w:r>
      <w:r w:rsidR="00F60B39" w:rsidRPr="00AE5CD2">
        <w:rPr>
          <w:rFonts w:ascii="Times New Roman" w:hAnsi="Times New Roman" w:cs="Times New Roman"/>
          <w:sz w:val="24"/>
          <w:szCs w:val="24"/>
        </w:rPr>
        <w:t>5.6</w:t>
      </w:r>
      <w:r w:rsidR="00CF7AF2" w:rsidRPr="00AE5CD2">
        <w:rPr>
          <w:rFonts w:ascii="Times New Roman" w:hAnsi="Times New Roman" w:cs="Times New Roman"/>
          <w:sz w:val="24"/>
          <w:szCs w:val="24"/>
        </w:rPr>
        <w:t>%</w:t>
      </w:r>
      <w:r w:rsidR="004B01DF" w:rsidRPr="00AE5CD2">
        <w:rPr>
          <w:rFonts w:ascii="Times New Roman" w:hAnsi="Times New Roman" w:cs="Times New Roman"/>
          <w:sz w:val="24"/>
          <w:szCs w:val="24"/>
        </w:rPr>
        <w:t>,</w:t>
      </w:r>
      <w:r w:rsidR="00CF7AF2" w:rsidRPr="00AE5CD2">
        <w:rPr>
          <w:rFonts w:ascii="Times New Roman" w:hAnsi="Times New Roman" w:cs="Times New Roman"/>
          <w:sz w:val="24"/>
          <w:szCs w:val="24"/>
        </w:rPr>
        <w:t xml:space="preserve"> </w:t>
      </w:r>
      <w:r w:rsidR="00520172" w:rsidRPr="00AE5CD2">
        <w:rPr>
          <w:rFonts w:ascii="Times New Roman" w:hAnsi="Times New Roman" w:cs="Times New Roman"/>
          <w:sz w:val="24"/>
          <w:szCs w:val="24"/>
        </w:rPr>
        <w:t>and can be as high as</w:t>
      </w:r>
      <w:r w:rsidR="00EC11D3" w:rsidRPr="00AE5CD2">
        <w:rPr>
          <w:rFonts w:ascii="Times New Roman" w:hAnsi="Times New Roman" w:cs="Times New Roman"/>
          <w:sz w:val="24"/>
          <w:szCs w:val="24"/>
        </w:rPr>
        <w:t xml:space="preserve"> </w:t>
      </w:r>
      <w:r w:rsidR="00AE5CD2" w:rsidRPr="00AE5CD2">
        <w:rPr>
          <w:rFonts w:ascii="Times New Roman" w:hAnsi="Times New Roman" w:cs="Times New Roman"/>
          <w:sz w:val="24"/>
          <w:szCs w:val="24"/>
        </w:rPr>
        <w:t>84.1</w:t>
      </w:r>
      <w:r w:rsidR="00EC11D3" w:rsidRPr="00AE5CD2">
        <w:rPr>
          <w:rFonts w:ascii="Times New Roman" w:hAnsi="Times New Roman" w:cs="Times New Roman"/>
          <w:sz w:val="24"/>
          <w:szCs w:val="24"/>
        </w:rPr>
        <w:t>%.</w:t>
      </w:r>
      <w:r w:rsidR="00877027" w:rsidRPr="00AE5CD2">
        <w:rPr>
          <w:rFonts w:ascii="Times New Roman" w:hAnsi="Times New Roman" w:cs="Times New Roman"/>
          <w:sz w:val="24"/>
          <w:szCs w:val="24"/>
        </w:rPr>
        <w:t xml:space="preserve"> </w:t>
      </w:r>
      <w:r w:rsidR="00934F0B" w:rsidRPr="00AE5CD2">
        <w:rPr>
          <w:rFonts w:ascii="Times New Roman" w:hAnsi="Times New Roman" w:cs="Times New Roman"/>
          <w:sz w:val="24"/>
          <w:szCs w:val="24"/>
        </w:rPr>
        <w:t>Such</w:t>
      </w:r>
      <w:r w:rsidR="008D6AF5" w:rsidRPr="00AE5CD2">
        <w:rPr>
          <w:rFonts w:ascii="Times New Roman" w:hAnsi="Times New Roman" w:cs="Times New Roman"/>
          <w:sz w:val="24"/>
          <w:szCs w:val="24"/>
        </w:rPr>
        <w:t xml:space="preserve"> concentration</w:t>
      </w:r>
      <w:r w:rsidR="004555DC" w:rsidRPr="00AE5CD2">
        <w:rPr>
          <w:rFonts w:ascii="Times New Roman" w:hAnsi="Times New Roman" w:cs="Times New Roman"/>
          <w:sz w:val="24"/>
          <w:szCs w:val="24"/>
        </w:rPr>
        <w:t xml:space="preserve"> may</w:t>
      </w:r>
      <w:r w:rsidR="00B532F0" w:rsidRPr="00AE5CD2">
        <w:rPr>
          <w:rFonts w:ascii="Times New Roman" w:hAnsi="Times New Roman" w:cs="Times New Roman"/>
          <w:sz w:val="24"/>
          <w:szCs w:val="24"/>
        </w:rPr>
        <w:t xml:space="preserve"> r</w:t>
      </w:r>
      <w:r w:rsidR="00C84C9A" w:rsidRPr="00AE5CD2">
        <w:rPr>
          <w:rFonts w:ascii="Times New Roman" w:hAnsi="Times New Roman" w:cs="Times New Roman"/>
          <w:sz w:val="24"/>
          <w:szCs w:val="24"/>
        </w:rPr>
        <w:t>esult</w:t>
      </w:r>
      <w:r w:rsidR="00B532F0" w:rsidRPr="00AE5CD2">
        <w:rPr>
          <w:rFonts w:ascii="Times New Roman" w:hAnsi="Times New Roman" w:cs="Times New Roman"/>
          <w:sz w:val="24"/>
          <w:szCs w:val="24"/>
        </w:rPr>
        <w:t xml:space="preserve"> in</w:t>
      </w:r>
      <w:r w:rsidR="004555DC" w:rsidRPr="00AE5CD2">
        <w:rPr>
          <w:rFonts w:ascii="Times New Roman" w:hAnsi="Times New Roman" w:cs="Times New Roman"/>
          <w:sz w:val="24"/>
          <w:szCs w:val="24"/>
        </w:rPr>
        <w:t xml:space="preserve"> unrepresentative</w:t>
      </w:r>
      <w:r w:rsidR="00B532F0" w:rsidRPr="00AE5CD2">
        <w:rPr>
          <w:rFonts w:ascii="Times New Roman" w:hAnsi="Times New Roman" w:cs="Times New Roman"/>
          <w:sz w:val="24"/>
          <w:szCs w:val="24"/>
        </w:rPr>
        <w:t xml:space="preserve"> inferences</w:t>
      </w:r>
      <w:r w:rsidR="001F3B0B" w:rsidRPr="00AE5CD2">
        <w:rPr>
          <w:rFonts w:ascii="Times New Roman" w:hAnsi="Times New Roman" w:cs="Times New Roman"/>
          <w:sz w:val="24"/>
          <w:szCs w:val="24"/>
        </w:rPr>
        <w:t xml:space="preserve">. By eliminating </w:t>
      </w:r>
      <w:proofErr w:type="spellStart"/>
      <w:r w:rsidR="001F3B0B" w:rsidRPr="00AE5CD2">
        <w:rPr>
          <w:rFonts w:ascii="Times New Roman" w:hAnsi="Times New Roman" w:cs="Times New Roman"/>
          <w:sz w:val="24"/>
          <w:szCs w:val="24"/>
        </w:rPr>
        <w:t>megacaps</w:t>
      </w:r>
      <w:proofErr w:type="spellEnd"/>
      <w:r w:rsidR="001F3B0B" w:rsidRPr="00AE5CD2">
        <w:rPr>
          <w:rFonts w:ascii="Times New Roman" w:hAnsi="Times New Roman" w:cs="Times New Roman"/>
          <w:sz w:val="24"/>
          <w:szCs w:val="24"/>
        </w:rPr>
        <w:t>, we reduce</w:t>
      </w:r>
      <w:r w:rsidR="00475F20" w:rsidRPr="00AE5CD2">
        <w:rPr>
          <w:rFonts w:ascii="Times New Roman" w:hAnsi="Times New Roman" w:cs="Times New Roman"/>
          <w:sz w:val="24"/>
          <w:szCs w:val="24"/>
        </w:rPr>
        <w:t xml:space="preserve"> the </w:t>
      </w:r>
      <w:r w:rsidR="00CF7AF2" w:rsidRPr="00AE5CD2">
        <w:rPr>
          <w:rFonts w:ascii="Times New Roman" w:hAnsi="Times New Roman" w:cs="Times New Roman"/>
          <w:sz w:val="24"/>
          <w:szCs w:val="24"/>
        </w:rPr>
        <w:t>weight of the largest stock</w:t>
      </w:r>
      <w:r w:rsidR="00475F20" w:rsidRPr="00AE5CD2">
        <w:rPr>
          <w:rFonts w:ascii="Times New Roman" w:hAnsi="Times New Roman" w:cs="Times New Roman"/>
          <w:sz w:val="24"/>
          <w:szCs w:val="24"/>
        </w:rPr>
        <w:t xml:space="preserve"> per portfolio</w:t>
      </w:r>
      <w:r w:rsidR="00CF7AF2" w:rsidRPr="00AE5CD2">
        <w:rPr>
          <w:rFonts w:ascii="Times New Roman" w:hAnsi="Times New Roman" w:cs="Times New Roman"/>
          <w:sz w:val="24"/>
          <w:szCs w:val="24"/>
        </w:rPr>
        <w:t xml:space="preserve"> to </w:t>
      </w:r>
      <w:r w:rsidR="00B10640" w:rsidRPr="00AE5CD2">
        <w:rPr>
          <w:rFonts w:ascii="Times New Roman" w:hAnsi="Times New Roman" w:cs="Times New Roman"/>
          <w:sz w:val="24"/>
          <w:szCs w:val="24"/>
        </w:rPr>
        <w:t>6</w:t>
      </w:r>
      <w:r w:rsidR="00AB7AC2" w:rsidRPr="00AE5CD2">
        <w:rPr>
          <w:rFonts w:ascii="Times New Roman" w:hAnsi="Times New Roman" w:cs="Times New Roman"/>
          <w:sz w:val="24"/>
          <w:szCs w:val="24"/>
        </w:rPr>
        <w:t>.</w:t>
      </w:r>
      <w:r w:rsidR="00B10640" w:rsidRPr="00AE5CD2">
        <w:rPr>
          <w:rFonts w:ascii="Times New Roman" w:hAnsi="Times New Roman" w:cs="Times New Roman"/>
          <w:sz w:val="24"/>
          <w:szCs w:val="24"/>
        </w:rPr>
        <w:t>1</w:t>
      </w:r>
      <w:r w:rsidR="00CF7AF2" w:rsidRPr="00AE5CD2">
        <w:rPr>
          <w:rFonts w:ascii="Times New Roman" w:hAnsi="Times New Roman" w:cs="Times New Roman"/>
          <w:sz w:val="24"/>
          <w:szCs w:val="24"/>
        </w:rPr>
        <w:t>% on average</w:t>
      </w:r>
      <w:r w:rsidR="00494AFE" w:rsidRPr="00AE5CD2">
        <w:rPr>
          <w:rFonts w:ascii="Times New Roman" w:hAnsi="Times New Roman" w:cs="Times New Roman"/>
          <w:sz w:val="24"/>
          <w:szCs w:val="24"/>
        </w:rPr>
        <w:t>, and it</w:t>
      </w:r>
      <w:r w:rsidR="00475F20" w:rsidRPr="00AE5CD2">
        <w:rPr>
          <w:rFonts w:ascii="Times New Roman" w:hAnsi="Times New Roman" w:cs="Times New Roman"/>
          <w:sz w:val="24"/>
          <w:szCs w:val="24"/>
        </w:rPr>
        <w:t xml:space="preserve"> never exceeds </w:t>
      </w:r>
      <w:r w:rsidR="00474A96" w:rsidRPr="00AE5CD2">
        <w:rPr>
          <w:rFonts w:ascii="Times New Roman" w:hAnsi="Times New Roman" w:cs="Times New Roman"/>
          <w:sz w:val="24"/>
          <w:szCs w:val="24"/>
        </w:rPr>
        <w:t>44.5</w:t>
      </w:r>
      <w:r w:rsidR="00C84C9A" w:rsidRPr="00AE5CD2">
        <w:rPr>
          <w:rFonts w:ascii="Times New Roman" w:hAnsi="Times New Roman" w:cs="Times New Roman"/>
          <w:sz w:val="24"/>
          <w:szCs w:val="24"/>
        </w:rPr>
        <w:t>%</w:t>
      </w:r>
      <w:r w:rsidR="009C1A15" w:rsidRPr="00AE5CD2">
        <w:rPr>
          <w:rFonts w:ascii="Times New Roman" w:hAnsi="Times New Roman" w:cs="Times New Roman"/>
          <w:sz w:val="24"/>
          <w:szCs w:val="24"/>
        </w:rPr>
        <w:t>.</w:t>
      </w:r>
      <w:r w:rsidR="00835193" w:rsidRPr="00AE5CD2">
        <w:rPr>
          <w:rFonts w:ascii="Times New Roman" w:hAnsi="Times New Roman" w:cs="Times New Roman"/>
          <w:sz w:val="24"/>
          <w:szCs w:val="24"/>
        </w:rPr>
        <w:t xml:space="preserve"> An alternative solution is to use the full sample but cap the weights of the largest</w:t>
      </w:r>
      <w:r w:rsidR="00835193">
        <w:rPr>
          <w:rFonts w:ascii="Times New Roman" w:hAnsi="Times New Roman" w:cs="Times New Roman"/>
          <w:sz w:val="24"/>
          <w:szCs w:val="24"/>
        </w:rPr>
        <w:t xml:space="preserve"> stocks (see </w:t>
      </w:r>
      <w:hyperlink w:anchor="_ENREF_45" w:tooltip="Jensen, 2023 #1864"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AuthorYear="1"&gt;&lt;Author&gt;Jensen&lt;/Author&gt;&lt;Year&gt;2023&lt;/Year&gt;&lt;RecNum&gt;1864&lt;/RecNum&gt;&lt;DisplayText&gt;Jensen, Kelly, and Pedersen (2023)&lt;/DisplayText&gt;&lt;record&gt;&lt;rec-number&gt;1864&lt;/rec-number&gt;&lt;foreign-keys&gt;&lt;key app="EN" db-id="a00ppf5vbz2zw4efraqp9recxrvdwwtasszf" timestamp="1720883691"&gt;1864&lt;/key&gt;&lt;/foreign-keys&gt;&lt;ref-type name="Journal Article"&gt;17&lt;/ref-type&gt;&lt;contributors&gt;&lt;authors&gt;&lt;author&gt;Jensen, Theis Ingerslev&lt;/author&gt;&lt;author&gt;Kelly, Bryan&lt;/author&gt;&lt;author&gt;Pedersen, Lasse Heje&lt;/author&gt;&lt;/authors&gt;&lt;/contributors&gt;&lt;titles&gt;&lt;title&gt;Is There a Replication Crisis in Finance?&lt;/title&gt;&lt;secondary-title&gt;The Journal of Finance&lt;/secondary-title&gt;&lt;/titles&gt;&lt;periodical&gt;&lt;full-title&gt;The Journal of Finance&lt;/full-title&gt;&lt;/periodical&gt;&lt;pages&gt;2465-2518&lt;/pages&gt;&lt;volume&gt;78&lt;/volume&gt;&lt;number&gt;5&lt;/number&gt;&lt;dates&gt;&lt;year&gt;2023&lt;/year&gt;&lt;/dates&gt;&lt;isbn&gt;0022-1082&lt;/isbn&gt;&lt;urls&gt;&lt;related-urls&gt;&lt;url&gt;https://onlinelibrary.wiley.com/doi/abs/10.1111/jofi.13249&lt;/url&gt;&lt;/related-urls&gt;&lt;/urls&gt;&lt;electronic-resource-num&gt;https://doi.org/10.1111/jofi.13249&lt;/electronic-resource-num&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Jensen, Kelly, and Pedersen (2023)</w:t>
        </w:r>
        <w:r w:rsidR="00A4299A">
          <w:rPr>
            <w:rFonts w:ascii="Times New Roman" w:hAnsi="Times New Roman" w:cs="Times New Roman"/>
            <w:sz w:val="24"/>
            <w:szCs w:val="24"/>
          </w:rPr>
          <w:fldChar w:fldCharType="end"/>
        </w:r>
      </w:hyperlink>
      <w:r w:rsidR="00835193">
        <w:rPr>
          <w:rFonts w:ascii="Times New Roman" w:hAnsi="Times New Roman" w:cs="Times New Roman"/>
          <w:sz w:val="24"/>
          <w:szCs w:val="24"/>
        </w:rPr>
        <w:t xml:space="preserve">). </w:t>
      </w:r>
      <w:r w:rsidR="009772F5">
        <w:rPr>
          <w:rFonts w:ascii="Times New Roman" w:hAnsi="Times New Roman" w:cs="Times New Roman"/>
          <w:sz w:val="24"/>
          <w:szCs w:val="24"/>
        </w:rPr>
        <w:t>O</w:t>
      </w:r>
      <w:r w:rsidR="00835193">
        <w:rPr>
          <w:rFonts w:ascii="Times New Roman" w:hAnsi="Times New Roman" w:cs="Times New Roman"/>
          <w:sz w:val="24"/>
          <w:szCs w:val="24"/>
        </w:rPr>
        <w:t xml:space="preserve">ur results are robust to using the full universe and capping the weights in </w:t>
      </w:r>
      <w:r w:rsidR="006773FA">
        <w:rPr>
          <w:rFonts w:ascii="Times New Roman" w:hAnsi="Times New Roman" w:cs="Times New Roman"/>
          <w:sz w:val="24"/>
          <w:szCs w:val="24"/>
        </w:rPr>
        <w:t xml:space="preserve">value-weighted </w:t>
      </w:r>
      <w:r w:rsidR="00835193">
        <w:rPr>
          <w:rFonts w:ascii="Times New Roman" w:hAnsi="Times New Roman" w:cs="Times New Roman"/>
          <w:sz w:val="24"/>
          <w:szCs w:val="24"/>
        </w:rPr>
        <w:t>portfolios at a conservatively chosen 85</w:t>
      </w:r>
      <w:r w:rsidR="00835193" w:rsidRPr="00835193">
        <w:rPr>
          <w:rFonts w:ascii="Times New Roman" w:hAnsi="Times New Roman" w:cs="Times New Roman"/>
          <w:sz w:val="24"/>
          <w:szCs w:val="24"/>
          <w:vertAlign w:val="superscript"/>
        </w:rPr>
        <w:t>th</w:t>
      </w:r>
      <w:r w:rsidR="00835193">
        <w:rPr>
          <w:rFonts w:ascii="Times New Roman" w:hAnsi="Times New Roman" w:cs="Times New Roman"/>
          <w:sz w:val="24"/>
          <w:szCs w:val="24"/>
        </w:rPr>
        <w:t xml:space="preserve"> percentile of market capitalization in our sample.</w:t>
      </w:r>
    </w:p>
    <w:p w14:paraId="5BFDB4CE" w14:textId="3466E33F" w:rsidR="00B82D9A" w:rsidRPr="00A5212F" w:rsidRDefault="00B82D9A" w:rsidP="002419BD">
      <w:pPr>
        <w:spacing w:before="120" w:after="0" w:line="480" w:lineRule="auto"/>
        <w:jc w:val="both"/>
        <w:rPr>
          <w:rFonts w:ascii="Times New Roman" w:hAnsi="Times New Roman" w:cs="Times New Roman"/>
          <w:b/>
          <w:bCs/>
          <w:iCs/>
          <w:sz w:val="24"/>
          <w:szCs w:val="24"/>
        </w:rPr>
      </w:pPr>
      <w:r w:rsidRPr="00A5212F">
        <w:rPr>
          <w:rFonts w:ascii="Times New Roman" w:hAnsi="Times New Roman" w:cs="Times New Roman"/>
          <w:b/>
          <w:bCs/>
          <w:iCs/>
          <w:sz w:val="24"/>
          <w:szCs w:val="24"/>
        </w:rPr>
        <w:t>Double-</w:t>
      </w:r>
      <w:r w:rsidR="00A5212F">
        <w:rPr>
          <w:rFonts w:ascii="Times New Roman" w:hAnsi="Times New Roman" w:cs="Times New Roman"/>
          <w:b/>
          <w:bCs/>
          <w:iCs/>
          <w:sz w:val="24"/>
          <w:szCs w:val="24"/>
        </w:rPr>
        <w:t>S</w:t>
      </w:r>
      <w:r w:rsidRPr="00A5212F">
        <w:rPr>
          <w:rFonts w:ascii="Times New Roman" w:hAnsi="Times New Roman" w:cs="Times New Roman"/>
          <w:b/>
          <w:bCs/>
          <w:iCs/>
          <w:sz w:val="24"/>
          <w:szCs w:val="24"/>
        </w:rPr>
        <w:t xml:space="preserve">orting on </w:t>
      </w:r>
      <w:r w:rsidR="00A5212F">
        <w:rPr>
          <w:rFonts w:ascii="Times New Roman" w:hAnsi="Times New Roman" w:cs="Times New Roman"/>
          <w:b/>
          <w:bCs/>
          <w:iCs/>
          <w:sz w:val="24"/>
          <w:szCs w:val="24"/>
        </w:rPr>
        <w:t>V</w:t>
      </w:r>
      <w:r w:rsidRPr="00A5212F">
        <w:rPr>
          <w:rFonts w:ascii="Times New Roman" w:hAnsi="Times New Roman" w:cs="Times New Roman"/>
          <w:b/>
          <w:bCs/>
          <w:iCs/>
          <w:sz w:val="24"/>
          <w:szCs w:val="24"/>
        </w:rPr>
        <w:t xml:space="preserve">aluation </w:t>
      </w:r>
      <w:r w:rsidR="00A5212F">
        <w:rPr>
          <w:rFonts w:ascii="Times New Roman" w:hAnsi="Times New Roman" w:cs="Times New Roman"/>
          <w:b/>
          <w:bCs/>
          <w:iCs/>
          <w:sz w:val="24"/>
          <w:szCs w:val="24"/>
        </w:rPr>
        <w:t>U</w:t>
      </w:r>
      <w:r w:rsidRPr="00A5212F">
        <w:rPr>
          <w:rFonts w:ascii="Times New Roman" w:hAnsi="Times New Roman" w:cs="Times New Roman"/>
          <w:b/>
          <w:bCs/>
          <w:iCs/>
          <w:sz w:val="24"/>
          <w:szCs w:val="24"/>
        </w:rPr>
        <w:t xml:space="preserve">ncertainty and </w:t>
      </w:r>
      <w:r w:rsidR="00A5212F">
        <w:rPr>
          <w:rFonts w:ascii="Times New Roman" w:hAnsi="Times New Roman" w:cs="Times New Roman"/>
          <w:b/>
          <w:bCs/>
          <w:iCs/>
          <w:sz w:val="24"/>
          <w:szCs w:val="24"/>
        </w:rPr>
        <w:t>Price-to-Value</w:t>
      </w:r>
    </w:p>
    <w:p w14:paraId="2F0E2571" w14:textId="7C435DF1" w:rsidR="009A3E88" w:rsidRDefault="003D20DC"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w:t>
      </w:r>
      <w:r w:rsidR="00AA1C5C">
        <w:rPr>
          <w:rFonts w:ascii="Times New Roman" w:hAnsi="Times New Roman" w:cs="Times New Roman"/>
          <w:sz w:val="24"/>
          <w:szCs w:val="24"/>
        </w:rPr>
        <w:t>e now turn to testing</w:t>
      </w:r>
      <w:r>
        <w:rPr>
          <w:rFonts w:ascii="Times New Roman" w:hAnsi="Times New Roman" w:cs="Times New Roman"/>
          <w:sz w:val="24"/>
          <w:szCs w:val="24"/>
        </w:rPr>
        <w:t xml:space="preserve"> </w:t>
      </w:r>
      <w:r w:rsidR="0070643F" w:rsidRPr="003D20DC">
        <w:rPr>
          <w:rFonts w:ascii="Times New Roman" w:hAnsi="Times New Roman" w:cs="Times New Roman"/>
          <w:i/>
          <w:sz w:val="24"/>
          <w:szCs w:val="24"/>
        </w:rPr>
        <w:t>H</w:t>
      </w:r>
      <w:r w:rsidR="0070643F">
        <w:rPr>
          <w:rFonts w:ascii="Times New Roman" w:hAnsi="Times New Roman" w:cs="Times New Roman"/>
          <w:i/>
          <w:sz w:val="24"/>
          <w:szCs w:val="24"/>
        </w:rPr>
        <w:t>1</w:t>
      </w:r>
      <w:r w:rsidR="00AA1C5C">
        <w:rPr>
          <w:rFonts w:ascii="Times New Roman" w:hAnsi="Times New Roman" w:cs="Times New Roman"/>
          <w:sz w:val="24"/>
          <w:szCs w:val="24"/>
        </w:rPr>
        <w:t xml:space="preserve">, which predicts that the long-short strategy exploiting presumed valuation mistakes </w:t>
      </w:r>
      <w:r w:rsidR="00745EDD">
        <w:rPr>
          <w:rFonts w:ascii="Times New Roman" w:hAnsi="Times New Roman" w:cs="Times New Roman"/>
          <w:sz w:val="24"/>
          <w:szCs w:val="24"/>
        </w:rPr>
        <w:t>captured by</w:t>
      </w:r>
      <w:r w:rsidR="00AA1C5C">
        <w:rPr>
          <w:rFonts w:ascii="Times New Roman" w:hAnsi="Times New Roman" w:cs="Times New Roman"/>
          <w:sz w:val="24"/>
          <w:szCs w:val="24"/>
        </w:rPr>
        <w:t xml:space="preserve"> price-to-value should be particularly profitable among high valuation uncertainty stocks. To that end, we form 4 x 4 portfolios sorted on </w:t>
      </w:r>
      <w:r w:rsidR="00467E70" w:rsidRPr="007316D0">
        <w:rPr>
          <w:rFonts w:ascii="Times New Roman" w:hAnsi="Times New Roman" w:cs="Times New Roman"/>
          <w:i/>
          <w:iCs/>
          <w:sz w:val="24"/>
          <w:szCs w:val="24"/>
        </w:rPr>
        <w:t>VU</w:t>
      </w:r>
      <w:r w:rsidR="00AA1C5C">
        <w:rPr>
          <w:rFonts w:ascii="Times New Roman" w:hAnsi="Times New Roman" w:cs="Times New Roman"/>
          <w:sz w:val="24"/>
          <w:szCs w:val="24"/>
        </w:rPr>
        <w:t xml:space="preserve"> and price-to-value.</w:t>
      </w:r>
      <w:r w:rsidR="00286F28">
        <w:rPr>
          <w:rStyle w:val="FootnoteReference"/>
          <w:rFonts w:ascii="Times New Roman" w:hAnsi="Times New Roman" w:cs="Times New Roman"/>
          <w:sz w:val="24"/>
          <w:szCs w:val="24"/>
        </w:rPr>
        <w:footnoteReference w:id="27"/>
      </w:r>
      <w:r w:rsidR="00AA1C5C">
        <w:rPr>
          <w:rFonts w:ascii="Times New Roman" w:hAnsi="Times New Roman" w:cs="Times New Roman"/>
          <w:sz w:val="24"/>
          <w:szCs w:val="24"/>
        </w:rPr>
        <w:t xml:space="preserve"> We use conditional sorts, whereby we first sort stocks into four quartiles based on </w:t>
      </w:r>
      <w:r w:rsidR="00467E70" w:rsidRPr="00C84568">
        <w:rPr>
          <w:rFonts w:ascii="Times New Roman" w:hAnsi="Times New Roman" w:cs="Times New Roman"/>
          <w:i/>
          <w:iCs/>
          <w:sz w:val="24"/>
          <w:szCs w:val="24"/>
        </w:rPr>
        <w:t>VU</w:t>
      </w:r>
      <w:r w:rsidR="00AA1C5C">
        <w:rPr>
          <w:rFonts w:ascii="Times New Roman" w:hAnsi="Times New Roman" w:cs="Times New Roman"/>
          <w:sz w:val="24"/>
          <w:szCs w:val="24"/>
        </w:rPr>
        <w:t xml:space="preserve"> and then further sort on price-to-value within each </w:t>
      </w:r>
      <w:r w:rsidR="00467E70" w:rsidRPr="00C84568">
        <w:rPr>
          <w:rFonts w:ascii="Times New Roman" w:hAnsi="Times New Roman" w:cs="Times New Roman"/>
          <w:i/>
          <w:iCs/>
          <w:sz w:val="24"/>
          <w:szCs w:val="24"/>
        </w:rPr>
        <w:t>VU</w:t>
      </w:r>
      <w:r w:rsidR="00AA1C5C">
        <w:rPr>
          <w:rFonts w:ascii="Times New Roman" w:hAnsi="Times New Roman" w:cs="Times New Roman"/>
          <w:sz w:val="24"/>
          <w:szCs w:val="24"/>
        </w:rPr>
        <w:t xml:space="preserve"> quartile</w:t>
      </w:r>
      <w:r w:rsidR="007316D0">
        <w:rPr>
          <w:rFonts w:ascii="Times New Roman" w:hAnsi="Times New Roman" w:cs="Times New Roman"/>
          <w:sz w:val="24"/>
          <w:szCs w:val="24"/>
        </w:rPr>
        <w:t>. T</w:t>
      </w:r>
      <w:r w:rsidR="00FD409C">
        <w:rPr>
          <w:rFonts w:ascii="Times New Roman" w:hAnsi="Times New Roman" w:cs="Times New Roman"/>
          <w:sz w:val="24"/>
          <w:szCs w:val="24"/>
        </w:rPr>
        <w:t>his</w:t>
      </w:r>
      <w:r w:rsidR="004705F0">
        <w:rPr>
          <w:rFonts w:ascii="Times New Roman" w:hAnsi="Times New Roman" w:cs="Times New Roman"/>
          <w:sz w:val="24"/>
          <w:szCs w:val="24"/>
        </w:rPr>
        <w:t xml:space="preserve"> ensure</w:t>
      </w:r>
      <w:r w:rsidR="00FD409C">
        <w:rPr>
          <w:rFonts w:ascii="Times New Roman" w:hAnsi="Times New Roman" w:cs="Times New Roman"/>
          <w:sz w:val="24"/>
          <w:szCs w:val="24"/>
        </w:rPr>
        <w:t>s</w:t>
      </w:r>
      <w:r w:rsidR="004705F0">
        <w:rPr>
          <w:rFonts w:ascii="Times New Roman" w:hAnsi="Times New Roman" w:cs="Times New Roman"/>
          <w:sz w:val="24"/>
          <w:szCs w:val="24"/>
        </w:rPr>
        <w:t xml:space="preserve"> that our</w:t>
      </w:r>
      <w:r w:rsidR="00BC47F6">
        <w:rPr>
          <w:rFonts w:ascii="Times New Roman" w:hAnsi="Times New Roman" w:cs="Times New Roman"/>
          <w:sz w:val="24"/>
          <w:szCs w:val="24"/>
        </w:rPr>
        <w:t xml:space="preserve"> 4 x 4 portfolio</w:t>
      </w:r>
      <w:r w:rsidR="00A87C80">
        <w:rPr>
          <w:rFonts w:ascii="Times New Roman" w:hAnsi="Times New Roman" w:cs="Times New Roman"/>
          <w:sz w:val="24"/>
          <w:szCs w:val="24"/>
        </w:rPr>
        <w:t>s are</w:t>
      </w:r>
      <w:r w:rsidR="00BC47F6">
        <w:rPr>
          <w:rFonts w:ascii="Times New Roman" w:hAnsi="Times New Roman" w:cs="Times New Roman"/>
          <w:sz w:val="24"/>
          <w:szCs w:val="24"/>
        </w:rPr>
        <w:t xml:space="preserve"> well-populated.</w:t>
      </w:r>
      <w:r w:rsidR="00BC47F6">
        <w:rPr>
          <w:rStyle w:val="FootnoteReference"/>
          <w:rFonts w:ascii="Times New Roman" w:hAnsi="Times New Roman" w:cs="Times New Roman"/>
          <w:sz w:val="24"/>
          <w:szCs w:val="24"/>
        </w:rPr>
        <w:footnoteReference w:id="28"/>
      </w:r>
      <w:r w:rsidR="00FB5C43">
        <w:rPr>
          <w:rFonts w:ascii="Times New Roman" w:hAnsi="Times New Roman" w:cs="Times New Roman"/>
          <w:sz w:val="24"/>
          <w:szCs w:val="24"/>
        </w:rPr>
        <w:t xml:space="preserve"> The sorts are performed </w:t>
      </w:r>
      <w:r w:rsidR="00E90713">
        <w:rPr>
          <w:rFonts w:ascii="Times New Roman" w:hAnsi="Times New Roman" w:cs="Times New Roman"/>
          <w:sz w:val="24"/>
          <w:szCs w:val="24"/>
        </w:rPr>
        <w:t xml:space="preserve">on </w:t>
      </w:r>
      <w:r w:rsidR="00FB5C43">
        <w:rPr>
          <w:rFonts w:ascii="Times New Roman" w:hAnsi="Times New Roman" w:cs="Times New Roman"/>
          <w:sz w:val="24"/>
          <w:szCs w:val="24"/>
        </w:rPr>
        <w:t>June 30</w:t>
      </w:r>
      <w:r w:rsidR="00E90713">
        <w:rPr>
          <w:rFonts w:ascii="Times New Roman" w:hAnsi="Times New Roman" w:cs="Times New Roman"/>
          <w:sz w:val="24"/>
          <w:szCs w:val="24"/>
        </w:rPr>
        <w:t xml:space="preserve"> of every year</w:t>
      </w:r>
      <w:r w:rsidR="00FB5C43">
        <w:rPr>
          <w:rFonts w:ascii="Times New Roman" w:hAnsi="Times New Roman" w:cs="Times New Roman"/>
          <w:sz w:val="24"/>
          <w:szCs w:val="24"/>
        </w:rPr>
        <w:t xml:space="preserve">, in line with our estimation of the valuation model. Table </w:t>
      </w:r>
      <w:r w:rsidR="002017C3">
        <w:rPr>
          <w:rFonts w:ascii="Times New Roman" w:hAnsi="Times New Roman" w:cs="Times New Roman"/>
          <w:sz w:val="24"/>
          <w:szCs w:val="24"/>
        </w:rPr>
        <w:t>6</w:t>
      </w:r>
      <w:r w:rsidR="00B12AED">
        <w:rPr>
          <w:rFonts w:ascii="Times New Roman" w:hAnsi="Times New Roman" w:cs="Times New Roman"/>
          <w:sz w:val="24"/>
          <w:szCs w:val="24"/>
        </w:rPr>
        <w:t xml:space="preserve"> </w:t>
      </w:r>
      <w:r w:rsidR="00FB5C43">
        <w:rPr>
          <w:rFonts w:ascii="Times New Roman" w:hAnsi="Times New Roman" w:cs="Times New Roman"/>
          <w:sz w:val="24"/>
          <w:szCs w:val="24"/>
        </w:rPr>
        <w:t>presents average portfolio returns over the subsequent 12 months.</w:t>
      </w:r>
    </w:p>
    <w:p w14:paraId="4CBF3B63" w14:textId="582E87EF" w:rsidR="00366FE6" w:rsidRDefault="009A3E88" w:rsidP="00ED0E6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It is worth commenting on </w:t>
      </w:r>
      <w:r w:rsidR="00B83E36">
        <w:rPr>
          <w:rFonts w:ascii="Times New Roman" w:hAnsi="Times New Roman" w:cs="Times New Roman"/>
          <w:sz w:val="24"/>
          <w:szCs w:val="24"/>
        </w:rPr>
        <w:t xml:space="preserve">our portfolio return calculation, </w:t>
      </w:r>
      <w:r w:rsidR="00366FE6">
        <w:rPr>
          <w:rFonts w:ascii="Times New Roman" w:hAnsi="Times New Roman" w:cs="Times New Roman"/>
          <w:sz w:val="24"/>
          <w:szCs w:val="24"/>
        </w:rPr>
        <w:t>in l</w:t>
      </w:r>
      <w:r w:rsidR="00756121">
        <w:rPr>
          <w:rFonts w:ascii="Times New Roman" w:hAnsi="Times New Roman" w:cs="Times New Roman"/>
          <w:sz w:val="24"/>
          <w:szCs w:val="24"/>
        </w:rPr>
        <w:t>ight of our specific hypothesis.</w:t>
      </w:r>
      <w:r w:rsidR="00366FE6">
        <w:rPr>
          <w:rFonts w:ascii="Times New Roman" w:hAnsi="Times New Roman" w:cs="Times New Roman"/>
          <w:sz w:val="24"/>
          <w:szCs w:val="24"/>
        </w:rPr>
        <w:t xml:space="preserve"> If the re</w:t>
      </w:r>
      <w:r w:rsidR="004705F0">
        <w:rPr>
          <w:rFonts w:ascii="Times New Roman" w:hAnsi="Times New Roman" w:cs="Times New Roman"/>
          <w:sz w:val="24"/>
          <w:szCs w:val="24"/>
        </w:rPr>
        <w:t>turns to our long-short strategies</w:t>
      </w:r>
      <w:r w:rsidR="00366FE6">
        <w:rPr>
          <w:rFonts w:ascii="Times New Roman" w:hAnsi="Times New Roman" w:cs="Times New Roman"/>
          <w:sz w:val="24"/>
          <w:szCs w:val="24"/>
        </w:rPr>
        <w:t xml:space="preserve"> capture the unwinding of valuation mistakes, then value</w:t>
      </w:r>
      <w:r w:rsidR="006257C7">
        <w:rPr>
          <w:rFonts w:ascii="Times New Roman" w:hAnsi="Times New Roman" w:cs="Times New Roman"/>
          <w:sz w:val="24"/>
          <w:szCs w:val="24"/>
        </w:rPr>
        <w:t>-</w:t>
      </w:r>
      <w:r w:rsidR="006257C7">
        <w:rPr>
          <w:rFonts w:ascii="Times New Roman" w:hAnsi="Times New Roman" w:cs="Times New Roman"/>
          <w:sz w:val="24"/>
          <w:szCs w:val="24"/>
        </w:rPr>
        <w:lastRenderedPageBreak/>
        <w:t>weighted portfolio returns</w:t>
      </w:r>
      <w:r w:rsidR="00366FE6">
        <w:rPr>
          <w:rFonts w:ascii="Times New Roman" w:hAnsi="Times New Roman" w:cs="Times New Roman"/>
          <w:sz w:val="24"/>
          <w:szCs w:val="24"/>
        </w:rPr>
        <w:t xml:space="preserve"> tell us whether (and by how much) the </w:t>
      </w:r>
      <w:r w:rsidR="00366FE6" w:rsidRPr="006257C7">
        <w:rPr>
          <w:rFonts w:ascii="Times New Roman" w:hAnsi="Times New Roman" w:cs="Times New Roman"/>
          <w:i/>
          <w:sz w:val="24"/>
          <w:szCs w:val="24"/>
        </w:rPr>
        <w:t>average dollar</w:t>
      </w:r>
      <w:r w:rsidR="00366FE6">
        <w:rPr>
          <w:rFonts w:ascii="Times New Roman" w:hAnsi="Times New Roman" w:cs="Times New Roman"/>
          <w:sz w:val="24"/>
          <w:szCs w:val="24"/>
        </w:rPr>
        <w:t xml:space="preserve"> investe</w:t>
      </w:r>
      <w:r w:rsidR="006257C7">
        <w:rPr>
          <w:rFonts w:ascii="Times New Roman" w:hAnsi="Times New Roman" w:cs="Times New Roman"/>
          <w:sz w:val="24"/>
          <w:szCs w:val="24"/>
        </w:rPr>
        <w:t>d in the portfolio is mispriced. In contrast,</w:t>
      </w:r>
      <w:r w:rsidR="00366FE6">
        <w:rPr>
          <w:rFonts w:ascii="Times New Roman" w:hAnsi="Times New Roman" w:cs="Times New Roman"/>
          <w:sz w:val="24"/>
          <w:szCs w:val="24"/>
        </w:rPr>
        <w:t xml:space="preserve"> equal-weighted portfolio returns cap</w:t>
      </w:r>
      <w:r w:rsidR="001067A4">
        <w:rPr>
          <w:rFonts w:ascii="Times New Roman" w:hAnsi="Times New Roman" w:cs="Times New Roman"/>
          <w:sz w:val="24"/>
          <w:szCs w:val="24"/>
        </w:rPr>
        <w:t xml:space="preserve">ture </w:t>
      </w:r>
      <w:r w:rsidR="004705F0">
        <w:rPr>
          <w:rFonts w:ascii="Times New Roman" w:hAnsi="Times New Roman" w:cs="Times New Roman"/>
          <w:sz w:val="24"/>
          <w:szCs w:val="24"/>
        </w:rPr>
        <w:t>valuation mistakes</w:t>
      </w:r>
      <w:r w:rsidR="00366FE6">
        <w:rPr>
          <w:rFonts w:ascii="Times New Roman" w:hAnsi="Times New Roman" w:cs="Times New Roman"/>
          <w:sz w:val="24"/>
          <w:szCs w:val="24"/>
        </w:rPr>
        <w:t xml:space="preserve"> experienced by an </w:t>
      </w:r>
      <w:r w:rsidR="00366FE6" w:rsidRPr="006257C7">
        <w:rPr>
          <w:rFonts w:ascii="Times New Roman" w:hAnsi="Times New Roman" w:cs="Times New Roman"/>
          <w:i/>
          <w:sz w:val="24"/>
          <w:szCs w:val="24"/>
        </w:rPr>
        <w:t>average firm</w:t>
      </w:r>
      <w:r w:rsidR="00366FE6">
        <w:rPr>
          <w:rFonts w:ascii="Times New Roman" w:hAnsi="Times New Roman" w:cs="Times New Roman"/>
          <w:sz w:val="24"/>
          <w:szCs w:val="24"/>
        </w:rPr>
        <w:t xml:space="preserve">. </w:t>
      </w:r>
      <w:r w:rsidR="001067A4">
        <w:rPr>
          <w:rFonts w:ascii="Times New Roman" w:hAnsi="Times New Roman" w:cs="Times New Roman"/>
          <w:sz w:val="24"/>
          <w:szCs w:val="24"/>
        </w:rPr>
        <w:t>Conceptually</w:t>
      </w:r>
      <w:r w:rsidR="00366FE6">
        <w:rPr>
          <w:rFonts w:ascii="Times New Roman" w:hAnsi="Times New Roman" w:cs="Times New Roman"/>
          <w:sz w:val="24"/>
          <w:szCs w:val="24"/>
        </w:rPr>
        <w:t xml:space="preserve">, valuation mistakes occur at the level of </w:t>
      </w:r>
      <w:r w:rsidR="00885532">
        <w:rPr>
          <w:rFonts w:ascii="Times New Roman" w:hAnsi="Times New Roman" w:cs="Times New Roman"/>
          <w:sz w:val="24"/>
          <w:szCs w:val="24"/>
        </w:rPr>
        <w:t>a</w:t>
      </w:r>
      <w:r w:rsidR="00366FE6">
        <w:rPr>
          <w:rFonts w:ascii="Times New Roman" w:hAnsi="Times New Roman" w:cs="Times New Roman"/>
          <w:sz w:val="24"/>
          <w:szCs w:val="24"/>
        </w:rPr>
        <w:t xml:space="preserve"> firm, not the level of a dollar of </w:t>
      </w:r>
      <w:r w:rsidR="00885532">
        <w:rPr>
          <w:rFonts w:ascii="Times New Roman" w:hAnsi="Times New Roman" w:cs="Times New Roman"/>
          <w:sz w:val="24"/>
          <w:szCs w:val="24"/>
        </w:rPr>
        <w:t xml:space="preserve">its </w:t>
      </w:r>
      <w:r w:rsidR="00366FE6">
        <w:rPr>
          <w:rFonts w:ascii="Times New Roman" w:hAnsi="Times New Roman" w:cs="Times New Roman"/>
          <w:sz w:val="24"/>
          <w:szCs w:val="24"/>
        </w:rPr>
        <w:t>market capitalizat</w:t>
      </w:r>
      <w:r w:rsidR="00885532">
        <w:rPr>
          <w:rFonts w:ascii="Times New Roman" w:hAnsi="Times New Roman" w:cs="Times New Roman"/>
          <w:sz w:val="24"/>
          <w:szCs w:val="24"/>
        </w:rPr>
        <w:t>ion</w:t>
      </w:r>
      <w:r w:rsidR="00366FE6">
        <w:rPr>
          <w:rFonts w:ascii="Times New Roman" w:hAnsi="Times New Roman" w:cs="Times New Roman"/>
          <w:sz w:val="24"/>
          <w:szCs w:val="24"/>
        </w:rPr>
        <w:t>. Therefore, whether valuation mistakes occu</w:t>
      </w:r>
      <w:r w:rsidR="00885532">
        <w:rPr>
          <w:rFonts w:ascii="Times New Roman" w:hAnsi="Times New Roman" w:cs="Times New Roman"/>
          <w:sz w:val="24"/>
          <w:szCs w:val="24"/>
        </w:rPr>
        <w:t>r on average is a</w:t>
      </w:r>
      <w:r w:rsidR="006257C7">
        <w:rPr>
          <w:rFonts w:ascii="Times New Roman" w:hAnsi="Times New Roman" w:cs="Times New Roman"/>
          <w:sz w:val="24"/>
          <w:szCs w:val="24"/>
        </w:rPr>
        <w:t xml:space="preserve"> question </w:t>
      </w:r>
      <w:r w:rsidR="00B167DF">
        <w:rPr>
          <w:rFonts w:ascii="Times New Roman" w:hAnsi="Times New Roman" w:cs="Times New Roman"/>
          <w:sz w:val="24"/>
          <w:szCs w:val="24"/>
        </w:rPr>
        <w:t>about</w:t>
      </w:r>
      <w:r w:rsidR="009E5A34">
        <w:rPr>
          <w:rFonts w:ascii="Times New Roman" w:hAnsi="Times New Roman" w:cs="Times New Roman"/>
          <w:sz w:val="24"/>
          <w:szCs w:val="24"/>
        </w:rPr>
        <w:t xml:space="preserve"> </w:t>
      </w:r>
      <w:r w:rsidR="006257C7">
        <w:rPr>
          <w:rFonts w:ascii="Times New Roman" w:hAnsi="Times New Roman" w:cs="Times New Roman"/>
          <w:sz w:val="24"/>
          <w:szCs w:val="24"/>
        </w:rPr>
        <w:t>th</w:t>
      </w:r>
      <w:r w:rsidR="00885532">
        <w:rPr>
          <w:rFonts w:ascii="Times New Roman" w:hAnsi="Times New Roman" w:cs="Times New Roman"/>
          <w:sz w:val="24"/>
          <w:szCs w:val="24"/>
        </w:rPr>
        <w:t>e average firm and</w:t>
      </w:r>
      <w:r w:rsidR="006257C7">
        <w:rPr>
          <w:rFonts w:ascii="Times New Roman" w:hAnsi="Times New Roman" w:cs="Times New Roman"/>
          <w:sz w:val="24"/>
          <w:szCs w:val="24"/>
        </w:rPr>
        <w:t xml:space="preserve"> not</w:t>
      </w:r>
      <w:r w:rsidR="00885532">
        <w:rPr>
          <w:rFonts w:ascii="Times New Roman" w:hAnsi="Times New Roman" w:cs="Times New Roman"/>
          <w:sz w:val="24"/>
          <w:szCs w:val="24"/>
        </w:rPr>
        <w:t xml:space="preserve"> </w:t>
      </w:r>
      <w:r w:rsidR="006257C7">
        <w:rPr>
          <w:rFonts w:ascii="Times New Roman" w:hAnsi="Times New Roman" w:cs="Times New Roman"/>
          <w:sz w:val="24"/>
          <w:szCs w:val="24"/>
        </w:rPr>
        <w:t>the average dollar</w:t>
      </w:r>
      <w:r w:rsidR="00885532">
        <w:rPr>
          <w:rFonts w:ascii="Times New Roman" w:hAnsi="Times New Roman" w:cs="Times New Roman"/>
          <w:sz w:val="24"/>
          <w:szCs w:val="24"/>
        </w:rPr>
        <w:t xml:space="preserve"> invested</w:t>
      </w:r>
      <w:r w:rsidR="00063581">
        <w:rPr>
          <w:rFonts w:ascii="Times New Roman" w:hAnsi="Times New Roman" w:cs="Times New Roman"/>
          <w:sz w:val="24"/>
          <w:szCs w:val="24"/>
        </w:rPr>
        <w:t xml:space="preserve"> – making </w:t>
      </w:r>
      <w:r w:rsidR="00A87C80">
        <w:rPr>
          <w:rFonts w:ascii="Times New Roman" w:hAnsi="Times New Roman" w:cs="Times New Roman"/>
          <w:sz w:val="24"/>
          <w:szCs w:val="24"/>
        </w:rPr>
        <w:t>the</w:t>
      </w:r>
      <w:r w:rsidR="00885532">
        <w:rPr>
          <w:rFonts w:ascii="Times New Roman" w:hAnsi="Times New Roman" w:cs="Times New Roman"/>
          <w:sz w:val="24"/>
          <w:szCs w:val="24"/>
        </w:rPr>
        <w:t xml:space="preserve"> </w:t>
      </w:r>
      <w:r w:rsidR="00A87C80">
        <w:rPr>
          <w:rFonts w:ascii="Times New Roman" w:hAnsi="Times New Roman" w:cs="Times New Roman"/>
          <w:sz w:val="24"/>
          <w:szCs w:val="24"/>
        </w:rPr>
        <w:t>equal-weighted portfolio return</w:t>
      </w:r>
      <w:r w:rsidR="006257C7">
        <w:rPr>
          <w:rFonts w:ascii="Times New Roman" w:hAnsi="Times New Roman" w:cs="Times New Roman"/>
          <w:sz w:val="24"/>
          <w:szCs w:val="24"/>
        </w:rPr>
        <w:t xml:space="preserve"> </w:t>
      </w:r>
      <w:r w:rsidR="00BB0F6E">
        <w:rPr>
          <w:rFonts w:ascii="Times New Roman" w:hAnsi="Times New Roman" w:cs="Times New Roman"/>
          <w:sz w:val="24"/>
          <w:szCs w:val="24"/>
        </w:rPr>
        <w:t xml:space="preserve">a </w:t>
      </w:r>
      <w:r w:rsidR="00885532">
        <w:rPr>
          <w:rFonts w:ascii="Times New Roman" w:hAnsi="Times New Roman" w:cs="Times New Roman"/>
          <w:sz w:val="24"/>
          <w:szCs w:val="24"/>
        </w:rPr>
        <w:t>more appropriate way to</w:t>
      </w:r>
      <w:r w:rsidR="00366FE6">
        <w:rPr>
          <w:rFonts w:ascii="Times New Roman" w:hAnsi="Times New Roman" w:cs="Times New Roman"/>
          <w:sz w:val="24"/>
          <w:szCs w:val="24"/>
        </w:rPr>
        <w:t xml:space="preserve"> </w:t>
      </w:r>
      <w:r w:rsidR="00885532">
        <w:rPr>
          <w:rFonts w:ascii="Times New Roman" w:hAnsi="Times New Roman" w:cs="Times New Roman"/>
          <w:sz w:val="24"/>
          <w:szCs w:val="24"/>
        </w:rPr>
        <w:t xml:space="preserve">test our hypothesis. However, equal-weighted portfolio returns suffer from microstructure-induced measurement biases (e.g., the bid-ask bounce), as </w:t>
      </w:r>
      <w:r w:rsidR="00555CD0">
        <w:rPr>
          <w:rFonts w:ascii="Times New Roman" w:hAnsi="Times New Roman" w:cs="Times New Roman"/>
          <w:sz w:val="24"/>
          <w:szCs w:val="24"/>
        </w:rPr>
        <w:t>sho</w:t>
      </w:r>
      <w:r w:rsidR="00D80BF8">
        <w:rPr>
          <w:rFonts w:ascii="Times New Roman" w:hAnsi="Times New Roman" w:cs="Times New Roman"/>
          <w:sz w:val="24"/>
          <w:szCs w:val="24"/>
        </w:rPr>
        <w:t>w</w:t>
      </w:r>
      <w:r w:rsidR="00555CD0">
        <w:rPr>
          <w:rFonts w:ascii="Times New Roman" w:hAnsi="Times New Roman" w:cs="Times New Roman"/>
          <w:sz w:val="24"/>
          <w:szCs w:val="24"/>
        </w:rPr>
        <w:t>n</w:t>
      </w:r>
      <w:r w:rsidR="00885532">
        <w:rPr>
          <w:rFonts w:ascii="Times New Roman" w:hAnsi="Times New Roman" w:cs="Times New Roman"/>
          <w:sz w:val="24"/>
          <w:szCs w:val="24"/>
        </w:rPr>
        <w:t xml:space="preserve"> by </w:t>
      </w:r>
      <w:hyperlink w:anchor="_ENREF_4" w:tooltip="Asparouhova, 2013 #11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AuthorYear="1"&gt;&lt;Author&gt;Asparouhova&lt;/Author&gt;&lt;Year&gt;2013&lt;/Year&gt;&lt;RecNum&gt;117&lt;/RecNum&gt;&lt;DisplayText&gt;Asparouhova, Bessembinder, and Kalcheva (2013)&lt;/DisplayText&gt;&lt;record&gt;&lt;rec-number&gt;117&lt;/rec-number&gt;&lt;foreign-keys&gt;&lt;key app="EN" db-id="a00ppf5vbz2zw4efraqp9recxrvdwwtasszf" timestamp="1636055766"&gt;117&lt;/key&gt;&lt;/foreign-keys&gt;&lt;ref-type name="Journal Article"&gt;17&lt;/ref-type&gt;&lt;contributors&gt;&lt;authors&gt;&lt;author&gt;Asparouhova, Elena&lt;/author&gt;&lt;author&gt;Bessembinder, Hendrik&lt;/author&gt;&lt;author&gt;Kalcheva, Ivalina&lt;/author&gt;&lt;/authors&gt;&lt;/contributors&gt;&lt;titles&gt;&lt;title&gt;Noisy Prices and Inference Regarding Returns&lt;/title&gt;&lt;secondary-title&gt;Journal of Finance&lt;/secondary-title&gt;&lt;/titles&gt;&lt;periodical&gt;&lt;full-title&gt;Journal of FInance&lt;/full-title&gt;&lt;/periodical&gt;&lt;pages&gt;665-714&lt;/pages&gt;&lt;volume&gt;68&lt;/volume&gt;&lt;number&gt;2&lt;/number&gt;&lt;keywords&gt;&lt;keyword&gt;SECURITIES -- Rate of return&lt;/keyword&gt;&lt;keyword&gt;INVESTMENTS&lt;/keyword&gt;&lt;keyword&gt;RESEARCH&lt;/keyword&gt;&lt;keyword&gt;SECURITIES -- Prices -- Mathematical models&lt;/keyword&gt;&lt;keyword&gt;RATE of return&lt;/keyword&gt;&lt;keyword&gt;FINANCE -- Research&lt;/keyword&gt;&lt;keyword&gt;ASSETS (Accounting)&lt;/keyword&gt;&lt;keyword&gt;CAPITAL costs&lt;/keyword&gt;&lt;keyword&gt;SECURITIES trading&lt;/keyword&gt;&lt;keyword&gt;STOCKS (Finance) -- Prices&lt;/keyword&gt;&lt;keyword&gt;SECURITIES markets&lt;/keyword&gt;&lt;keyword&gt;PORTFOLIO management (Investments)&lt;/keyword&gt;&lt;keyword&gt;STATISTICAL bias&lt;/keyword&gt;&lt;keyword&gt;SALES &amp;amp; prices&lt;/keyword&gt;&lt;/keywords&gt;&lt;dates&gt;&lt;year&gt;2013&lt;/year&gt;&lt;/dates&gt;&lt;publisher&gt;Wiley-Blackwell&lt;/publisher&gt;&lt;isbn&gt;00221082&lt;/isbn&gt;&lt;accession-num&gt;85938177&lt;/accession-num&gt;&lt;work-type&gt;Article&lt;/work-type&gt;&lt;urls&gt;&lt;related-urls&gt;&lt;url&gt;http://search.ebscohost.com/login.aspx?direct=true&amp;amp;db=buh&amp;amp;AN=85938177&amp;amp;site=ehost-live&lt;/url&gt;&lt;/related-urls&gt;&lt;/urls&gt;&lt;electronic-resource-num&gt;10.1111/jofi.12010&lt;/electronic-resource-num&gt;&lt;remote-database-name&gt;bu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Asparouhova, Bessembinder, and Kalcheva (2013)</w:t>
        </w:r>
        <w:r w:rsidR="00A4299A">
          <w:rPr>
            <w:rFonts w:ascii="Times New Roman" w:hAnsi="Times New Roman" w:cs="Times New Roman"/>
            <w:sz w:val="24"/>
            <w:szCs w:val="24"/>
          </w:rPr>
          <w:fldChar w:fldCharType="end"/>
        </w:r>
      </w:hyperlink>
      <w:r w:rsidR="00A87C80">
        <w:rPr>
          <w:rFonts w:ascii="Times New Roman" w:hAnsi="Times New Roman" w:cs="Times New Roman"/>
          <w:sz w:val="24"/>
          <w:szCs w:val="24"/>
        </w:rPr>
        <w:t xml:space="preserve">. As a </w:t>
      </w:r>
      <w:r w:rsidR="00D80BF8">
        <w:rPr>
          <w:rFonts w:ascii="Times New Roman" w:hAnsi="Times New Roman" w:cs="Times New Roman"/>
          <w:sz w:val="24"/>
          <w:szCs w:val="24"/>
        </w:rPr>
        <w:t xml:space="preserve">solution </w:t>
      </w:r>
      <w:r w:rsidR="00D86FA0">
        <w:rPr>
          <w:rFonts w:ascii="Times New Roman" w:hAnsi="Times New Roman" w:cs="Times New Roman"/>
          <w:sz w:val="24"/>
          <w:szCs w:val="24"/>
        </w:rPr>
        <w:t xml:space="preserve">to </w:t>
      </w:r>
      <w:r w:rsidR="00D80BF8">
        <w:rPr>
          <w:rFonts w:ascii="Times New Roman" w:hAnsi="Times New Roman" w:cs="Times New Roman"/>
          <w:sz w:val="24"/>
          <w:szCs w:val="24"/>
        </w:rPr>
        <w:t>this problem</w:t>
      </w:r>
      <w:r w:rsidR="00885532">
        <w:rPr>
          <w:rFonts w:ascii="Times New Roman" w:hAnsi="Times New Roman" w:cs="Times New Roman"/>
          <w:sz w:val="24"/>
          <w:szCs w:val="24"/>
        </w:rPr>
        <w:t xml:space="preserve"> </w:t>
      </w:r>
      <w:hyperlink w:anchor="_ENREF_4" w:tooltip="Asparouhova, 2013 #11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AuthorYear="1"&gt;&lt;Author&gt;Asparouhova&lt;/Author&gt;&lt;Year&gt;2013&lt;/Year&gt;&lt;RecNum&gt;117&lt;/RecNum&gt;&lt;DisplayText&gt;Asparouhova et al. (2013)&lt;/DisplayText&gt;&lt;record&gt;&lt;rec-number&gt;117&lt;/rec-number&gt;&lt;foreign-keys&gt;&lt;key app="EN" db-id="a00ppf5vbz2zw4efraqp9recxrvdwwtasszf" timestamp="1636055766"&gt;117&lt;/key&gt;&lt;/foreign-keys&gt;&lt;ref-type name="Journal Article"&gt;17&lt;/ref-type&gt;&lt;contributors&gt;&lt;authors&gt;&lt;author&gt;Asparouhova, Elena&lt;/author&gt;&lt;author&gt;Bessembinder, Hendrik&lt;/author&gt;&lt;author&gt;Kalcheva, Ivalina&lt;/author&gt;&lt;/authors&gt;&lt;/contributors&gt;&lt;titles&gt;&lt;title&gt;Noisy Prices and Inference Regarding Returns&lt;/title&gt;&lt;secondary-title&gt;Journal of Finance&lt;/secondary-title&gt;&lt;/titles&gt;&lt;periodical&gt;&lt;full-title&gt;Journal of FInance&lt;/full-title&gt;&lt;/periodical&gt;&lt;pages&gt;665-714&lt;/pages&gt;&lt;volume&gt;68&lt;/volume&gt;&lt;number&gt;2&lt;/number&gt;&lt;keywords&gt;&lt;keyword&gt;SECURITIES -- Rate of return&lt;/keyword&gt;&lt;keyword&gt;INVESTMENTS&lt;/keyword&gt;&lt;keyword&gt;RESEARCH&lt;/keyword&gt;&lt;keyword&gt;SECURITIES -- Prices -- Mathematical models&lt;/keyword&gt;&lt;keyword&gt;RATE of return&lt;/keyword&gt;&lt;keyword&gt;FINANCE -- Research&lt;/keyword&gt;&lt;keyword&gt;ASSETS (Accounting)&lt;/keyword&gt;&lt;keyword&gt;CAPITAL costs&lt;/keyword&gt;&lt;keyword&gt;SECURITIES trading&lt;/keyword&gt;&lt;keyword&gt;STOCKS (Finance) -- Prices&lt;/keyword&gt;&lt;keyword&gt;SECURITIES markets&lt;/keyword&gt;&lt;keyword&gt;PORTFOLIO management (Investments)&lt;/keyword&gt;&lt;keyword&gt;STATISTICAL bias&lt;/keyword&gt;&lt;keyword&gt;SALES &amp;amp; prices&lt;/keyword&gt;&lt;/keywords&gt;&lt;dates&gt;&lt;year&gt;2013&lt;/year&gt;&lt;/dates&gt;&lt;publisher&gt;Wiley-Blackwell&lt;/publisher&gt;&lt;isbn&gt;00221082&lt;/isbn&gt;&lt;accession-num&gt;85938177&lt;/accession-num&gt;&lt;work-type&gt;Article&lt;/work-type&gt;&lt;urls&gt;&lt;related-urls&gt;&lt;url&gt;http://search.ebscohost.com/login.aspx?direct=true&amp;amp;db=buh&amp;amp;AN=85938177&amp;amp;site=ehost-live&lt;/url&gt;&lt;/related-urls&gt;&lt;/urls&gt;&lt;electronic-resource-num&gt;10.1111/jofi.12010&lt;/electronic-resource-num&gt;&lt;remote-database-name&gt;bu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Asparouhova et al. (2013)</w:t>
        </w:r>
        <w:r w:rsidR="00A4299A">
          <w:rPr>
            <w:rFonts w:ascii="Times New Roman" w:hAnsi="Times New Roman" w:cs="Times New Roman"/>
            <w:sz w:val="24"/>
            <w:szCs w:val="24"/>
          </w:rPr>
          <w:fldChar w:fldCharType="end"/>
        </w:r>
      </w:hyperlink>
      <w:r w:rsidR="009020A6">
        <w:rPr>
          <w:rFonts w:ascii="Times New Roman" w:hAnsi="Times New Roman" w:cs="Times New Roman"/>
          <w:sz w:val="24"/>
          <w:szCs w:val="24"/>
        </w:rPr>
        <w:t xml:space="preserve"> recommend</w:t>
      </w:r>
      <w:r w:rsidR="00885532">
        <w:rPr>
          <w:rFonts w:ascii="Times New Roman" w:hAnsi="Times New Roman" w:cs="Times New Roman"/>
          <w:sz w:val="24"/>
          <w:szCs w:val="24"/>
        </w:rPr>
        <w:t xml:space="preserve"> using prior-perio</w:t>
      </w:r>
      <w:r w:rsidR="00A87C80">
        <w:rPr>
          <w:rFonts w:ascii="Times New Roman" w:hAnsi="Times New Roman" w:cs="Times New Roman"/>
          <w:sz w:val="24"/>
          <w:szCs w:val="24"/>
        </w:rPr>
        <w:t>d gross return weighted (RW)</w:t>
      </w:r>
      <w:r w:rsidR="009020A6">
        <w:rPr>
          <w:rFonts w:ascii="Times New Roman" w:hAnsi="Times New Roman" w:cs="Times New Roman"/>
          <w:sz w:val="24"/>
          <w:szCs w:val="24"/>
        </w:rPr>
        <w:t xml:space="preserve"> or value-weighted (VW) portfolios</w:t>
      </w:r>
      <w:r w:rsidR="00885532">
        <w:rPr>
          <w:rFonts w:ascii="Times New Roman" w:hAnsi="Times New Roman" w:cs="Times New Roman"/>
          <w:sz w:val="24"/>
          <w:szCs w:val="24"/>
        </w:rPr>
        <w:t xml:space="preserve">. </w:t>
      </w:r>
      <w:r w:rsidR="009020A6">
        <w:rPr>
          <w:rFonts w:ascii="Times New Roman" w:hAnsi="Times New Roman" w:cs="Times New Roman"/>
          <w:sz w:val="24"/>
          <w:szCs w:val="24"/>
        </w:rPr>
        <w:t>W</w:t>
      </w:r>
      <w:r w:rsidR="00885532">
        <w:rPr>
          <w:rFonts w:ascii="Times New Roman" w:hAnsi="Times New Roman" w:cs="Times New Roman"/>
          <w:sz w:val="24"/>
          <w:szCs w:val="24"/>
        </w:rPr>
        <w:t>e report our results</w:t>
      </w:r>
      <w:r w:rsidR="00A87C80">
        <w:rPr>
          <w:rFonts w:ascii="Times New Roman" w:hAnsi="Times New Roman" w:cs="Times New Roman"/>
          <w:sz w:val="24"/>
          <w:szCs w:val="24"/>
        </w:rPr>
        <w:t xml:space="preserve"> using both RW and VW </w:t>
      </w:r>
      <w:r w:rsidR="00885532">
        <w:rPr>
          <w:rFonts w:ascii="Times New Roman" w:hAnsi="Times New Roman" w:cs="Times New Roman"/>
          <w:sz w:val="24"/>
          <w:szCs w:val="24"/>
        </w:rPr>
        <w:t>portfolios, although</w:t>
      </w:r>
      <w:r w:rsidR="00EC44F3">
        <w:rPr>
          <w:rFonts w:ascii="Times New Roman" w:hAnsi="Times New Roman" w:cs="Times New Roman"/>
          <w:sz w:val="24"/>
          <w:szCs w:val="24"/>
        </w:rPr>
        <w:t xml:space="preserve"> we focus our discussion</w:t>
      </w:r>
      <w:r w:rsidR="00A87C80">
        <w:rPr>
          <w:rFonts w:ascii="Times New Roman" w:hAnsi="Times New Roman" w:cs="Times New Roman"/>
          <w:sz w:val="24"/>
          <w:szCs w:val="24"/>
        </w:rPr>
        <w:t xml:space="preserve"> of the results on </w:t>
      </w:r>
      <w:r w:rsidR="00D86FA0">
        <w:rPr>
          <w:rFonts w:ascii="Times New Roman" w:hAnsi="Times New Roman" w:cs="Times New Roman"/>
          <w:sz w:val="24"/>
          <w:szCs w:val="24"/>
        </w:rPr>
        <w:t xml:space="preserve">the </w:t>
      </w:r>
      <w:r w:rsidR="00A87C80">
        <w:rPr>
          <w:rFonts w:ascii="Times New Roman" w:hAnsi="Times New Roman" w:cs="Times New Roman"/>
          <w:sz w:val="24"/>
          <w:szCs w:val="24"/>
        </w:rPr>
        <w:t>RW portfolio</w:t>
      </w:r>
      <w:r w:rsidR="00190537">
        <w:rPr>
          <w:rFonts w:ascii="Times New Roman" w:hAnsi="Times New Roman" w:cs="Times New Roman"/>
          <w:sz w:val="24"/>
          <w:szCs w:val="24"/>
        </w:rPr>
        <w:t>s</w:t>
      </w:r>
      <w:r w:rsidR="00A87C80">
        <w:rPr>
          <w:rFonts w:ascii="Times New Roman" w:hAnsi="Times New Roman" w:cs="Times New Roman"/>
          <w:sz w:val="24"/>
          <w:szCs w:val="24"/>
        </w:rPr>
        <w:t xml:space="preserve"> </w:t>
      </w:r>
      <w:r w:rsidR="00024938">
        <w:rPr>
          <w:rFonts w:ascii="Times New Roman" w:hAnsi="Times New Roman" w:cs="Times New Roman"/>
          <w:sz w:val="24"/>
          <w:szCs w:val="24"/>
        </w:rPr>
        <w:t xml:space="preserve">given the </w:t>
      </w:r>
      <w:r w:rsidR="004705F0">
        <w:rPr>
          <w:rFonts w:ascii="Times New Roman" w:hAnsi="Times New Roman" w:cs="Times New Roman"/>
          <w:sz w:val="24"/>
          <w:szCs w:val="24"/>
        </w:rPr>
        <w:t>arguments</w:t>
      </w:r>
      <w:r w:rsidR="00B76B1A">
        <w:rPr>
          <w:rFonts w:ascii="Times New Roman" w:hAnsi="Times New Roman" w:cs="Times New Roman"/>
          <w:sz w:val="24"/>
          <w:szCs w:val="24"/>
        </w:rPr>
        <w:t xml:space="preserve"> above</w:t>
      </w:r>
      <w:r w:rsidR="00024938">
        <w:rPr>
          <w:rFonts w:ascii="Times New Roman" w:hAnsi="Times New Roman" w:cs="Times New Roman"/>
          <w:sz w:val="24"/>
          <w:szCs w:val="24"/>
        </w:rPr>
        <w:t>.</w:t>
      </w:r>
      <w:r w:rsidR="00024938">
        <w:rPr>
          <w:rStyle w:val="FootnoteReference"/>
          <w:rFonts w:ascii="Times New Roman" w:hAnsi="Times New Roman" w:cs="Times New Roman"/>
          <w:sz w:val="24"/>
          <w:szCs w:val="24"/>
        </w:rPr>
        <w:footnoteReference w:id="29"/>
      </w:r>
    </w:p>
    <w:p w14:paraId="5F562EE9" w14:textId="545EBB52" w:rsidR="0081737C" w:rsidRDefault="00B76B1A"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Panel A reports the RW returns of double-sorted portfolios. </w:t>
      </w:r>
      <w:r w:rsidR="00CD23A6">
        <w:rPr>
          <w:rFonts w:ascii="Times New Roman" w:hAnsi="Times New Roman" w:cs="Times New Roman"/>
          <w:sz w:val="24"/>
          <w:szCs w:val="24"/>
        </w:rPr>
        <w:t xml:space="preserve">Focusing on low </w:t>
      </w:r>
      <w:r w:rsidR="00467E70" w:rsidRPr="00C84568">
        <w:rPr>
          <w:rFonts w:ascii="Times New Roman" w:hAnsi="Times New Roman" w:cs="Times New Roman"/>
          <w:i/>
          <w:iCs/>
          <w:sz w:val="24"/>
          <w:szCs w:val="24"/>
        </w:rPr>
        <w:t>VU</w:t>
      </w:r>
      <w:r w:rsidR="00CD23A6">
        <w:rPr>
          <w:rFonts w:ascii="Times New Roman" w:hAnsi="Times New Roman" w:cs="Times New Roman"/>
          <w:sz w:val="24"/>
          <w:szCs w:val="24"/>
        </w:rPr>
        <w:t xml:space="preserve"> in the left-most column, we find that “value” stocks earn an average return of 1.</w:t>
      </w:r>
      <w:r w:rsidR="00973C1D">
        <w:rPr>
          <w:rFonts w:ascii="Times New Roman" w:hAnsi="Times New Roman" w:cs="Times New Roman"/>
          <w:sz w:val="24"/>
          <w:szCs w:val="24"/>
        </w:rPr>
        <w:t>27</w:t>
      </w:r>
      <w:r w:rsidR="00CD23A6">
        <w:rPr>
          <w:rFonts w:ascii="Times New Roman" w:hAnsi="Times New Roman" w:cs="Times New Roman"/>
          <w:sz w:val="24"/>
          <w:szCs w:val="24"/>
        </w:rPr>
        <w:t>% per month, while “growth” stocks earn an average return of 0.</w:t>
      </w:r>
      <w:r w:rsidR="00D3282B">
        <w:rPr>
          <w:rFonts w:ascii="Times New Roman" w:hAnsi="Times New Roman" w:cs="Times New Roman"/>
          <w:sz w:val="24"/>
          <w:szCs w:val="24"/>
        </w:rPr>
        <w:t>96</w:t>
      </w:r>
      <w:r w:rsidR="00CD23A6">
        <w:rPr>
          <w:rFonts w:ascii="Times New Roman" w:hAnsi="Times New Roman" w:cs="Times New Roman"/>
          <w:sz w:val="24"/>
          <w:szCs w:val="24"/>
        </w:rPr>
        <w:t>%. The difference between the two is 0.</w:t>
      </w:r>
      <w:r w:rsidR="00D3282B">
        <w:rPr>
          <w:rFonts w:ascii="Times New Roman" w:hAnsi="Times New Roman" w:cs="Times New Roman"/>
          <w:sz w:val="24"/>
          <w:szCs w:val="24"/>
        </w:rPr>
        <w:t>31</w:t>
      </w:r>
      <w:r w:rsidR="00CD23A6">
        <w:rPr>
          <w:rFonts w:ascii="Times New Roman" w:hAnsi="Times New Roman" w:cs="Times New Roman"/>
          <w:sz w:val="24"/>
          <w:szCs w:val="24"/>
        </w:rPr>
        <w:t xml:space="preserve">% per month, significant at the 1% level. </w:t>
      </w:r>
      <w:r w:rsidR="00991D43">
        <w:rPr>
          <w:rFonts w:ascii="Times New Roman" w:hAnsi="Times New Roman" w:cs="Times New Roman"/>
          <w:sz w:val="24"/>
          <w:szCs w:val="24"/>
        </w:rPr>
        <w:t>Moving across the columns to the right, we find that the returns of “value” stocks in</w:t>
      </w:r>
      <w:r w:rsidR="002E09B2">
        <w:rPr>
          <w:rFonts w:ascii="Times New Roman" w:hAnsi="Times New Roman" w:cs="Times New Roman"/>
          <w:sz w:val="24"/>
          <w:szCs w:val="24"/>
        </w:rPr>
        <w:t>crease, from 1.</w:t>
      </w:r>
      <w:r w:rsidR="00DC4A47">
        <w:rPr>
          <w:rFonts w:ascii="Times New Roman" w:hAnsi="Times New Roman" w:cs="Times New Roman"/>
          <w:sz w:val="24"/>
          <w:szCs w:val="24"/>
        </w:rPr>
        <w:t>27</w:t>
      </w:r>
      <w:r w:rsidR="002E09B2">
        <w:rPr>
          <w:rFonts w:ascii="Times New Roman" w:hAnsi="Times New Roman" w:cs="Times New Roman"/>
          <w:sz w:val="24"/>
          <w:szCs w:val="24"/>
        </w:rPr>
        <w:t>% to 1.</w:t>
      </w:r>
      <w:r w:rsidR="00D3282B">
        <w:rPr>
          <w:rFonts w:ascii="Times New Roman" w:hAnsi="Times New Roman" w:cs="Times New Roman"/>
          <w:sz w:val="24"/>
          <w:szCs w:val="24"/>
        </w:rPr>
        <w:t>51</w:t>
      </w:r>
      <w:r w:rsidR="002E09B2">
        <w:rPr>
          <w:rFonts w:ascii="Times New Roman" w:hAnsi="Times New Roman" w:cs="Times New Roman"/>
          <w:sz w:val="24"/>
          <w:szCs w:val="24"/>
        </w:rPr>
        <w:t>% per month,</w:t>
      </w:r>
      <w:r w:rsidR="00991D43">
        <w:rPr>
          <w:rFonts w:ascii="Times New Roman" w:hAnsi="Times New Roman" w:cs="Times New Roman"/>
          <w:sz w:val="24"/>
          <w:szCs w:val="24"/>
        </w:rPr>
        <w:t xml:space="preserve"> as </w:t>
      </w:r>
      <w:r w:rsidR="00467E70" w:rsidRPr="00C84568">
        <w:rPr>
          <w:rFonts w:ascii="Times New Roman" w:hAnsi="Times New Roman" w:cs="Times New Roman"/>
          <w:i/>
          <w:iCs/>
          <w:sz w:val="24"/>
          <w:szCs w:val="24"/>
        </w:rPr>
        <w:t>VU</w:t>
      </w:r>
      <w:r w:rsidR="00991D43">
        <w:rPr>
          <w:rFonts w:ascii="Times New Roman" w:hAnsi="Times New Roman" w:cs="Times New Roman"/>
          <w:sz w:val="24"/>
          <w:szCs w:val="24"/>
        </w:rPr>
        <w:t xml:space="preserve"> </w:t>
      </w:r>
      <w:r w:rsidR="002E09B2">
        <w:rPr>
          <w:rFonts w:ascii="Times New Roman" w:hAnsi="Times New Roman" w:cs="Times New Roman"/>
          <w:sz w:val="24"/>
          <w:szCs w:val="24"/>
        </w:rPr>
        <w:t>goes up. At the same time, the returns of “growth” stocks</w:t>
      </w:r>
      <w:r w:rsidR="00E74671">
        <w:rPr>
          <w:rFonts w:ascii="Times New Roman" w:hAnsi="Times New Roman" w:cs="Times New Roman"/>
          <w:sz w:val="24"/>
          <w:szCs w:val="24"/>
        </w:rPr>
        <w:t xml:space="preserve"> decline</w:t>
      </w:r>
      <w:r w:rsidR="00DE37B7">
        <w:rPr>
          <w:rFonts w:ascii="Times New Roman" w:hAnsi="Times New Roman" w:cs="Times New Roman"/>
          <w:sz w:val="24"/>
          <w:szCs w:val="24"/>
        </w:rPr>
        <w:t xml:space="preserve"> with </w:t>
      </w:r>
      <w:r w:rsidR="00467E70" w:rsidRPr="00C84568">
        <w:rPr>
          <w:rFonts w:ascii="Times New Roman" w:hAnsi="Times New Roman" w:cs="Times New Roman"/>
          <w:i/>
          <w:iCs/>
          <w:sz w:val="24"/>
          <w:szCs w:val="24"/>
        </w:rPr>
        <w:t>VU</w:t>
      </w:r>
      <w:r w:rsidR="00E74671">
        <w:rPr>
          <w:rFonts w:ascii="Times New Roman" w:hAnsi="Times New Roman" w:cs="Times New Roman"/>
          <w:sz w:val="24"/>
          <w:szCs w:val="24"/>
        </w:rPr>
        <w:t>, from 0.</w:t>
      </w:r>
      <w:r w:rsidR="00D3282B">
        <w:rPr>
          <w:rFonts w:ascii="Times New Roman" w:hAnsi="Times New Roman" w:cs="Times New Roman"/>
          <w:sz w:val="24"/>
          <w:szCs w:val="24"/>
        </w:rPr>
        <w:t>96</w:t>
      </w:r>
      <w:r w:rsidR="00E74671">
        <w:rPr>
          <w:rFonts w:ascii="Times New Roman" w:hAnsi="Times New Roman" w:cs="Times New Roman"/>
          <w:sz w:val="24"/>
          <w:szCs w:val="24"/>
        </w:rPr>
        <w:t>% to as low as 0.</w:t>
      </w:r>
      <w:r w:rsidR="00D3282B">
        <w:rPr>
          <w:rFonts w:ascii="Times New Roman" w:hAnsi="Times New Roman" w:cs="Times New Roman"/>
          <w:sz w:val="24"/>
          <w:szCs w:val="24"/>
        </w:rPr>
        <w:t>38</w:t>
      </w:r>
      <w:r w:rsidR="00E74671">
        <w:rPr>
          <w:rFonts w:ascii="Times New Roman" w:hAnsi="Times New Roman" w:cs="Times New Roman"/>
          <w:sz w:val="24"/>
          <w:szCs w:val="24"/>
        </w:rPr>
        <w:t xml:space="preserve">%. As a result, the long-short return is monotonically increasing with </w:t>
      </w:r>
      <w:r w:rsidR="00467E70" w:rsidRPr="00C84568">
        <w:rPr>
          <w:rFonts w:ascii="Times New Roman" w:hAnsi="Times New Roman" w:cs="Times New Roman"/>
          <w:i/>
          <w:iCs/>
          <w:sz w:val="24"/>
          <w:szCs w:val="24"/>
        </w:rPr>
        <w:t>VU</w:t>
      </w:r>
      <w:r w:rsidR="00E74671">
        <w:rPr>
          <w:rFonts w:ascii="Times New Roman" w:hAnsi="Times New Roman" w:cs="Times New Roman"/>
          <w:sz w:val="24"/>
          <w:szCs w:val="24"/>
        </w:rPr>
        <w:t>, from 0.</w:t>
      </w:r>
      <w:r w:rsidR="00D3282B">
        <w:rPr>
          <w:rFonts w:ascii="Times New Roman" w:hAnsi="Times New Roman" w:cs="Times New Roman"/>
          <w:sz w:val="24"/>
          <w:szCs w:val="24"/>
        </w:rPr>
        <w:t>31</w:t>
      </w:r>
      <w:r w:rsidR="00E74671">
        <w:rPr>
          <w:rFonts w:ascii="Times New Roman" w:hAnsi="Times New Roman" w:cs="Times New Roman"/>
          <w:sz w:val="24"/>
          <w:szCs w:val="24"/>
        </w:rPr>
        <w:t>% per month to 1.</w:t>
      </w:r>
      <w:r w:rsidR="00D3282B">
        <w:rPr>
          <w:rFonts w:ascii="Times New Roman" w:hAnsi="Times New Roman" w:cs="Times New Roman"/>
          <w:sz w:val="24"/>
          <w:szCs w:val="24"/>
        </w:rPr>
        <w:t>13</w:t>
      </w:r>
      <w:r w:rsidR="00E74671">
        <w:rPr>
          <w:rFonts w:ascii="Times New Roman" w:hAnsi="Times New Roman" w:cs="Times New Roman"/>
          <w:sz w:val="24"/>
          <w:szCs w:val="24"/>
        </w:rPr>
        <w:t>% per month.</w:t>
      </w:r>
      <w:r w:rsidR="00EF3B86">
        <w:rPr>
          <w:rFonts w:ascii="Times New Roman" w:hAnsi="Times New Roman" w:cs="Times New Roman"/>
          <w:sz w:val="24"/>
          <w:szCs w:val="24"/>
        </w:rPr>
        <w:t xml:space="preserve"> The difference in long-short returns between high and low </w:t>
      </w:r>
      <w:r w:rsidR="00467E70" w:rsidRPr="00C84568">
        <w:rPr>
          <w:rFonts w:ascii="Times New Roman" w:hAnsi="Times New Roman" w:cs="Times New Roman"/>
          <w:i/>
          <w:iCs/>
          <w:sz w:val="24"/>
          <w:szCs w:val="24"/>
        </w:rPr>
        <w:t>VU</w:t>
      </w:r>
      <w:r w:rsidR="00EF3B86">
        <w:rPr>
          <w:rFonts w:ascii="Times New Roman" w:hAnsi="Times New Roman" w:cs="Times New Roman"/>
          <w:sz w:val="24"/>
          <w:szCs w:val="24"/>
        </w:rPr>
        <w:t xml:space="preserve"> stocks is 0.</w:t>
      </w:r>
      <w:r w:rsidR="00D3282B">
        <w:rPr>
          <w:rFonts w:ascii="Times New Roman" w:hAnsi="Times New Roman" w:cs="Times New Roman"/>
          <w:sz w:val="24"/>
          <w:szCs w:val="24"/>
        </w:rPr>
        <w:t>82</w:t>
      </w:r>
      <w:r w:rsidR="00EF3B86">
        <w:rPr>
          <w:rFonts w:ascii="Times New Roman" w:hAnsi="Times New Roman" w:cs="Times New Roman"/>
          <w:sz w:val="24"/>
          <w:szCs w:val="24"/>
        </w:rPr>
        <w:t>%</w:t>
      </w:r>
      <w:r w:rsidR="00DE37B7">
        <w:rPr>
          <w:rFonts w:ascii="Times New Roman" w:hAnsi="Times New Roman" w:cs="Times New Roman"/>
          <w:sz w:val="24"/>
          <w:szCs w:val="24"/>
        </w:rPr>
        <w:t xml:space="preserve">, </w:t>
      </w:r>
      <w:r w:rsidR="00EF3B86">
        <w:rPr>
          <w:rFonts w:ascii="Times New Roman" w:hAnsi="Times New Roman" w:cs="Times New Roman"/>
          <w:sz w:val="24"/>
          <w:szCs w:val="24"/>
        </w:rPr>
        <w:t>significant at the 1% level.</w:t>
      </w:r>
      <w:r w:rsidR="00566C21">
        <w:rPr>
          <w:rFonts w:ascii="Times New Roman" w:hAnsi="Times New Roman" w:cs="Times New Roman"/>
          <w:sz w:val="24"/>
          <w:szCs w:val="24"/>
        </w:rPr>
        <w:t xml:space="preserve"> The volatility of</w:t>
      </w:r>
      <w:r w:rsidR="00EF3B86">
        <w:rPr>
          <w:rFonts w:ascii="Times New Roman" w:hAnsi="Times New Roman" w:cs="Times New Roman"/>
          <w:sz w:val="24"/>
          <w:szCs w:val="24"/>
        </w:rPr>
        <w:t xml:space="preserve"> long-short returns also increases with </w:t>
      </w:r>
      <w:r w:rsidR="004264F4" w:rsidRPr="00C84568">
        <w:rPr>
          <w:rFonts w:ascii="Times New Roman" w:hAnsi="Times New Roman" w:cs="Times New Roman"/>
          <w:i/>
          <w:iCs/>
          <w:sz w:val="24"/>
          <w:szCs w:val="24"/>
        </w:rPr>
        <w:t>VU</w:t>
      </w:r>
      <w:r w:rsidR="00EF3B86">
        <w:rPr>
          <w:rFonts w:ascii="Times New Roman" w:hAnsi="Times New Roman" w:cs="Times New Roman"/>
          <w:sz w:val="24"/>
          <w:szCs w:val="24"/>
        </w:rPr>
        <w:t xml:space="preserve">, but </w:t>
      </w:r>
      <w:r w:rsidR="009A5D76">
        <w:rPr>
          <w:rFonts w:ascii="Times New Roman" w:hAnsi="Times New Roman" w:cs="Times New Roman"/>
          <w:sz w:val="24"/>
          <w:szCs w:val="24"/>
        </w:rPr>
        <w:t>this</w:t>
      </w:r>
      <w:r w:rsidR="00EF3B86">
        <w:rPr>
          <w:rFonts w:ascii="Times New Roman" w:hAnsi="Times New Roman" w:cs="Times New Roman"/>
          <w:sz w:val="24"/>
          <w:szCs w:val="24"/>
        </w:rPr>
        <w:t xml:space="preserve"> i</w:t>
      </w:r>
      <w:r w:rsidR="009A5D76">
        <w:rPr>
          <w:rFonts w:ascii="Times New Roman" w:hAnsi="Times New Roman" w:cs="Times New Roman"/>
          <w:sz w:val="24"/>
          <w:szCs w:val="24"/>
        </w:rPr>
        <w:t>ncrease is modest</w:t>
      </w:r>
      <w:r w:rsidR="00EF3B86">
        <w:rPr>
          <w:rFonts w:ascii="Times New Roman" w:hAnsi="Times New Roman" w:cs="Times New Roman"/>
          <w:sz w:val="24"/>
          <w:szCs w:val="24"/>
        </w:rPr>
        <w:t xml:space="preserve">, resulting in a substantially higher Sharpe ratio of the long-short strategy among high </w:t>
      </w:r>
      <w:r w:rsidR="004264F4" w:rsidRPr="00C84568">
        <w:rPr>
          <w:rFonts w:ascii="Times New Roman" w:hAnsi="Times New Roman" w:cs="Times New Roman"/>
          <w:i/>
          <w:iCs/>
          <w:sz w:val="24"/>
          <w:szCs w:val="24"/>
        </w:rPr>
        <w:t>VU</w:t>
      </w:r>
      <w:r w:rsidR="00EF3B86">
        <w:rPr>
          <w:rFonts w:ascii="Times New Roman" w:hAnsi="Times New Roman" w:cs="Times New Roman"/>
          <w:sz w:val="24"/>
          <w:szCs w:val="24"/>
        </w:rPr>
        <w:t xml:space="preserve"> stocks</w:t>
      </w:r>
      <w:r w:rsidR="004264F4">
        <w:rPr>
          <w:rFonts w:ascii="Times New Roman" w:hAnsi="Times New Roman" w:cs="Times New Roman"/>
          <w:sz w:val="24"/>
          <w:szCs w:val="24"/>
        </w:rPr>
        <w:t xml:space="preserve"> (</w:t>
      </w:r>
      <w:r w:rsidR="00B36CEA">
        <w:rPr>
          <w:rFonts w:ascii="Times New Roman" w:hAnsi="Times New Roman" w:cs="Times New Roman"/>
          <w:sz w:val="24"/>
          <w:szCs w:val="24"/>
        </w:rPr>
        <w:t>0</w:t>
      </w:r>
      <w:r w:rsidR="004264F4">
        <w:rPr>
          <w:rFonts w:ascii="Times New Roman" w:hAnsi="Times New Roman" w:cs="Times New Roman"/>
          <w:sz w:val="24"/>
          <w:szCs w:val="24"/>
        </w:rPr>
        <w:t>.</w:t>
      </w:r>
      <w:r w:rsidR="00D3282B">
        <w:rPr>
          <w:rFonts w:ascii="Times New Roman" w:hAnsi="Times New Roman" w:cs="Times New Roman"/>
          <w:sz w:val="24"/>
          <w:szCs w:val="24"/>
        </w:rPr>
        <w:t>97</w:t>
      </w:r>
      <w:r w:rsidR="004264F4">
        <w:rPr>
          <w:rFonts w:ascii="Times New Roman" w:hAnsi="Times New Roman" w:cs="Times New Roman"/>
          <w:sz w:val="24"/>
          <w:szCs w:val="24"/>
        </w:rPr>
        <w:t>)</w:t>
      </w:r>
      <w:r w:rsidR="00EF3B86">
        <w:rPr>
          <w:rFonts w:ascii="Times New Roman" w:hAnsi="Times New Roman" w:cs="Times New Roman"/>
          <w:sz w:val="24"/>
          <w:szCs w:val="24"/>
        </w:rPr>
        <w:t xml:space="preserve"> as compared to the same strategy among low </w:t>
      </w:r>
      <w:r w:rsidR="004264F4" w:rsidRPr="00C84568">
        <w:rPr>
          <w:rFonts w:ascii="Times New Roman" w:hAnsi="Times New Roman" w:cs="Times New Roman"/>
          <w:i/>
          <w:iCs/>
          <w:sz w:val="24"/>
          <w:szCs w:val="24"/>
        </w:rPr>
        <w:t>VU</w:t>
      </w:r>
      <w:r w:rsidR="00EF3B86">
        <w:rPr>
          <w:rFonts w:ascii="Times New Roman" w:hAnsi="Times New Roman" w:cs="Times New Roman"/>
          <w:sz w:val="24"/>
          <w:szCs w:val="24"/>
        </w:rPr>
        <w:t xml:space="preserve"> stocks (0.</w:t>
      </w:r>
      <w:r w:rsidR="00B36CEA">
        <w:rPr>
          <w:rFonts w:ascii="Times New Roman" w:hAnsi="Times New Roman" w:cs="Times New Roman"/>
          <w:sz w:val="24"/>
          <w:szCs w:val="24"/>
        </w:rPr>
        <w:t>4</w:t>
      </w:r>
      <w:r w:rsidR="00D3282B">
        <w:rPr>
          <w:rFonts w:ascii="Times New Roman" w:hAnsi="Times New Roman" w:cs="Times New Roman"/>
          <w:sz w:val="24"/>
          <w:szCs w:val="24"/>
        </w:rPr>
        <w:t>3</w:t>
      </w:r>
      <w:r w:rsidR="00EF3B86">
        <w:rPr>
          <w:rFonts w:ascii="Times New Roman" w:hAnsi="Times New Roman" w:cs="Times New Roman"/>
          <w:sz w:val="24"/>
          <w:szCs w:val="24"/>
        </w:rPr>
        <w:t xml:space="preserve">). </w:t>
      </w:r>
    </w:p>
    <w:p w14:paraId="08529AB5" w14:textId="584DA631" w:rsidR="00FA71DC" w:rsidRDefault="009A5D76"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Panel B repeats the analysis using VW portfolio returns. All of the patterns described above continue to hold. The average long-short return among low </w:t>
      </w:r>
      <w:r w:rsidR="004264F4" w:rsidRPr="00C84568">
        <w:rPr>
          <w:rFonts w:ascii="Times New Roman" w:hAnsi="Times New Roman" w:cs="Times New Roman"/>
          <w:i/>
          <w:iCs/>
          <w:sz w:val="24"/>
          <w:szCs w:val="24"/>
        </w:rPr>
        <w:t>VU</w:t>
      </w:r>
      <w:r>
        <w:rPr>
          <w:rFonts w:ascii="Times New Roman" w:hAnsi="Times New Roman" w:cs="Times New Roman"/>
          <w:sz w:val="24"/>
          <w:szCs w:val="24"/>
        </w:rPr>
        <w:t xml:space="preserve"> stocks is 0.</w:t>
      </w:r>
      <w:r w:rsidR="00C026A5">
        <w:rPr>
          <w:rFonts w:ascii="Times New Roman" w:hAnsi="Times New Roman" w:cs="Times New Roman"/>
          <w:sz w:val="24"/>
          <w:szCs w:val="24"/>
        </w:rPr>
        <w:t>24</w:t>
      </w:r>
      <w:r>
        <w:rPr>
          <w:rFonts w:ascii="Times New Roman" w:hAnsi="Times New Roman" w:cs="Times New Roman"/>
          <w:sz w:val="24"/>
          <w:szCs w:val="24"/>
        </w:rPr>
        <w:t xml:space="preserve">% per month, growing monotonically as </w:t>
      </w:r>
      <w:r w:rsidR="004264F4" w:rsidRPr="00C84568">
        <w:rPr>
          <w:rFonts w:ascii="Times New Roman" w:hAnsi="Times New Roman" w:cs="Times New Roman"/>
          <w:i/>
          <w:iCs/>
          <w:sz w:val="24"/>
          <w:szCs w:val="24"/>
        </w:rPr>
        <w:t>VU</w:t>
      </w:r>
      <w:r>
        <w:rPr>
          <w:rFonts w:ascii="Times New Roman" w:hAnsi="Times New Roman" w:cs="Times New Roman"/>
          <w:sz w:val="24"/>
          <w:szCs w:val="24"/>
        </w:rPr>
        <w:t xml:space="preserve"> increases, reaching 0.</w:t>
      </w:r>
      <w:r w:rsidR="00C026A5">
        <w:rPr>
          <w:rFonts w:ascii="Times New Roman" w:hAnsi="Times New Roman" w:cs="Times New Roman"/>
          <w:sz w:val="24"/>
          <w:szCs w:val="24"/>
        </w:rPr>
        <w:t>84</w:t>
      </w:r>
      <w:r>
        <w:rPr>
          <w:rFonts w:ascii="Times New Roman" w:hAnsi="Times New Roman" w:cs="Times New Roman"/>
          <w:sz w:val="24"/>
          <w:szCs w:val="24"/>
        </w:rPr>
        <w:t xml:space="preserve">% for high </w:t>
      </w:r>
      <w:r w:rsidR="004264F4" w:rsidRPr="00C84568">
        <w:rPr>
          <w:rFonts w:ascii="Times New Roman" w:hAnsi="Times New Roman" w:cs="Times New Roman"/>
          <w:i/>
          <w:iCs/>
          <w:sz w:val="24"/>
          <w:szCs w:val="24"/>
        </w:rPr>
        <w:t>VU</w:t>
      </w:r>
      <w:r>
        <w:rPr>
          <w:rFonts w:ascii="Times New Roman" w:hAnsi="Times New Roman" w:cs="Times New Roman"/>
          <w:sz w:val="24"/>
          <w:szCs w:val="24"/>
        </w:rPr>
        <w:t xml:space="preserve"> stocks. The difference in hedge returns between </w:t>
      </w:r>
      <w:r w:rsidR="00566C21">
        <w:rPr>
          <w:rFonts w:ascii="Times New Roman" w:hAnsi="Times New Roman" w:cs="Times New Roman"/>
          <w:sz w:val="24"/>
          <w:szCs w:val="24"/>
        </w:rPr>
        <w:t xml:space="preserve">extreme quartiles of </w:t>
      </w:r>
      <w:r w:rsidR="004264F4" w:rsidRPr="00C84568">
        <w:rPr>
          <w:rFonts w:ascii="Times New Roman" w:hAnsi="Times New Roman" w:cs="Times New Roman"/>
          <w:i/>
          <w:iCs/>
          <w:sz w:val="24"/>
          <w:szCs w:val="24"/>
        </w:rPr>
        <w:t>VU</w:t>
      </w:r>
      <w:r>
        <w:rPr>
          <w:rFonts w:ascii="Times New Roman" w:hAnsi="Times New Roman" w:cs="Times New Roman"/>
          <w:sz w:val="24"/>
          <w:szCs w:val="24"/>
        </w:rPr>
        <w:t xml:space="preserve"> is 0.</w:t>
      </w:r>
      <w:r w:rsidR="00C026A5">
        <w:rPr>
          <w:rFonts w:ascii="Times New Roman" w:hAnsi="Times New Roman" w:cs="Times New Roman"/>
          <w:sz w:val="24"/>
          <w:szCs w:val="24"/>
        </w:rPr>
        <w:t>60</w:t>
      </w:r>
      <w:r>
        <w:rPr>
          <w:rFonts w:ascii="Times New Roman" w:hAnsi="Times New Roman" w:cs="Times New Roman"/>
          <w:sz w:val="24"/>
          <w:szCs w:val="24"/>
        </w:rPr>
        <w:t>% per month</w:t>
      </w:r>
      <w:r w:rsidR="00566C21">
        <w:rPr>
          <w:rFonts w:ascii="Times New Roman" w:hAnsi="Times New Roman" w:cs="Times New Roman"/>
          <w:sz w:val="24"/>
          <w:szCs w:val="24"/>
        </w:rPr>
        <w:t>,</w:t>
      </w:r>
      <w:r>
        <w:rPr>
          <w:rFonts w:ascii="Times New Roman" w:hAnsi="Times New Roman" w:cs="Times New Roman"/>
          <w:sz w:val="24"/>
          <w:szCs w:val="24"/>
        </w:rPr>
        <w:t xml:space="preserve"> with a </w:t>
      </w:r>
      <w:r w:rsidRPr="009A5D76">
        <w:rPr>
          <w:rFonts w:ascii="Times New Roman" w:hAnsi="Times New Roman" w:cs="Times New Roman"/>
          <w:i/>
          <w:sz w:val="24"/>
          <w:szCs w:val="24"/>
        </w:rPr>
        <w:t>p</w:t>
      </w:r>
      <w:r>
        <w:rPr>
          <w:rFonts w:ascii="Times New Roman" w:hAnsi="Times New Roman" w:cs="Times New Roman"/>
          <w:sz w:val="24"/>
          <w:szCs w:val="24"/>
        </w:rPr>
        <w:t>-value of 0.</w:t>
      </w:r>
      <w:r w:rsidR="00B36CEA">
        <w:rPr>
          <w:rFonts w:ascii="Times New Roman" w:hAnsi="Times New Roman" w:cs="Times New Roman"/>
          <w:sz w:val="24"/>
          <w:szCs w:val="24"/>
        </w:rPr>
        <w:t>0</w:t>
      </w:r>
      <w:r w:rsidR="00C026A5">
        <w:rPr>
          <w:rFonts w:ascii="Times New Roman" w:hAnsi="Times New Roman" w:cs="Times New Roman"/>
          <w:sz w:val="24"/>
          <w:szCs w:val="24"/>
        </w:rPr>
        <w:t>03</w:t>
      </w:r>
      <w:r>
        <w:rPr>
          <w:rFonts w:ascii="Times New Roman" w:hAnsi="Times New Roman" w:cs="Times New Roman"/>
          <w:sz w:val="24"/>
          <w:szCs w:val="24"/>
        </w:rPr>
        <w:t>.</w:t>
      </w:r>
      <w:r w:rsidR="00831A24">
        <w:rPr>
          <w:rFonts w:ascii="Times New Roman" w:hAnsi="Times New Roman" w:cs="Times New Roman"/>
          <w:sz w:val="24"/>
          <w:szCs w:val="24"/>
        </w:rPr>
        <w:t xml:space="preserve"> The somewhat lower magnitude of the differential hedge return using VW portfolios is consistent with </w:t>
      </w:r>
      <w:r w:rsidR="00566C21">
        <w:rPr>
          <w:rFonts w:ascii="Times New Roman" w:hAnsi="Times New Roman" w:cs="Times New Roman"/>
          <w:sz w:val="24"/>
          <w:szCs w:val="24"/>
        </w:rPr>
        <w:t xml:space="preserve">the </w:t>
      </w:r>
      <w:r w:rsidR="00831A24">
        <w:rPr>
          <w:rFonts w:ascii="Times New Roman" w:hAnsi="Times New Roman" w:cs="Times New Roman"/>
          <w:sz w:val="24"/>
          <w:szCs w:val="24"/>
        </w:rPr>
        <w:t>existing literature that finds value-</w:t>
      </w:r>
      <w:r w:rsidR="00A34067">
        <w:rPr>
          <w:rFonts w:ascii="Times New Roman" w:hAnsi="Times New Roman" w:cs="Times New Roman"/>
          <w:sz w:val="24"/>
          <w:szCs w:val="24"/>
        </w:rPr>
        <w:t>like return premia</w:t>
      </w:r>
      <w:r w:rsidR="00831A24">
        <w:rPr>
          <w:rFonts w:ascii="Times New Roman" w:hAnsi="Times New Roman" w:cs="Times New Roman"/>
          <w:sz w:val="24"/>
          <w:szCs w:val="24"/>
        </w:rPr>
        <w:t xml:space="preserve"> to be less pronounced among large stocks.</w:t>
      </w:r>
    </w:p>
    <w:p w14:paraId="6405C11B" w14:textId="5E25D88F" w:rsidR="001E15EB" w:rsidRDefault="00FA71DC"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Figure </w:t>
      </w:r>
      <w:r w:rsidR="001C2129">
        <w:rPr>
          <w:rFonts w:ascii="Times New Roman" w:hAnsi="Times New Roman" w:cs="Times New Roman"/>
          <w:sz w:val="24"/>
          <w:szCs w:val="24"/>
        </w:rPr>
        <w:t xml:space="preserve">2 </w:t>
      </w:r>
      <w:r>
        <w:rPr>
          <w:rFonts w:ascii="Times New Roman" w:hAnsi="Times New Roman" w:cs="Times New Roman"/>
          <w:sz w:val="24"/>
          <w:szCs w:val="24"/>
        </w:rPr>
        <w:t>reports</w:t>
      </w:r>
      <w:r w:rsidR="001E15EB">
        <w:rPr>
          <w:rFonts w:ascii="Times New Roman" w:hAnsi="Times New Roman" w:cs="Times New Roman"/>
          <w:sz w:val="24"/>
          <w:szCs w:val="24"/>
        </w:rPr>
        <w:t xml:space="preserve"> the cumulative </w:t>
      </w:r>
      <w:r w:rsidR="00063581">
        <w:rPr>
          <w:rFonts w:ascii="Times New Roman" w:hAnsi="Times New Roman" w:cs="Times New Roman"/>
          <w:sz w:val="24"/>
          <w:szCs w:val="24"/>
        </w:rPr>
        <w:t xml:space="preserve">returns to </w:t>
      </w:r>
      <w:r w:rsidR="001E15EB">
        <w:rPr>
          <w:rFonts w:ascii="Times New Roman" w:hAnsi="Times New Roman" w:cs="Times New Roman"/>
          <w:sz w:val="24"/>
          <w:szCs w:val="24"/>
        </w:rPr>
        <w:t xml:space="preserve">our long-short strategies over the </w:t>
      </w:r>
      <w:r w:rsidR="008C7834">
        <w:rPr>
          <w:rFonts w:ascii="Times New Roman" w:hAnsi="Times New Roman" w:cs="Times New Roman"/>
          <w:sz w:val="24"/>
          <w:szCs w:val="24"/>
        </w:rPr>
        <w:t>48</w:t>
      </w:r>
      <w:r w:rsidR="00D64E98">
        <w:rPr>
          <w:rFonts w:ascii="Times New Roman" w:hAnsi="Times New Roman" w:cs="Times New Roman"/>
          <w:sz w:val="24"/>
          <w:szCs w:val="24"/>
        </w:rPr>
        <w:t xml:space="preserve">-year </w:t>
      </w:r>
      <w:r w:rsidR="001E15EB">
        <w:rPr>
          <w:rFonts w:ascii="Times New Roman" w:hAnsi="Times New Roman" w:cs="Times New Roman"/>
          <w:sz w:val="24"/>
          <w:szCs w:val="24"/>
        </w:rPr>
        <w:t xml:space="preserve">sample period. Panel A depicts the performance of </w:t>
      </w:r>
      <w:r w:rsidR="0011714D">
        <w:rPr>
          <w:rFonts w:ascii="Times New Roman" w:hAnsi="Times New Roman" w:cs="Times New Roman"/>
          <w:sz w:val="24"/>
          <w:szCs w:val="24"/>
        </w:rPr>
        <w:t xml:space="preserve">the </w:t>
      </w:r>
      <w:r w:rsidR="001E15EB">
        <w:rPr>
          <w:rFonts w:ascii="Times New Roman" w:hAnsi="Times New Roman" w:cs="Times New Roman"/>
          <w:sz w:val="24"/>
          <w:szCs w:val="24"/>
        </w:rPr>
        <w:t>RW strategies</w:t>
      </w:r>
      <w:r w:rsidR="00B11CF3">
        <w:rPr>
          <w:rFonts w:ascii="Times New Roman" w:hAnsi="Times New Roman" w:cs="Times New Roman"/>
          <w:sz w:val="24"/>
          <w:szCs w:val="24"/>
        </w:rPr>
        <w:t xml:space="preserve">. </w:t>
      </w:r>
      <w:r w:rsidR="00063581">
        <w:rPr>
          <w:rFonts w:ascii="Times New Roman" w:hAnsi="Times New Roman" w:cs="Times New Roman"/>
          <w:sz w:val="24"/>
          <w:szCs w:val="24"/>
        </w:rPr>
        <w:t>A</w:t>
      </w:r>
      <w:r w:rsidR="001E15EB">
        <w:rPr>
          <w:rFonts w:ascii="Times New Roman" w:hAnsi="Times New Roman" w:cs="Times New Roman"/>
          <w:sz w:val="24"/>
          <w:szCs w:val="24"/>
        </w:rPr>
        <w:t xml:space="preserve">n investor in the long-short strategy among high </w:t>
      </w:r>
      <w:r w:rsidR="004264F4" w:rsidRPr="00C84568">
        <w:rPr>
          <w:rFonts w:ascii="Times New Roman" w:hAnsi="Times New Roman" w:cs="Times New Roman"/>
          <w:i/>
          <w:iCs/>
          <w:sz w:val="24"/>
          <w:szCs w:val="24"/>
        </w:rPr>
        <w:t>VU</w:t>
      </w:r>
      <w:r w:rsidR="00D64E98">
        <w:rPr>
          <w:rFonts w:ascii="Times New Roman" w:hAnsi="Times New Roman" w:cs="Times New Roman"/>
          <w:sz w:val="24"/>
          <w:szCs w:val="24"/>
        </w:rPr>
        <w:t xml:space="preserve"> </w:t>
      </w:r>
      <w:r w:rsidR="001E15EB">
        <w:rPr>
          <w:rFonts w:ascii="Times New Roman" w:hAnsi="Times New Roman" w:cs="Times New Roman"/>
          <w:sz w:val="24"/>
          <w:szCs w:val="24"/>
        </w:rPr>
        <w:t xml:space="preserve">stocks would have earned a cumulative return of </w:t>
      </w:r>
      <w:r w:rsidR="00B2468D">
        <w:rPr>
          <w:rFonts w:ascii="Times New Roman" w:hAnsi="Times New Roman" w:cs="Times New Roman"/>
          <w:sz w:val="24"/>
          <w:szCs w:val="24"/>
        </w:rPr>
        <w:t>653</w:t>
      </w:r>
      <w:r w:rsidR="001E15EB">
        <w:rPr>
          <w:rFonts w:ascii="Times New Roman" w:hAnsi="Times New Roman" w:cs="Times New Roman"/>
          <w:sz w:val="24"/>
          <w:szCs w:val="24"/>
        </w:rPr>
        <w:t xml:space="preserve">%, as compared to only </w:t>
      </w:r>
      <w:r w:rsidR="00821ED7">
        <w:rPr>
          <w:rFonts w:ascii="Times New Roman" w:hAnsi="Times New Roman" w:cs="Times New Roman"/>
          <w:sz w:val="24"/>
          <w:szCs w:val="24"/>
        </w:rPr>
        <w:t>179</w:t>
      </w:r>
      <w:r w:rsidR="001E15EB">
        <w:rPr>
          <w:rFonts w:ascii="Times New Roman" w:hAnsi="Times New Roman" w:cs="Times New Roman"/>
          <w:sz w:val="24"/>
          <w:szCs w:val="24"/>
        </w:rPr>
        <w:t xml:space="preserve">% for the same strategy among low </w:t>
      </w:r>
      <w:r w:rsidR="004264F4" w:rsidRPr="00C84568">
        <w:rPr>
          <w:rFonts w:ascii="Times New Roman" w:hAnsi="Times New Roman" w:cs="Times New Roman"/>
          <w:i/>
          <w:iCs/>
          <w:sz w:val="24"/>
          <w:szCs w:val="24"/>
        </w:rPr>
        <w:t>VU</w:t>
      </w:r>
      <w:r w:rsidR="001E15EB">
        <w:rPr>
          <w:rFonts w:ascii="Times New Roman" w:hAnsi="Times New Roman" w:cs="Times New Roman"/>
          <w:sz w:val="24"/>
          <w:szCs w:val="24"/>
        </w:rPr>
        <w:t xml:space="preserve"> stocks. </w:t>
      </w:r>
      <w:r w:rsidR="00D64E98">
        <w:rPr>
          <w:rFonts w:ascii="Times New Roman" w:hAnsi="Times New Roman" w:cs="Times New Roman"/>
          <w:sz w:val="24"/>
          <w:szCs w:val="24"/>
        </w:rPr>
        <w:t>In Panel B we t</w:t>
      </w:r>
      <w:r w:rsidR="001E15EB">
        <w:rPr>
          <w:rFonts w:ascii="Times New Roman" w:hAnsi="Times New Roman" w:cs="Times New Roman"/>
          <w:sz w:val="24"/>
          <w:szCs w:val="24"/>
        </w:rPr>
        <w:t>urn to the VW strategies</w:t>
      </w:r>
      <w:r w:rsidR="008B3110">
        <w:rPr>
          <w:rFonts w:ascii="Times New Roman" w:hAnsi="Times New Roman" w:cs="Times New Roman"/>
          <w:sz w:val="24"/>
          <w:szCs w:val="24"/>
        </w:rPr>
        <w:t xml:space="preserve">. </w:t>
      </w:r>
      <w:r w:rsidR="00063581">
        <w:rPr>
          <w:rFonts w:ascii="Times New Roman" w:hAnsi="Times New Roman" w:cs="Times New Roman"/>
          <w:sz w:val="24"/>
          <w:szCs w:val="24"/>
        </w:rPr>
        <w:t>Here,</w:t>
      </w:r>
      <w:r w:rsidR="001E15EB">
        <w:rPr>
          <w:rFonts w:ascii="Times New Roman" w:hAnsi="Times New Roman" w:cs="Times New Roman"/>
          <w:sz w:val="24"/>
          <w:szCs w:val="24"/>
        </w:rPr>
        <w:t xml:space="preserve"> </w:t>
      </w:r>
      <w:r w:rsidR="005231A9">
        <w:rPr>
          <w:rFonts w:ascii="Times New Roman" w:hAnsi="Times New Roman" w:cs="Times New Roman"/>
          <w:sz w:val="24"/>
          <w:szCs w:val="24"/>
        </w:rPr>
        <w:t xml:space="preserve">trading on price-to-value among high </w:t>
      </w:r>
      <w:r w:rsidR="004264F4" w:rsidRPr="00C84568">
        <w:rPr>
          <w:rFonts w:ascii="Times New Roman" w:hAnsi="Times New Roman" w:cs="Times New Roman"/>
          <w:i/>
          <w:iCs/>
          <w:sz w:val="24"/>
          <w:szCs w:val="24"/>
        </w:rPr>
        <w:t>VU</w:t>
      </w:r>
      <w:r w:rsidR="005231A9">
        <w:rPr>
          <w:rFonts w:ascii="Times New Roman" w:hAnsi="Times New Roman" w:cs="Times New Roman"/>
          <w:sz w:val="24"/>
          <w:szCs w:val="24"/>
        </w:rPr>
        <w:t xml:space="preserve"> stocks </w:t>
      </w:r>
      <w:r w:rsidR="001E15EB">
        <w:rPr>
          <w:rFonts w:ascii="Times New Roman" w:hAnsi="Times New Roman" w:cs="Times New Roman"/>
          <w:sz w:val="24"/>
          <w:szCs w:val="24"/>
        </w:rPr>
        <w:t>would have earne</w:t>
      </w:r>
      <w:r w:rsidR="00566C21">
        <w:rPr>
          <w:rFonts w:ascii="Times New Roman" w:hAnsi="Times New Roman" w:cs="Times New Roman"/>
          <w:sz w:val="24"/>
          <w:szCs w:val="24"/>
        </w:rPr>
        <w:t xml:space="preserve">d a cumulative return of </w:t>
      </w:r>
      <w:r w:rsidR="00F94E30">
        <w:rPr>
          <w:rFonts w:ascii="Times New Roman" w:hAnsi="Times New Roman" w:cs="Times New Roman"/>
          <w:sz w:val="24"/>
          <w:szCs w:val="24"/>
        </w:rPr>
        <w:t>482</w:t>
      </w:r>
      <w:r w:rsidR="005231A9">
        <w:rPr>
          <w:rFonts w:ascii="Times New Roman" w:hAnsi="Times New Roman" w:cs="Times New Roman"/>
          <w:sz w:val="24"/>
          <w:szCs w:val="24"/>
        </w:rPr>
        <w:t>%</w:t>
      </w:r>
      <w:r w:rsidR="001E15EB">
        <w:rPr>
          <w:rFonts w:ascii="Times New Roman" w:hAnsi="Times New Roman" w:cs="Times New Roman"/>
          <w:sz w:val="24"/>
          <w:szCs w:val="24"/>
        </w:rPr>
        <w:t xml:space="preserve">, </w:t>
      </w:r>
      <w:r w:rsidR="00063581">
        <w:rPr>
          <w:rFonts w:ascii="Times New Roman" w:hAnsi="Times New Roman" w:cs="Times New Roman"/>
          <w:sz w:val="24"/>
          <w:szCs w:val="24"/>
        </w:rPr>
        <w:t>versus</w:t>
      </w:r>
      <w:r w:rsidR="00566C21" w:rsidRPr="00EB2D31">
        <w:rPr>
          <w:rFonts w:ascii="Times New Roman" w:hAnsi="Times New Roman" w:cs="Times New Roman"/>
          <w:sz w:val="24"/>
          <w:szCs w:val="24"/>
        </w:rPr>
        <w:t xml:space="preserve"> </w:t>
      </w:r>
      <w:r w:rsidR="00EC1591" w:rsidRPr="00EB2D31">
        <w:rPr>
          <w:rFonts w:ascii="Times New Roman" w:hAnsi="Times New Roman" w:cs="Times New Roman"/>
          <w:sz w:val="24"/>
          <w:szCs w:val="24"/>
        </w:rPr>
        <w:t xml:space="preserve">only </w:t>
      </w:r>
      <w:r w:rsidR="00BF21A5">
        <w:rPr>
          <w:rFonts w:ascii="Times New Roman" w:hAnsi="Times New Roman" w:cs="Times New Roman"/>
          <w:sz w:val="24"/>
          <w:szCs w:val="24"/>
        </w:rPr>
        <w:t>137</w:t>
      </w:r>
      <w:r w:rsidR="00566C21" w:rsidRPr="00EB2D31">
        <w:rPr>
          <w:rFonts w:ascii="Times New Roman" w:hAnsi="Times New Roman" w:cs="Times New Roman"/>
          <w:sz w:val="24"/>
          <w:szCs w:val="24"/>
        </w:rPr>
        <w:t xml:space="preserve">% </w:t>
      </w:r>
      <w:r w:rsidR="00344760" w:rsidRPr="00EB2D31">
        <w:rPr>
          <w:rFonts w:ascii="Times New Roman" w:hAnsi="Times New Roman" w:cs="Times New Roman"/>
          <w:sz w:val="24"/>
          <w:szCs w:val="24"/>
        </w:rPr>
        <w:t xml:space="preserve">if </w:t>
      </w:r>
      <w:r w:rsidR="001E15EB" w:rsidRPr="00EB2D31">
        <w:rPr>
          <w:rFonts w:ascii="Times New Roman" w:hAnsi="Times New Roman" w:cs="Times New Roman"/>
          <w:sz w:val="24"/>
          <w:szCs w:val="24"/>
        </w:rPr>
        <w:t xml:space="preserve">the strategy </w:t>
      </w:r>
      <w:r w:rsidR="00344760" w:rsidRPr="00EB2D31">
        <w:rPr>
          <w:rFonts w:ascii="Times New Roman" w:hAnsi="Times New Roman" w:cs="Times New Roman"/>
          <w:sz w:val="24"/>
          <w:szCs w:val="24"/>
        </w:rPr>
        <w:t xml:space="preserve">was </w:t>
      </w:r>
      <w:r w:rsidR="001E15EB" w:rsidRPr="00EB2D31">
        <w:rPr>
          <w:rFonts w:ascii="Times New Roman" w:hAnsi="Times New Roman" w:cs="Times New Roman"/>
          <w:sz w:val="24"/>
          <w:szCs w:val="24"/>
        </w:rPr>
        <w:t xml:space="preserve">implemented among low </w:t>
      </w:r>
      <w:r w:rsidR="004264F4" w:rsidRPr="00EB2D31">
        <w:rPr>
          <w:rFonts w:ascii="Times New Roman" w:hAnsi="Times New Roman" w:cs="Times New Roman"/>
          <w:i/>
          <w:iCs/>
          <w:sz w:val="24"/>
          <w:szCs w:val="24"/>
        </w:rPr>
        <w:t>VU</w:t>
      </w:r>
      <w:r w:rsidR="001E15EB" w:rsidRPr="00EB2D31">
        <w:rPr>
          <w:rFonts w:ascii="Times New Roman" w:hAnsi="Times New Roman" w:cs="Times New Roman"/>
          <w:sz w:val="24"/>
          <w:szCs w:val="24"/>
        </w:rPr>
        <w:t xml:space="preserve"> stocks.</w:t>
      </w:r>
      <w:r w:rsidR="00AD13EB" w:rsidRPr="00EB2D31">
        <w:rPr>
          <w:rFonts w:ascii="Times New Roman" w:hAnsi="Times New Roman" w:cs="Times New Roman"/>
          <w:sz w:val="24"/>
          <w:szCs w:val="24"/>
        </w:rPr>
        <w:t xml:space="preserve"> </w:t>
      </w:r>
    </w:p>
    <w:p w14:paraId="4BCE2138" w14:textId="759BC570" w:rsidR="009A5D76" w:rsidRDefault="00797ABF"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Overall</w:t>
      </w:r>
      <w:r w:rsidR="001A3714">
        <w:rPr>
          <w:rFonts w:ascii="Times New Roman" w:hAnsi="Times New Roman" w:cs="Times New Roman"/>
          <w:sz w:val="24"/>
          <w:szCs w:val="24"/>
        </w:rPr>
        <w:t xml:space="preserve">, the results reported in this section </w:t>
      </w:r>
      <w:r w:rsidR="00BC4BAA">
        <w:rPr>
          <w:rFonts w:ascii="Times New Roman" w:hAnsi="Times New Roman" w:cs="Times New Roman"/>
          <w:sz w:val="24"/>
          <w:szCs w:val="24"/>
        </w:rPr>
        <w:t xml:space="preserve">support </w:t>
      </w:r>
      <w:r w:rsidR="001157FE">
        <w:rPr>
          <w:rFonts w:ascii="Times New Roman" w:hAnsi="Times New Roman" w:cs="Times New Roman"/>
          <w:i/>
          <w:sz w:val="24"/>
          <w:szCs w:val="24"/>
        </w:rPr>
        <w:t>H1</w:t>
      </w:r>
      <w:r w:rsidR="00F13DFF">
        <w:rPr>
          <w:rFonts w:ascii="Times New Roman" w:hAnsi="Times New Roman" w:cs="Times New Roman"/>
          <w:sz w:val="24"/>
          <w:szCs w:val="24"/>
        </w:rPr>
        <w:t>. T</w:t>
      </w:r>
      <w:r w:rsidR="00BC4BAA">
        <w:rPr>
          <w:rFonts w:ascii="Times New Roman" w:hAnsi="Times New Roman" w:cs="Times New Roman"/>
          <w:sz w:val="24"/>
          <w:szCs w:val="24"/>
        </w:rPr>
        <w:t>he long-short</w:t>
      </w:r>
      <w:r>
        <w:rPr>
          <w:rFonts w:ascii="Times New Roman" w:hAnsi="Times New Roman" w:cs="Times New Roman"/>
          <w:sz w:val="24"/>
          <w:szCs w:val="24"/>
        </w:rPr>
        <w:t xml:space="preserve"> strategy that exploits deviations</w:t>
      </w:r>
      <w:r w:rsidR="00C92578">
        <w:rPr>
          <w:rFonts w:ascii="Times New Roman" w:hAnsi="Times New Roman" w:cs="Times New Roman"/>
          <w:sz w:val="24"/>
          <w:szCs w:val="24"/>
        </w:rPr>
        <w:t xml:space="preserve"> of stock prices</w:t>
      </w:r>
      <w:r>
        <w:rPr>
          <w:rFonts w:ascii="Times New Roman" w:hAnsi="Times New Roman" w:cs="Times New Roman"/>
          <w:sz w:val="24"/>
          <w:szCs w:val="24"/>
        </w:rPr>
        <w:t xml:space="preserve"> from fundamental value is more profitable among high </w:t>
      </w:r>
      <w:r w:rsidR="00014A4C" w:rsidRPr="00121F86">
        <w:rPr>
          <w:rFonts w:ascii="Times New Roman" w:hAnsi="Times New Roman" w:cs="Times New Roman"/>
          <w:i/>
          <w:iCs/>
          <w:sz w:val="24"/>
          <w:szCs w:val="24"/>
        </w:rPr>
        <w:t>VU</w:t>
      </w:r>
      <w:r>
        <w:rPr>
          <w:rFonts w:ascii="Times New Roman" w:hAnsi="Times New Roman" w:cs="Times New Roman"/>
          <w:sz w:val="24"/>
          <w:szCs w:val="24"/>
        </w:rPr>
        <w:t xml:space="preserve"> stocks</w:t>
      </w:r>
      <w:r w:rsidR="00014A4C">
        <w:rPr>
          <w:rFonts w:ascii="Times New Roman" w:hAnsi="Times New Roman" w:cs="Times New Roman"/>
          <w:sz w:val="24"/>
          <w:szCs w:val="24"/>
        </w:rPr>
        <w:t xml:space="preserve">, which is </w:t>
      </w:r>
      <w:r w:rsidR="001A3714">
        <w:rPr>
          <w:rFonts w:ascii="Times New Roman" w:hAnsi="Times New Roman" w:cs="Times New Roman"/>
          <w:sz w:val="24"/>
          <w:szCs w:val="24"/>
        </w:rPr>
        <w:t>consistent with our overarching hypothesis</w:t>
      </w:r>
      <w:r w:rsidR="00014A4C">
        <w:rPr>
          <w:rFonts w:ascii="Times New Roman" w:hAnsi="Times New Roman" w:cs="Times New Roman"/>
          <w:sz w:val="24"/>
          <w:szCs w:val="24"/>
        </w:rPr>
        <w:t xml:space="preserve"> </w:t>
      </w:r>
      <w:r w:rsidR="00BC4BAA">
        <w:rPr>
          <w:rFonts w:ascii="Times New Roman" w:hAnsi="Times New Roman" w:cs="Times New Roman"/>
          <w:sz w:val="24"/>
          <w:szCs w:val="24"/>
        </w:rPr>
        <w:t>that</w:t>
      </w:r>
      <w:r w:rsidR="001A3714">
        <w:rPr>
          <w:rFonts w:ascii="Times New Roman" w:hAnsi="Times New Roman" w:cs="Times New Roman"/>
          <w:sz w:val="24"/>
          <w:szCs w:val="24"/>
        </w:rPr>
        <w:t xml:space="preserve"> </w:t>
      </w:r>
      <w:r w:rsidR="00BC4BAA">
        <w:rPr>
          <w:rFonts w:ascii="Times New Roman" w:hAnsi="Times New Roman" w:cs="Times New Roman"/>
          <w:sz w:val="24"/>
          <w:szCs w:val="24"/>
        </w:rPr>
        <w:t xml:space="preserve">valuation uncertainty promotes valuation mistakes. </w:t>
      </w:r>
      <w:r w:rsidR="001A3714">
        <w:rPr>
          <w:rFonts w:ascii="Times New Roman" w:hAnsi="Times New Roman" w:cs="Times New Roman"/>
          <w:sz w:val="24"/>
          <w:szCs w:val="24"/>
        </w:rPr>
        <w:t>Nevertheless,</w:t>
      </w:r>
      <w:r w:rsidR="00C92578">
        <w:rPr>
          <w:rFonts w:ascii="Times New Roman" w:hAnsi="Times New Roman" w:cs="Times New Roman"/>
          <w:sz w:val="24"/>
          <w:szCs w:val="24"/>
        </w:rPr>
        <w:t xml:space="preserve"> </w:t>
      </w:r>
      <w:r w:rsidR="00014A4C">
        <w:rPr>
          <w:rFonts w:ascii="Times New Roman" w:hAnsi="Times New Roman" w:cs="Times New Roman"/>
          <w:sz w:val="24"/>
          <w:szCs w:val="24"/>
        </w:rPr>
        <w:t>a risk</w:t>
      </w:r>
      <w:r w:rsidR="001A3714">
        <w:rPr>
          <w:rFonts w:ascii="Times New Roman" w:hAnsi="Times New Roman" w:cs="Times New Roman"/>
          <w:sz w:val="24"/>
          <w:szCs w:val="24"/>
        </w:rPr>
        <w:t xml:space="preserve"> premium interpretation</w:t>
      </w:r>
      <w:r w:rsidR="00014A4C">
        <w:rPr>
          <w:rFonts w:ascii="Times New Roman" w:hAnsi="Times New Roman" w:cs="Times New Roman"/>
          <w:sz w:val="24"/>
          <w:szCs w:val="24"/>
        </w:rPr>
        <w:t xml:space="preserve"> of our findings here is also possible</w:t>
      </w:r>
      <w:r w:rsidR="001A3714">
        <w:rPr>
          <w:rFonts w:ascii="Times New Roman" w:hAnsi="Times New Roman" w:cs="Times New Roman"/>
          <w:sz w:val="24"/>
          <w:szCs w:val="24"/>
        </w:rPr>
        <w:t>.</w:t>
      </w:r>
      <w:r w:rsidR="00FA1B21">
        <w:rPr>
          <w:rFonts w:ascii="Times New Roman" w:hAnsi="Times New Roman" w:cs="Times New Roman"/>
          <w:sz w:val="24"/>
          <w:szCs w:val="24"/>
        </w:rPr>
        <w:t xml:space="preserve"> </w:t>
      </w:r>
      <w:r w:rsidR="001A3714">
        <w:rPr>
          <w:rFonts w:ascii="Times New Roman" w:hAnsi="Times New Roman" w:cs="Times New Roman"/>
          <w:sz w:val="24"/>
          <w:szCs w:val="24"/>
        </w:rPr>
        <w:t>In particular, it is possible that sorts on price-to-value are picking up a value-relevant characteristic – omitted from our empirical valuation model – that represents a priced source of risk.</w:t>
      </w:r>
      <w:r w:rsidR="00FA1B21">
        <w:rPr>
          <w:rFonts w:ascii="Times New Roman" w:hAnsi="Times New Roman" w:cs="Times New Roman"/>
          <w:sz w:val="24"/>
          <w:szCs w:val="24"/>
        </w:rPr>
        <w:t xml:space="preserve"> </w:t>
      </w:r>
      <w:r w:rsidR="00385D66">
        <w:rPr>
          <w:rFonts w:ascii="Times New Roman" w:hAnsi="Times New Roman" w:cs="Times New Roman"/>
          <w:sz w:val="24"/>
          <w:szCs w:val="24"/>
        </w:rPr>
        <w:t>If so</w:t>
      </w:r>
      <w:r w:rsidR="002F38A1">
        <w:rPr>
          <w:rFonts w:ascii="Times New Roman" w:hAnsi="Times New Roman" w:cs="Times New Roman"/>
          <w:sz w:val="24"/>
          <w:szCs w:val="24"/>
        </w:rPr>
        <w:t xml:space="preserve">, conditioning on high </w:t>
      </w:r>
      <w:r w:rsidR="00014A4C" w:rsidRPr="00120A89">
        <w:rPr>
          <w:rFonts w:ascii="Times New Roman" w:hAnsi="Times New Roman" w:cs="Times New Roman"/>
          <w:i/>
          <w:iCs/>
          <w:sz w:val="24"/>
          <w:szCs w:val="24"/>
        </w:rPr>
        <w:t>VU</w:t>
      </w:r>
      <w:r w:rsidR="002F38A1">
        <w:rPr>
          <w:rFonts w:ascii="Times New Roman" w:hAnsi="Times New Roman" w:cs="Times New Roman"/>
          <w:sz w:val="24"/>
          <w:szCs w:val="24"/>
        </w:rPr>
        <w:t xml:space="preserve"> intensifies differences in risk between “value” and “growth”.</w:t>
      </w:r>
      <w:r w:rsidR="00FA1B21">
        <w:rPr>
          <w:rFonts w:ascii="Times New Roman" w:hAnsi="Times New Roman" w:cs="Times New Roman"/>
          <w:sz w:val="24"/>
          <w:szCs w:val="24"/>
        </w:rPr>
        <w:t xml:space="preserve"> </w:t>
      </w:r>
    </w:p>
    <w:p w14:paraId="3DDD3736" w14:textId="4B555082" w:rsidR="005D718D" w:rsidRDefault="00FA1B21"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Note that</w:t>
      </w:r>
      <w:r w:rsidR="00331D36">
        <w:rPr>
          <w:rFonts w:ascii="Times New Roman" w:hAnsi="Times New Roman" w:cs="Times New Roman"/>
          <w:sz w:val="24"/>
          <w:szCs w:val="24"/>
        </w:rPr>
        <w:t>, for our purposes,</w:t>
      </w:r>
      <w:r>
        <w:rPr>
          <w:rFonts w:ascii="Times New Roman" w:hAnsi="Times New Roman" w:cs="Times New Roman"/>
          <w:sz w:val="24"/>
          <w:szCs w:val="24"/>
        </w:rPr>
        <w:t xml:space="preserve"> it is </w:t>
      </w:r>
      <w:r w:rsidRPr="00331D36">
        <w:rPr>
          <w:rFonts w:ascii="Times New Roman" w:hAnsi="Times New Roman" w:cs="Times New Roman"/>
          <w:i/>
          <w:sz w:val="24"/>
          <w:szCs w:val="24"/>
        </w:rPr>
        <w:t>n</w:t>
      </w:r>
      <w:r w:rsidR="00331D36" w:rsidRPr="00331D36">
        <w:rPr>
          <w:rFonts w:ascii="Times New Roman" w:hAnsi="Times New Roman" w:cs="Times New Roman"/>
          <w:i/>
          <w:sz w:val="24"/>
          <w:szCs w:val="24"/>
        </w:rPr>
        <w:t>ot</w:t>
      </w:r>
      <w:r w:rsidR="00331D36">
        <w:rPr>
          <w:rFonts w:ascii="Times New Roman" w:hAnsi="Times New Roman" w:cs="Times New Roman"/>
          <w:sz w:val="24"/>
          <w:szCs w:val="24"/>
        </w:rPr>
        <w:t xml:space="preserve"> necessary to rule out differences in risk between “value” and “growth”</w:t>
      </w:r>
      <w:r w:rsidR="00B25E75">
        <w:rPr>
          <w:rFonts w:ascii="Times New Roman" w:hAnsi="Times New Roman" w:cs="Times New Roman"/>
          <w:sz w:val="24"/>
          <w:szCs w:val="24"/>
        </w:rPr>
        <w:t xml:space="preserve"> across </w:t>
      </w:r>
      <w:r w:rsidR="004264F4" w:rsidRPr="00C84568">
        <w:rPr>
          <w:rFonts w:ascii="Times New Roman" w:hAnsi="Times New Roman" w:cs="Times New Roman"/>
          <w:i/>
          <w:iCs/>
          <w:sz w:val="24"/>
          <w:szCs w:val="24"/>
        </w:rPr>
        <w:t>VU</w:t>
      </w:r>
      <w:r w:rsidR="00B25E75">
        <w:rPr>
          <w:rFonts w:ascii="Times New Roman" w:hAnsi="Times New Roman" w:cs="Times New Roman"/>
          <w:sz w:val="24"/>
          <w:szCs w:val="24"/>
        </w:rPr>
        <w:t xml:space="preserve"> portfolios. </w:t>
      </w:r>
      <w:r w:rsidR="00331D36">
        <w:rPr>
          <w:rFonts w:ascii="Times New Roman" w:hAnsi="Times New Roman" w:cs="Times New Roman"/>
          <w:sz w:val="24"/>
          <w:szCs w:val="24"/>
        </w:rPr>
        <w:t xml:space="preserve">Instead, </w:t>
      </w:r>
      <w:r>
        <w:rPr>
          <w:rFonts w:ascii="Times New Roman" w:hAnsi="Times New Roman" w:cs="Times New Roman"/>
          <w:sz w:val="24"/>
          <w:szCs w:val="24"/>
        </w:rPr>
        <w:t xml:space="preserve">it is sufficient to demonstrate that </w:t>
      </w:r>
      <w:r w:rsidR="00331D36">
        <w:rPr>
          <w:rFonts w:ascii="Times New Roman" w:hAnsi="Times New Roman" w:cs="Times New Roman"/>
          <w:sz w:val="24"/>
          <w:szCs w:val="24"/>
        </w:rPr>
        <w:t xml:space="preserve">differences in risk </w:t>
      </w:r>
      <w:r w:rsidR="00331D36" w:rsidRPr="00C92578">
        <w:rPr>
          <w:rFonts w:ascii="Times New Roman" w:hAnsi="Times New Roman" w:cs="Times New Roman"/>
          <w:i/>
          <w:sz w:val="24"/>
          <w:szCs w:val="24"/>
        </w:rPr>
        <w:t>alone</w:t>
      </w:r>
      <w:r w:rsidR="00331D36">
        <w:rPr>
          <w:rFonts w:ascii="Times New Roman" w:hAnsi="Times New Roman" w:cs="Times New Roman"/>
          <w:sz w:val="24"/>
          <w:szCs w:val="24"/>
        </w:rPr>
        <w:t xml:space="preserve"> cannot account for the entire return </w:t>
      </w:r>
      <w:r w:rsidR="00F109F7">
        <w:rPr>
          <w:rFonts w:ascii="Times New Roman" w:hAnsi="Times New Roman" w:cs="Times New Roman"/>
          <w:sz w:val="24"/>
          <w:szCs w:val="24"/>
        </w:rPr>
        <w:t xml:space="preserve">premium </w:t>
      </w:r>
      <w:r w:rsidR="005B7900">
        <w:rPr>
          <w:rFonts w:ascii="Times New Roman" w:hAnsi="Times New Roman" w:cs="Times New Roman"/>
          <w:sz w:val="24"/>
          <w:szCs w:val="24"/>
        </w:rPr>
        <w:t>we document</w:t>
      </w:r>
      <w:r w:rsidR="00331D36">
        <w:rPr>
          <w:rFonts w:ascii="Times New Roman" w:hAnsi="Times New Roman" w:cs="Times New Roman"/>
          <w:sz w:val="24"/>
          <w:szCs w:val="24"/>
        </w:rPr>
        <w:t>.</w:t>
      </w:r>
      <w:r w:rsidR="00026D1D">
        <w:rPr>
          <w:rFonts w:ascii="Times New Roman" w:hAnsi="Times New Roman" w:cs="Times New Roman"/>
          <w:sz w:val="24"/>
          <w:szCs w:val="24"/>
        </w:rPr>
        <w:t xml:space="preserve"> Our results provide two indications</w:t>
      </w:r>
      <w:r w:rsidR="00CB0EFD">
        <w:rPr>
          <w:rFonts w:ascii="Times New Roman" w:hAnsi="Times New Roman" w:cs="Times New Roman"/>
          <w:sz w:val="24"/>
          <w:szCs w:val="24"/>
        </w:rPr>
        <w:t xml:space="preserve"> of this</w:t>
      </w:r>
      <w:r w:rsidR="00026D1D">
        <w:rPr>
          <w:rFonts w:ascii="Times New Roman" w:hAnsi="Times New Roman" w:cs="Times New Roman"/>
          <w:sz w:val="24"/>
          <w:szCs w:val="24"/>
        </w:rPr>
        <w:t xml:space="preserve">. </w:t>
      </w:r>
      <w:r w:rsidR="00CB0EFD">
        <w:rPr>
          <w:rFonts w:ascii="Times New Roman" w:hAnsi="Times New Roman" w:cs="Times New Roman"/>
          <w:sz w:val="24"/>
          <w:szCs w:val="24"/>
        </w:rPr>
        <w:t>First, consider</w:t>
      </w:r>
      <w:r w:rsidR="00026D1D">
        <w:rPr>
          <w:rFonts w:ascii="Times New Roman" w:hAnsi="Times New Roman" w:cs="Times New Roman"/>
          <w:sz w:val="24"/>
          <w:szCs w:val="24"/>
        </w:rPr>
        <w:t xml:space="preserve"> the magnitude of the return on high</w:t>
      </w:r>
      <w:r w:rsidR="004264F4" w:rsidRPr="004264F4">
        <w:rPr>
          <w:rFonts w:ascii="Times New Roman" w:hAnsi="Times New Roman" w:cs="Times New Roman"/>
          <w:i/>
          <w:iCs/>
          <w:sz w:val="24"/>
          <w:szCs w:val="24"/>
        </w:rPr>
        <w:t xml:space="preserve"> </w:t>
      </w:r>
      <w:r w:rsidR="004264F4" w:rsidRPr="00C84568">
        <w:rPr>
          <w:rFonts w:ascii="Times New Roman" w:hAnsi="Times New Roman" w:cs="Times New Roman"/>
          <w:i/>
          <w:iCs/>
          <w:sz w:val="24"/>
          <w:szCs w:val="24"/>
        </w:rPr>
        <w:t>VU</w:t>
      </w:r>
      <w:r w:rsidR="00026D1D">
        <w:rPr>
          <w:rFonts w:ascii="Times New Roman" w:hAnsi="Times New Roman" w:cs="Times New Roman"/>
          <w:sz w:val="24"/>
          <w:szCs w:val="24"/>
        </w:rPr>
        <w:t xml:space="preserve"> “growth” stocks. On </w:t>
      </w:r>
      <w:r w:rsidR="00026D1D">
        <w:rPr>
          <w:rFonts w:ascii="Times New Roman" w:hAnsi="Times New Roman" w:cs="Times New Roman"/>
          <w:sz w:val="24"/>
          <w:szCs w:val="24"/>
        </w:rPr>
        <w:lastRenderedPageBreak/>
        <w:t xml:space="preserve">average, </w:t>
      </w:r>
      <w:r w:rsidR="00CB0EFD">
        <w:rPr>
          <w:rFonts w:ascii="Times New Roman" w:hAnsi="Times New Roman" w:cs="Times New Roman"/>
          <w:sz w:val="24"/>
          <w:szCs w:val="24"/>
        </w:rPr>
        <w:t>they</w:t>
      </w:r>
      <w:r w:rsidR="00026D1D">
        <w:rPr>
          <w:rFonts w:ascii="Times New Roman" w:hAnsi="Times New Roman" w:cs="Times New Roman"/>
          <w:sz w:val="24"/>
          <w:szCs w:val="24"/>
        </w:rPr>
        <w:t xml:space="preserve"> earn a monthly return of 0.</w:t>
      </w:r>
      <w:r w:rsidR="00C026A5">
        <w:rPr>
          <w:rFonts w:ascii="Times New Roman" w:hAnsi="Times New Roman" w:cs="Times New Roman"/>
          <w:sz w:val="24"/>
          <w:szCs w:val="24"/>
        </w:rPr>
        <w:t>38</w:t>
      </w:r>
      <w:r w:rsidR="00026D1D">
        <w:rPr>
          <w:rFonts w:ascii="Times New Roman" w:hAnsi="Times New Roman" w:cs="Times New Roman"/>
          <w:sz w:val="24"/>
          <w:szCs w:val="24"/>
        </w:rPr>
        <w:t xml:space="preserve">% (Panel A of Table </w:t>
      </w:r>
      <w:r w:rsidR="002017C3">
        <w:rPr>
          <w:rFonts w:ascii="Times New Roman" w:hAnsi="Times New Roman" w:cs="Times New Roman"/>
          <w:sz w:val="24"/>
          <w:szCs w:val="24"/>
        </w:rPr>
        <w:t>6</w:t>
      </w:r>
      <w:r w:rsidR="00026D1D">
        <w:rPr>
          <w:rFonts w:ascii="Times New Roman" w:hAnsi="Times New Roman" w:cs="Times New Roman"/>
          <w:sz w:val="24"/>
          <w:szCs w:val="24"/>
        </w:rPr>
        <w:t>).</w:t>
      </w:r>
      <w:r w:rsidR="00D34E8B">
        <w:rPr>
          <w:rFonts w:ascii="Times New Roman" w:hAnsi="Times New Roman" w:cs="Times New Roman"/>
          <w:sz w:val="24"/>
          <w:szCs w:val="24"/>
        </w:rPr>
        <w:t xml:space="preserve"> For comparison, the</w:t>
      </w:r>
      <w:r w:rsidR="00011734">
        <w:rPr>
          <w:rFonts w:ascii="Times New Roman" w:hAnsi="Times New Roman" w:cs="Times New Roman"/>
          <w:sz w:val="24"/>
          <w:szCs w:val="24"/>
        </w:rPr>
        <w:t xml:space="preserve"> return on the</w:t>
      </w:r>
      <w:r w:rsidR="00D34E8B">
        <w:rPr>
          <w:rFonts w:ascii="Times New Roman" w:hAnsi="Times New Roman" w:cs="Times New Roman"/>
          <w:sz w:val="24"/>
          <w:szCs w:val="24"/>
        </w:rPr>
        <w:t xml:space="preserve"> one-month </w:t>
      </w:r>
      <w:r w:rsidR="00011734">
        <w:rPr>
          <w:rFonts w:ascii="Times New Roman" w:hAnsi="Times New Roman" w:cs="Times New Roman"/>
          <w:sz w:val="24"/>
          <w:szCs w:val="24"/>
        </w:rPr>
        <w:t xml:space="preserve">T-bill </w:t>
      </w:r>
      <w:r w:rsidR="00D34E8B">
        <w:rPr>
          <w:rFonts w:ascii="Times New Roman" w:hAnsi="Times New Roman" w:cs="Times New Roman"/>
          <w:sz w:val="24"/>
          <w:szCs w:val="24"/>
        </w:rPr>
        <w:t>over our sample period is 0.</w:t>
      </w:r>
      <w:r w:rsidR="00CF5248">
        <w:rPr>
          <w:rFonts w:ascii="Times New Roman" w:hAnsi="Times New Roman" w:cs="Times New Roman"/>
          <w:sz w:val="24"/>
          <w:szCs w:val="24"/>
        </w:rPr>
        <w:t>35</w:t>
      </w:r>
      <w:r w:rsidR="005B7900">
        <w:rPr>
          <w:rFonts w:ascii="Times New Roman" w:hAnsi="Times New Roman" w:cs="Times New Roman"/>
          <w:sz w:val="24"/>
          <w:szCs w:val="24"/>
        </w:rPr>
        <w:t>%.</w:t>
      </w:r>
      <w:r w:rsidR="005B7900">
        <w:rPr>
          <w:rStyle w:val="FootnoteReference"/>
          <w:rFonts w:ascii="Times New Roman" w:hAnsi="Times New Roman" w:cs="Times New Roman"/>
          <w:sz w:val="24"/>
          <w:szCs w:val="24"/>
        </w:rPr>
        <w:footnoteReference w:id="30"/>
      </w:r>
      <w:r w:rsidR="005B7900">
        <w:rPr>
          <w:rFonts w:ascii="Times New Roman" w:hAnsi="Times New Roman" w:cs="Times New Roman"/>
          <w:sz w:val="24"/>
          <w:szCs w:val="24"/>
        </w:rPr>
        <w:t xml:space="preserve"> In other words, high valuation uncertainty</w:t>
      </w:r>
      <w:r w:rsidR="00011734">
        <w:rPr>
          <w:rFonts w:ascii="Times New Roman" w:hAnsi="Times New Roman" w:cs="Times New Roman"/>
          <w:sz w:val="24"/>
          <w:szCs w:val="24"/>
        </w:rPr>
        <w:t xml:space="preserve"> </w:t>
      </w:r>
      <w:r w:rsidR="00790C65">
        <w:rPr>
          <w:rFonts w:ascii="Times New Roman" w:hAnsi="Times New Roman" w:cs="Times New Roman"/>
          <w:sz w:val="24"/>
          <w:szCs w:val="24"/>
        </w:rPr>
        <w:t>“</w:t>
      </w:r>
      <w:r w:rsidR="00670D58">
        <w:rPr>
          <w:rFonts w:ascii="Times New Roman" w:hAnsi="Times New Roman" w:cs="Times New Roman"/>
          <w:sz w:val="24"/>
          <w:szCs w:val="24"/>
        </w:rPr>
        <w:t>growth</w:t>
      </w:r>
      <w:r w:rsidR="00790C65">
        <w:rPr>
          <w:rFonts w:ascii="Times New Roman" w:hAnsi="Times New Roman" w:cs="Times New Roman"/>
          <w:sz w:val="24"/>
          <w:szCs w:val="24"/>
        </w:rPr>
        <w:t>”</w:t>
      </w:r>
      <w:r w:rsidR="00670D58">
        <w:rPr>
          <w:rFonts w:ascii="Times New Roman" w:hAnsi="Times New Roman" w:cs="Times New Roman"/>
          <w:sz w:val="24"/>
          <w:szCs w:val="24"/>
        </w:rPr>
        <w:t xml:space="preserve"> </w:t>
      </w:r>
      <w:r w:rsidR="00011734">
        <w:rPr>
          <w:rFonts w:ascii="Times New Roman" w:hAnsi="Times New Roman" w:cs="Times New Roman"/>
          <w:sz w:val="24"/>
          <w:szCs w:val="24"/>
        </w:rPr>
        <w:t>stocks have delivered average returns that are statistically indistinguishable fro</w:t>
      </w:r>
      <w:r w:rsidR="00552F39">
        <w:rPr>
          <w:rFonts w:ascii="Times New Roman" w:hAnsi="Times New Roman" w:cs="Times New Roman"/>
          <w:sz w:val="24"/>
          <w:szCs w:val="24"/>
        </w:rPr>
        <w:t>m those on the risk-free asset</w:t>
      </w:r>
      <w:r w:rsidR="00011734">
        <w:rPr>
          <w:rFonts w:ascii="Times New Roman" w:hAnsi="Times New Roman" w:cs="Times New Roman"/>
          <w:sz w:val="24"/>
          <w:szCs w:val="24"/>
        </w:rPr>
        <w:t xml:space="preserve">. </w:t>
      </w:r>
      <w:r w:rsidR="001F3791">
        <w:rPr>
          <w:rFonts w:ascii="Times New Roman" w:hAnsi="Times New Roman" w:cs="Times New Roman"/>
          <w:sz w:val="24"/>
          <w:szCs w:val="24"/>
        </w:rPr>
        <w:t>I</w:t>
      </w:r>
      <w:r w:rsidR="00011734">
        <w:rPr>
          <w:rFonts w:ascii="Times New Roman" w:hAnsi="Times New Roman" w:cs="Times New Roman"/>
          <w:sz w:val="24"/>
          <w:szCs w:val="24"/>
        </w:rPr>
        <w:t xml:space="preserve">f the returns we document are determined </w:t>
      </w:r>
      <w:r w:rsidR="00BD7532">
        <w:rPr>
          <w:rFonts w:ascii="Times New Roman" w:hAnsi="Times New Roman" w:cs="Times New Roman"/>
          <w:sz w:val="24"/>
          <w:szCs w:val="24"/>
        </w:rPr>
        <w:t>purely by risk premia, then our portfolio of</w:t>
      </w:r>
      <w:r w:rsidR="00FB3656">
        <w:rPr>
          <w:rFonts w:ascii="Times New Roman" w:hAnsi="Times New Roman" w:cs="Times New Roman"/>
          <w:sz w:val="24"/>
          <w:szCs w:val="24"/>
        </w:rPr>
        <w:t xml:space="preserve"> high </w:t>
      </w:r>
      <w:r w:rsidR="0065303D" w:rsidRPr="00C84568">
        <w:rPr>
          <w:rFonts w:ascii="Times New Roman" w:hAnsi="Times New Roman" w:cs="Times New Roman"/>
          <w:i/>
          <w:iCs/>
          <w:sz w:val="24"/>
          <w:szCs w:val="24"/>
        </w:rPr>
        <w:t>VU</w:t>
      </w:r>
      <w:r w:rsidR="00FB3656">
        <w:rPr>
          <w:rFonts w:ascii="Times New Roman" w:hAnsi="Times New Roman" w:cs="Times New Roman"/>
          <w:sz w:val="24"/>
          <w:szCs w:val="24"/>
        </w:rPr>
        <w:t xml:space="preserve"> </w:t>
      </w:r>
      <w:r w:rsidR="00011734">
        <w:rPr>
          <w:rFonts w:ascii="Times New Roman" w:hAnsi="Times New Roman" w:cs="Times New Roman"/>
          <w:sz w:val="24"/>
          <w:szCs w:val="24"/>
        </w:rPr>
        <w:t xml:space="preserve">“growth” stocks must be risk-free. </w:t>
      </w:r>
      <w:r w:rsidR="001071EE">
        <w:rPr>
          <w:rFonts w:ascii="Times New Roman" w:hAnsi="Times New Roman" w:cs="Times New Roman"/>
          <w:sz w:val="24"/>
          <w:szCs w:val="24"/>
        </w:rPr>
        <w:t xml:space="preserve">We view this as unlikely. </w:t>
      </w:r>
      <w:r w:rsidR="0065303D">
        <w:rPr>
          <w:rFonts w:ascii="Times New Roman" w:hAnsi="Times New Roman" w:cs="Times New Roman"/>
          <w:sz w:val="24"/>
          <w:szCs w:val="24"/>
        </w:rPr>
        <w:t>More plausibly,</w:t>
      </w:r>
      <w:r w:rsidR="001071EE">
        <w:rPr>
          <w:rFonts w:ascii="Times New Roman" w:hAnsi="Times New Roman" w:cs="Times New Roman"/>
          <w:sz w:val="24"/>
          <w:szCs w:val="24"/>
        </w:rPr>
        <w:t xml:space="preserve"> the aver</w:t>
      </w:r>
      <w:r w:rsidR="006C2DD2">
        <w:rPr>
          <w:rFonts w:ascii="Times New Roman" w:hAnsi="Times New Roman" w:cs="Times New Roman"/>
          <w:sz w:val="24"/>
          <w:szCs w:val="24"/>
        </w:rPr>
        <w:t>age returns on these stocks are</w:t>
      </w:r>
      <w:r w:rsidR="00F076FE">
        <w:rPr>
          <w:rFonts w:ascii="Times New Roman" w:hAnsi="Times New Roman" w:cs="Times New Roman"/>
          <w:sz w:val="24"/>
          <w:szCs w:val="24"/>
        </w:rPr>
        <w:t xml:space="preserve"> </w:t>
      </w:r>
      <w:r w:rsidR="001071EE">
        <w:rPr>
          <w:rFonts w:ascii="Times New Roman" w:hAnsi="Times New Roman" w:cs="Times New Roman"/>
          <w:sz w:val="24"/>
          <w:szCs w:val="24"/>
        </w:rPr>
        <w:t>low because they contain</w:t>
      </w:r>
      <w:r w:rsidR="006C2DD2">
        <w:rPr>
          <w:rFonts w:ascii="Times New Roman" w:hAnsi="Times New Roman" w:cs="Times New Roman"/>
          <w:sz w:val="24"/>
          <w:szCs w:val="24"/>
        </w:rPr>
        <w:t xml:space="preserve"> corrections </w:t>
      </w:r>
      <w:r w:rsidR="001071EE">
        <w:rPr>
          <w:rFonts w:ascii="Times New Roman" w:hAnsi="Times New Roman" w:cs="Times New Roman"/>
          <w:sz w:val="24"/>
          <w:szCs w:val="24"/>
        </w:rPr>
        <w:t>of overvaluation.</w:t>
      </w:r>
      <w:r w:rsidR="006C2DD2">
        <w:rPr>
          <w:rFonts w:ascii="Times New Roman" w:hAnsi="Times New Roman" w:cs="Times New Roman"/>
          <w:sz w:val="24"/>
          <w:szCs w:val="24"/>
        </w:rPr>
        <w:t xml:space="preserve"> </w:t>
      </w:r>
    </w:p>
    <w:p w14:paraId="6A9BF299" w14:textId="299895F6" w:rsidR="00190178" w:rsidRDefault="006C2DD2"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The second aspect of our results that speaks against risk pre</w:t>
      </w:r>
      <w:r w:rsidR="00966FEF">
        <w:rPr>
          <w:rFonts w:ascii="Times New Roman" w:hAnsi="Times New Roman" w:cs="Times New Roman"/>
          <w:sz w:val="24"/>
          <w:szCs w:val="24"/>
        </w:rPr>
        <w:t xml:space="preserve">mium </w:t>
      </w:r>
      <w:r w:rsidR="00FF5283">
        <w:rPr>
          <w:rFonts w:ascii="Times New Roman" w:hAnsi="Times New Roman" w:cs="Times New Roman"/>
          <w:sz w:val="24"/>
          <w:szCs w:val="24"/>
        </w:rPr>
        <w:t xml:space="preserve">being the sole explanation for the </w:t>
      </w:r>
      <w:r w:rsidR="00790C65">
        <w:rPr>
          <w:rFonts w:ascii="Times New Roman" w:hAnsi="Times New Roman" w:cs="Times New Roman"/>
          <w:sz w:val="24"/>
          <w:szCs w:val="24"/>
        </w:rPr>
        <w:t xml:space="preserve">return differential </w:t>
      </w:r>
      <w:r w:rsidR="00FF5283">
        <w:rPr>
          <w:rFonts w:ascii="Times New Roman" w:hAnsi="Times New Roman" w:cs="Times New Roman"/>
          <w:sz w:val="24"/>
          <w:szCs w:val="24"/>
        </w:rPr>
        <w:t>we document</w:t>
      </w:r>
      <w:r w:rsidR="00966FEF">
        <w:rPr>
          <w:rFonts w:ascii="Times New Roman" w:hAnsi="Times New Roman" w:cs="Times New Roman"/>
          <w:sz w:val="24"/>
          <w:szCs w:val="24"/>
        </w:rPr>
        <w:t xml:space="preserve"> is the magnitude of the Sharpe ratio</w:t>
      </w:r>
      <w:r w:rsidR="00855E26">
        <w:rPr>
          <w:rFonts w:ascii="Times New Roman" w:hAnsi="Times New Roman" w:cs="Times New Roman"/>
          <w:sz w:val="24"/>
          <w:szCs w:val="24"/>
        </w:rPr>
        <w:t>.</w:t>
      </w:r>
      <w:r w:rsidR="00966FEF">
        <w:rPr>
          <w:rFonts w:ascii="Times New Roman" w:hAnsi="Times New Roman" w:cs="Times New Roman"/>
          <w:sz w:val="24"/>
          <w:szCs w:val="24"/>
        </w:rPr>
        <w:t xml:space="preserve"> </w:t>
      </w:r>
      <w:r w:rsidR="00855E26">
        <w:rPr>
          <w:rFonts w:ascii="Times New Roman" w:hAnsi="Times New Roman" w:cs="Times New Roman"/>
          <w:sz w:val="24"/>
          <w:szCs w:val="24"/>
        </w:rPr>
        <w:t>A</w:t>
      </w:r>
      <w:r w:rsidR="00966FEF">
        <w:rPr>
          <w:rFonts w:ascii="Times New Roman" w:hAnsi="Times New Roman" w:cs="Times New Roman"/>
          <w:sz w:val="24"/>
          <w:szCs w:val="24"/>
        </w:rPr>
        <w:t>mong high</w:t>
      </w:r>
      <w:r w:rsidR="004264F4" w:rsidRPr="004264F4">
        <w:rPr>
          <w:rFonts w:ascii="Times New Roman" w:hAnsi="Times New Roman" w:cs="Times New Roman"/>
          <w:i/>
          <w:iCs/>
          <w:sz w:val="24"/>
          <w:szCs w:val="24"/>
        </w:rPr>
        <w:t xml:space="preserve"> </w:t>
      </w:r>
      <w:r w:rsidR="004264F4" w:rsidRPr="00C84568">
        <w:rPr>
          <w:rFonts w:ascii="Times New Roman" w:hAnsi="Times New Roman" w:cs="Times New Roman"/>
          <w:i/>
          <w:iCs/>
          <w:sz w:val="24"/>
          <w:szCs w:val="24"/>
        </w:rPr>
        <w:t>VU</w:t>
      </w:r>
      <w:r w:rsidR="00966FEF">
        <w:rPr>
          <w:rFonts w:ascii="Times New Roman" w:hAnsi="Times New Roman" w:cs="Times New Roman"/>
          <w:sz w:val="24"/>
          <w:szCs w:val="24"/>
        </w:rPr>
        <w:t xml:space="preserve"> stocks</w:t>
      </w:r>
      <w:r w:rsidR="00B25E75">
        <w:rPr>
          <w:rFonts w:ascii="Times New Roman" w:hAnsi="Times New Roman" w:cs="Times New Roman"/>
          <w:sz w:val="24"/>
          <w:szCs w:val="24"/>
        </w:rPr>
        <w:t xml:space="preserve"> </w:t>
      </w:r>
      <w:r w:rsidR="00855E26">
        <w:rPr>
          <w:rFonts w:ascii="Times New Roman" w:hAnsi="Times New Roman" w:cs="Times New Roman"/>
          <w:sz w:val="24"/>
          <w:szCs w:val="24"/>
        </w:rPr>
        <w:t xml:space="preserve">the Sharpe ratio </w:t>
      </w:r>
      <w:r w:rsidR="00B25E75">
        <w:rPr>
          <w:rFonts w:ascii="Times New Roman" w:hAnsi="Times New Roman" w:cs="Times New Roman"/>
          <w:sz w:val="24"/>
          <w:szCs w:val="24"/>
        </w:rPr>
        <w:t>is</w:t>
      </w:r>
      <w:r w:rsidR="00966FEF">
        <w:rPr>
          <w:rFonts w:ascii="Times New Roman" w:hAnsi="Times New Roman" w:cs="Times New Roman"/>
          <w:sz w:val="24"/>
          <w:szCs w:val="24"/>
        </w:rPr>
        <w:t xml:space="preserve"> as high as </w:t>
      </w:r>
      <w:r w:rsidR="009D1865">
        <w:rPr>
          <w:rFonts w:ascii="Times New Roman" w:hAnsi="Times New Roman" w:cs="Times New Roman"/>
          <w:sz w:val="24"/>
          <w:szCs w:val="24"/>
        </w:rPr>
        <w:t>0</w:t>
      </w:r>
      <w:r w:rsidR="00966FEF">
        <w:rPr>
          <w:rFonts w:ascii="Times New Roman" w:hAnsi="Times New Roman" w:cs="Times New Roman"/>
          <w:sz w:val="24"/>
          <w:szCs w:val="24"/>
        </w:rPr>
        <w:t>.</w:t>
      </w:r>
      <w:r w:rsidR="00C026A5">
        <w:rPr>
          <w:rFonts w:ascii="Times New Roman" w:hAnsi="Times New Roman" w:cs="Times New Roman"/>
          <w:sz w:val="24"/>
          <w:szCs w:val="24"/>
        </w:rPr>
        <w:t>97</w:t>
      </w:r>
      <w:r w:rsidR="00966FEF">
        <w:rPr>
          <w:rFonts w:ascii="Times New Roman" w:hAnsi="Times New Roman" w:cs="Times New Roman"/>
          <w:sz w:val="24"/>
          <w:szCs w:val="24"/>
        </w:rPr>
        <w:t>. For comparison, the market risk premium (excess market return) over our sample period is 0.</w:t>
      </w:r>
      <w:r w:rsidR="009D1865">
        <w:rPr>
          <w:rFonts w:ascii="Times New Roman" w:hAnsi="Times New Roman" w:cs="Times New Roman"/>
          <w:sz w:val="24"/>
          <w:szCs w:val="24"/>
        </w:rPr>
        <w:t>67</w:t>
      </w:r>
      <w:r w:rsidR="00966FEF">
        <w:rPr>
          <w:rFonts w:ascii="Times New Roman" w:hAnsi="Times New Roman" w:cs="Times New Roman"/>
          <w:sz w:val="24"/>
          <w:szCs w:val="24"/>
        </w:rPr>
        <w:t>% per month, with a Sharpe ratio of 0.</w:t>
      </w:r>
      <w:r w:rsidR="00D637E2">
        <w:rPr>
          <w:rFonts w:ascii="Times New Roman" w:hAnsi="Times New Roman" w:cs="Times New Roman"/>
          <w:sz w:val="24"/>
          <w:szCs w:val="24"/>
        </w:rPr>
        <w:t>51</w:t>
      </w:r>
      <w:r w:rsidR="00966FEF">
        <w:rPr>
          <w:rFonts w:ascii="Times New Roman" w:hAnsi="Times New Roman" w:cs="Times New Roman"/>
          <w:sz w:val="24"/>
          <w:szCs w:val="24"/>
        </w:rPr>
        <w:t xml:space="preserve">. In other words, the compensation </w:t>
      </w:r>
      <w:r w:rsidR="009E24D5">
        <w:rPr>
          <w:rFonts w:ascii="Times New Roman" w:hAnsi="Times New Roman" w:cs="Times New Roman"/>
          <w:sz w:val="24"/>
          <w:szCs w:val="24"/>
        </w:rPr>
        <w:t xml:space="preserve">demanded by investors </w:t>
      </w:r>
      <w:r w:rsidR="00966FEF">
        <w:rPr>
          <w:rFonts w:ascii="Times New Roman" w:hAnsi="Times New Roman" w:cs="Times New Roman"/>
          <w:sz w:val="24"/>
          <w:szCs w:val="24"/>
        </w:rPr>
        <w:t>for bearing the risk</w:t>
      </w:r>
      <w:r w:rsidR="009E24D5">
        <w:rPr>
          <w:rFonts w:ascii="Times New Roman" w:hAnsi="Times New Roman" w:cs="Times New Roman"/>
          <w:sz w:val="24"/>
          <w:szCs w:val="24"/>
        </w:rPr>
        <w:t xml:space="preserve"> in our value-like strategy</w:t>
      </w:r>
      <w:r w:rsidR="00966FEF">
        <w:rPr>
          <w:rFonts w:ascii="Times New Roman" w:hAnsi="Times New Roman" w:cs="Times New Roman"/>
          <w:sz w:val="24"/>
          <w:szCs w:val="24"/>
        </w:rPr>
        <w:t xml:space="preserve"> is</w:t>
      </w:r>
      <w:r w:rsidR="00D637E2">
        <w:rPr>
          <w:rFonts w:ascii="Times New Roman" w:hAnsi="Times New Roman" w:cs="Times New Roman"/>
          <w:sz w:val="24"/>
          <w:szCs w:val="24"/>
        </w:rPr>
        <w:t xml:space="preserve"> almost</w:t>
      </w:r>
      <w:r w:rsidR="00966FEF">
        <w:rPr>
          <w:rFonts w:ascii="Times New Roman" w:hAnsi="Times New Roman" w:cs="Times New Roman"/>
          <w:sz w:val="24"/>
          <w:szCs w:val="24"/>
        </w:rPr>
        <w:t xml:space="preserve"> </w:t>
      </w:r>
      <w:r w:rsidR="009E24D5">
        <w:rPr>
          <w:rFonts w:ascii="Times New Roman" w:hAnsi="Times New Roman" w:cs="Times New Roman"/>
          <w:sz w:val="24"/>
          <w:szCs w:val="24"/>
        </w:rPr>
        <w:t>twice as high as that for bearing</w:t>
      </w:r>
      <w:r w:rsidR="00566C21">
        <w:rPr>
          <w:rFonts w:ascii="Times New Roman" w:hAnsi="Times New Roman" w:cs="Times New Roman"/>
          <w:sz w:val="24"/>
          <w:szCs w:val="24"/>
        </w:rPr>
        <w:t xml:space="preserve"> overall</w:t>
      </w:r>
      <w:r w:rsidR="009E24D5">
        <w:rPr>
          <w:rFonts w:ascii="Times New Roman" w:hAnsi="Times New Roman" w:cs="Times New Roman"/>
          <w:sz w:val="24"/>
          <w:szCs w:val="24"/>
        </w:rPr>
        <w:t xml:space="preserve"> market risk.</w:t>
      </w:r>
      <w:r w:rsidR="005D718D">
        <w:rPr>
          <w:rFonts w:ascii="Times New Roman" w:hAnsi="Times New Roman" w:cs="Times New Roman"/>
          <w:sz w:val="24"/>
          <w:szCs w:val="24"/>
        </w:rPr>
        <w:t xml:space="preserve"> </w:t>
      </w:r>
      <w:r w:rsidR="00190537">
        <w:rPr>
          <w:rFonts w:ascii="Times New Roman" w:hAnsi="Times New Roman" w:cs="Times New Roman"/>
          <w:sz w:val="24"/>
          <w:szCs w:val="24"/>
        </w:rPr>
        <w:t>W</w:t>
      </w:r>
      <w:r w:rsidR="005D718D">
        <w:rPr>
          <w:rFonts w:ascii="Times New Roman" w:hAnsi="Times New Roman" w:cs="Times New Roman"/>
          <w:sz w:val="24"/>
          <w:szCs w:val="24"/>
        </w:rPr>
        <w:t xml:space="preserve">hile </w:t>
      </w:r>
      <w:r w:rsidR="00566C21">
        <w:rPr>
          <w:rFonts w:ascii="Times New Roman" w:hAnsi="Times New Roman" w:cs="Times New Roman"/>
          <w:sz w:val="24"/>
          <w:szCs w:val="24"/>
        </w:rPr>
        <w:t xml:space="preserve">this is </w:t>
      </w:r>
      <w:r w:rsidR="005D718D">
        <w:rPr>
          <w:rFonts w:ascii="Times New Roman" w:hAnsi="Times New Roman" w:cs="Times New Roman"/>
          <w:sz w:val="24"/>
          <w:szCs w:val="24"/>
        </w:rPr>
        <w:t>not entirely impossible, a</w:t>
      </w:r>
      <w:r w:rsidR="005D718D" w:rsidRPr="00CB546D">
        <w:rPr>
          <w:rFonts w:ascii="Times New Roman" w:hAnsi="Times New Roman" w:cs="Times New Roman"/>
          <w:sz w:val="24"/>
          <w:szCs w:val="24"/>
        </w:rPr>
        <w:t xml:space="preserve"> more realistic explanation is that the </w:t>
      </w:r>
      <w:r w:rsidR="00566C21">
        <w:rPr>
          <w:rFonts w:ascii="Times New Roman" w:hAnsi="Times New Roman" w:cs="Times New Roman"/>
          <w:sz w:val="24"/>
          <w:szCs w:val="24"/>
        </w:rPr>
        <w:t>return premium</w:t>
      </w:r>
      <w:r w:rsidR="005D718D">
        <w:rPr>
          <w:rFonts w:ascii="Times New Roman" w:hAnsi="Times New Roman" w:cs="Times New Roman"/>
          <w:sz w:val="24"/>
          <w:szCs w:val="24"/>
        </w:rPr>
        <w:t xml:space="preserve"> among high</w:t>
      </w:r>
      <w:r w:rsidR="004264F4" w:rsidRPr="004264F4">
        <w:rPr>
          <w:rFonts w:ascii="Times New Roman" w:hAnsi="Times New Roman" w:cs="Times New Roman"/>
          <w:i/>
          <w:iCs/>
          <w:sz w:val="24"/>
          <w:szCs w:val="24"/>
        </w:rPr>
        <w:t xml:space="preserve"> </w:t>
      </w:r>
      <w:r w:rsidR="004264F4" w:rsidRPr="00C84568">
        <w:rPr>
          <w:rFonts w:ascii="Times New Roman" w:hAnsi="Times New Roman" w:cs="Times New Roman"/>
          <w:i/>
          <w:iCs/>
          <w:sz w:val="24"/>
          <w:szCs w:val="24"/>
        </w:rPr>
        <w:t>VU</w:t>
      </w:r>
      <w:r w:rsidR="005D718D">
        <w:rPr>
          <w:rFonts w:ascii="Times New Roman" w:hAnsi="Times New Roman" w:cs="Times New Roman"/>
          <w:sz w:val="24"/>
          <w:szCs w:val="24"/>
        </w:rPr>
        <w:t xml:space="preserve"> stocks is </w:t>
      </w:r>
      <w:r w:rsidR="005D718D" w:rsidRPr="005D718D">
        <w:rPr>
          <w:rFonts w:ascii="Times New Roman" w:hAnsi="Times New Roman" w:cs="Times New Roman"/>
          <w:i/>
          <w:sz w:val="24"/>
          <w:szCs w:val="24"/>
        </w:rPr>
        <w:t>at least partially</w:t>
      </w:r>
      <w:r w:rsidR="005D718D">
        <w:rPr>
          <w:rFonts w:ascii="Times New Roman" w:hAnsi="Times New Roman" w:cs="Times New Roman"/>
          <w:sz w:val="24"/>
          <w:szCs w:val="24"/>
        </w:rPr>
        <w:t xml:space="preserve"> due to resolution of mispricing. Our tests of </w:t>
      </w:r>
      <w:r w:rsidR="0030742B">
        <w:rPr>
          <w:rFonts w:ascii="Times New Roman" w:hAnsi="Times New Roman" w:cs="Times New Roman"/>
          <w:i/>
          <w:sz w:val="24"/>
          <w:szCs w:val="24"/>
        </w:rPr>
        <w:t>H2</w:t>
      </w:r>
      <w:r w:rsidR="0030742B">
        <w:rPr>
          <w:rFonts w:ascii="Times New Roman" w:hAnsi="Times New Roman" w:cs="Times New Roman"/>
          <w:sz w:val="24"/>
          <w:szCs w:val="24"/>
        </w:rPr>
        <w:t xml:space="preserve"> </w:t>
      </w:r>
      <w:r w:rsidR="00642603">
        <w:rPr>
          <w:rFonts w:ascii="Times New Roman" w:hAnsi="Times New Roman" w:cs="Times New Roman"/>
          <w:sz w:val="24"/>
          <w:szCs w:val="24"/>
        </w:rPr>
        <w:t>below</w:t>
      </w:r>
      <w:r w:rsidR="009E38FA">
        <w:rPr>
          <w:rFonts w:ascii="Times New Roman" w:hAnsi="Times New Roman" w:cs="Times New Roman"/>
          <w:sz w:val="24"/>
          <w:szCs w:val="24"/>
        </w:rPr>
        <w:t xml:space="preserve"> </w:t>
      </w:r>
      <w:r w:rsidR="005D718D">
        <w:rPr>
          <w:rFonts w:ascii="Times New Roman" w:hAnsi="Times New Roman" w:cs="Times New Roman"/>
          <w:sz w:val="24"/>
          <w:szCs w:val="24"/>
        </w:rPr>
        <w:t>further support this interp</w:t>
      </w:r>
      <w:r w:rsidR="00FD1A21">
        <w:rPr>
          <w:rFonts w:ascii="Times New Roman" w:hAnsi="Times New Roman" w:cs="Times New Roman"/>
          <w:sz w:val="24"/>
          <w:szCs w:val="24"/>
        </w:rPr>
        <w:t>re</w:t>
      </w:r>
      <w:r w:rsidR="005D718D">
        <w:rPr>
          <w:rFonts w:ascii="Times New Roman" w:hAnsi="Times New Roman" w:cs="Times New Roman"/>
          <w:sz w:val="24"/>
          <w:szCs w:val="24"/>
        </w:rPr>
        <w:t>tation.</w:t>
      </w:r>
    </w:p>
    <w:p w14:paraId="2EAC80C6" w14:textId="2EA9972E" w:rsidR="00A24C65" w:rsidRPr="00F84B04" w:rsidRDefault="00A77F61" w:rsidP="002419BD">
      <w:pPr>
        <w:spacing w:before="120" w:after="0" w:line="480" w:lineRule="auto"/>
        <w:jc w:val="both"/>
        <w:rPr>
          <w:rFonts w:ascii="Times New Roman" w:hAnsi="Times New Roman" w:cs="Times New Roman"/>
          <w:b/>
          <w:bCs/>
          <w:iCs/>
          <w:sz w:val="24"/>
          <w:szCs w:val="24"/>
        </w:rPr>
      </w:pPr>
      <w:r w:rsidRPr="00F84B04">
        <w:rPr>
          <w:rFonts w:ascii="Times New Roman" w:hAnsi="Times New Roman" w:cs="Times New Roman"/>
          <w:b/>
          <w:bCs/>
          <w:iCs/>
          <w:sz w:val="24"/>
          <w:szCs w:val="24"/>
        </w:rPr>
        <w:t>Timing</w:t>
      </w:r>
      <w:r w:rsidR="008D7414" w:rsidRPr="00F84B04">
        <w:rPr>
          <w:rFonts w:ascii="Times New Roman" w:hAnsi="Times New Roman" w:cs="Times New Roman"/>
          <w:b/>
          <w:bCs/>
          <w:iCs/>
          <w:sz w:val="24"/>
          <w:szCs w:val="24"/>
        </w:rPr>
        <w:t xml:space="preserve"> </w:t>
      </w:r>
      <w:r w:rsidR="00F84B04">
        <w:rPr>
          <w:rFonts w:ascii="Times New Roman" w:hAnsi="Times New Roman" w:cs="Times New Roman"/>
          <w:b/>
          <w:bCs/>
          <w:iCs/>
          <w:sz w:val="24"/>
          <w:szCs w:val="24"/>
        </w:rPr>
        <w:t>L</w:t>
      </w:r>
      <w:r w:rsidR="008D7414" w:rsidRPr="00F84B04">
        <w:rPr>
          <w:rFonts w:ascii="Times New Roman" w:hAnsi="Times New Roman" w:cs="Times New Roman"/>
          <w:b/>
          <w:bCs/>
          <w:iCs/>
          <w:sz w:val="24"/>
          <w:szCs w:val="24"/>
        </w:rPr>
        <w:t xml:space="preserve">ong and </w:t>
      </w:r>
      <w:r w:rsidR="00F84B04">
        <w:rPr>
          <w:rFonts w:ascii="Times New Roman" w:hAnsi="Times New Roman" w:cs="Times New Roman"/>
          <w:b/>
          <w:bCs/>
          <w:iCs/>
          <w:sz w:val="24"/>
          <w:szCs w:val="24"/>
        </w:rPr>
        <w:t>S</w:t>
      </w:r>
      <w:r w:rsidR="008D7414" w:rsidRPr="00F84B04">
        <w:rPr>
          <w:rFonts w:ascii="Times New Roman" w:hAnsi="Times New Roman" w:cs="Times New Roman"/>
          <w:b/>
          <w:bCs/>
          <w:iCs/>
          <w:sz w:val="24"/>
          <w:szCs w:val="24"/>
        </w:rPr>
        <w:t>hort</w:t>
      </w:r>
      <w:r w:rsidR="00A24C65" w:rsidRPr="00F84B04">
        <w:rPr>
          <w:rFonts w:ascii="Times New Roman" w:hAnsi="Times New Roman" w:cs="Times New Roman"/>
          <w:b/>
          <w:bCs/>
          <w:iCs/>
          <w:sz w:val="24"/>
          <w:szCs w:val="24"/>
        </w:rPr>
        <w:t xml:space="preserve"> </w:t>
      </w:r>
      <w:r w:rsidR="00F84B04">
        <w:rPr>
          <w:rFonts w:ascii="Times New Roman" w:hAnsi="Times New Roman" w:cs="Times New Roman"/>
          <w:b/>
          <w:bCs/>
          <w:iCs/>
          <w:sz w:val="24"/>
          <w:szCs w:val="24"/>
        </w:rPr>
        <w:t>R</w:t>
      </w:r>
      <w:r w:rsidR="00A24C65" w:rsidRPr="00F84B04">
        <w:rPr>
          <w:rFonts w:ascii="Times New Roman" w:hAnsi="Times New Roman" w:cs="Times New Roman"/>
          <w:b/>
          <w:bCs/>
          <w:iCs/>
          <w:sz w:val="24"/>
          <w:szCs w:val="24"/>
        </w:rPr>
        <w:t xml:space="preserve">eturns with </w:t>
      </w:r>
      <w:r w:rsidR="00F84B04">
        <w:rPr>
          <w:rFonts w:ascii="Times New Roman" w:hAnsi="Times New Roman" w:cs="Times New Roman"/>
          <w:b/>
          <w:bCs/>
          <w:iCs/>
          <w:sz w:val="24"/>
          <w:szCs w:val="24"/>
        </w:rPr>
        <w:t>I</w:t>
      </w:r>
      <w:r w:rsidR="00A24C65" w:rsidRPr="00F84B04">
        <w:rPr>
          <w:rFonts w:ascii="Times New Roman" w:hAnsi="Times New Roman" w:cs="Times New Roman"/>
          <w:b/>
          <w:bCs/>
          <w:iCs/>
          <w:sz w:val="24"/>
          <w:szCs w:val="24"/>
        </w:rPr>
        <w:t xml:space="preserve">nvestor </w:t>
      </w:r>
      <w:r w:rsidR="00F84B04">
        <w:rPr>
          <w:rFonts w:ascii="Times New Roman" w:hAnsi="Times New Roman" w:cs="Times New Roman"/>
          <w:b/>
          <w:bCs/>
          <w:iCs/>
          <w:sz w:val="24"/>
          <w:szCs w:val="24"/>
        </w:rPr>
        <w:t>S</w:t>
      </w:r>
      <w:r w:rsidR="00A24C65" w:rsidRPr="00F84B04">
        <w:rPr>
          <w:rFonts w:ascii="Times New Roman" w:hAnsi="Times New Roman" w:cs="Times New Roman"/>
          <w:b/>
          <w:bCs/>
          <w:iCs/>
          <w:sz w:val="24"/>
          <w:szCs w:val="24"/>
        </w:rPr>
        <w:t>entiment</w:t>
      </w:r>
    </w:p>
    <w:p w14:paraId="2AD4F297" w14:textId="5A17EA1C" w:rsidR="00A77F61" w:rsidRDefault="00EF17A9"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Our next test builds on the work of </w:t>
      </w:r>
      <w:hyperlink w:anchor="_ENREF_64" w:tooltip="Stambaugh, 2012 #1647" w:history="1">
        <w:r w:rsidR="00A4299A">
          <w:rPr>
            <w:rFonts w:ascii="Times New Roman" w:hAnsi="Times New Roman" w:cs="Times New Roman"/>
            <w:sz w:val="24"/>
            <w:szCs w:val="24"/>
          </w:rPr>
          <w:fldChar w:fldCharType="begin"/>
        </w:r>
        <w:r w:rsidR="00A4299A">
          <w:rPr>
            <w:rFonts w:ascii="Times New Roman" w:hAnsi="Times New Roman" w:cs="Times New Roman"/>
            <w:sz w:val="24"/>
            <w:szCs w:val="24"/>
          </w:rPr>
          <w:instrText xml:space="preserve"> ADDIN EN.CITE &lt;EndNote&gt;&lt;Cite AuthorYear="1"&gt;&lt;Author&gt;Stambaugh&lt;/Author&gt;&lt;Year&gt;2012&lt;/Year&gt;&lt;RecNum&gt;1647&lt;/RecNum&gt;&lt;DisplayText&gt;Stambaugh, Yu, and Yuan (2012)&lt;/DisplayText&gt;&lt;record&gt;&lt;rec-number&gt;1647&lt;/rec-number&gt;&lt;foreign-keys&gt;&lt;key app="EN" db-id="a00ppf5vbz2zw4efraqp9recxrvdwwtasszf" timestamp="1636055780"&gt;1647&lt;/key&gt;&lt;/foreign-keys&gt;&lt;ref-type name="Journal Article"&gt;17&lt;/ref-type&gt;&lt;contributors&gt;&lt;authors&gt;&lt;author&gt;Stambaugh, Robert F.&lt;/author&gt;&lt;author&gt;Yu, Jianfeng&lt;/author&gt;&lt;author&gt;Yuan, Yu&lt;/author&gt;&lt;/authors&gt;&lt;/contributors&gt;&lt;titles&gt;&lt;title&gt;The short of it: Investor sentiment and anomalies&lt;/title&gt;&lt;secondary-title&gt;Journal of Financial Economics&lt;/secondary-title&gt;&lt;/titles&gt;&lt;periodical&gt;&lt;full-title&gt;Journal of Financial Economics&lt;/full-title&gt;&lt;/periodical&gt;&lt;pages&gt;288-302&lt;/pages&gt;&lt;volume&gt;104&lt;/volume&gt;&lt;number&gt;2&lt;/number&gt;&lt;keywords&gt;&lt;keyword&gt;CAPITALISTS &amp;amp; financiers&lt;/keyword&gt;&lt;keyword&gt;SENTIMENT analysis&lt;/keyword&gt;&lt;keyword&gt;STOCK exchanges&lt;/keyword&gt;&lt;keyword&gt;RATE of return&lt;/keyword&gt;&lt;keyword&gt;MARKETING research&lt;/keyword&gt;&lt;keyword&gt;PRICING&lt;/keyword&gt;&lt;keyword&gt;BUSINESS planning&lt;/keyword&gt;&lt;keyword&gt;PSYCHOLOGY&lt;/keyword&gt;&lt;keyword&gt;CROSS-sectional method&lt;/keyword&gt;&lt;keyword&gt;Anomalies&lt;/keyword&gt;&lt;keyword&gt;Investor sentiment&lt;/keyword&gt;&lt;/keywords&gt;&lt;dates&gt;&lt;year&gt;2012&lt;/year&gt;&lt;/dates&gt;&lt;isbn&gt;0304405X&lt;/isbn&gt;&lt;accession-num&gt;73528130&lt;/accession-num&gt;&lt;work-type&gt;Article&lt;/work-type&gt;&lt;urls&gt;&lt;related-urls&gt;&lt;url&gt;http://search.ebscohost.com/login.aspx?direct=true&amp;amp;db=bth&amp;amp;AN=73528130&amp;amp;site=ehost-live&lt;/url&gt;&lt;/related-urls&gt;&lt;/urls&gt;&lt;electronic-resource-num&gt;10.1016/j.jfineco.2011.12.001&lt;/electronic-resource-num&gt;&lt;remote-database-name&gt;bth&lt;/remote-database-name&gt;&lt;remote-database-provider&gt;EBSCOhost&lt;/remote-database-provider&gt;&lt;/record&gt;&lt;/Cite&gt;&lt;/EndNote&gt;</w:instrText>
        </w:r>
        <w:r w:rsidR="00A4299A">
          <w:rPr>
            <w:rFonts w:ascii="Times New Roman" w:hAnsi="Times New Roman" w:cs="Times New Roman"/>
            <w:sz w:val="24"/>
            <w:szCs w:val="24"/>
          </w:rPr>
          <w:fldChar w:fldCharType="separate"/>
        </w:r>
        <w:r w:rsidR="00A4299A">
          <w:rPr>
            <w:rFonts w:ascii="Times New Roman" w:hAnsi="Times New Roman" w:cs="Times New Roman"/>
            <w:noProof/>
            <w:sz w:val="24"/>
            <w:szCs w:val="24"/>
          </w:rPr>
          <w:t>Stambaugh, Yu, and Yuan (2012)</w:t>
        </w:r>
        <w:r w:rsidR="00A4299A">
          <w:rPr>
            <w:rFonts w:ascii="Times New Roman" w:hAnsi="Times New Roman" w:cs="Times New Roman"/>
            <w:sz w:val="24"/>
            <w:szCs w:val="24"/>
          </w:rPr>
          <w:fldChar w:fldCharType="end"/>
        </w:r>
      </w:hyperlink>
      <w:r w:rsidR="004F03EA">
        <w:rPr>
          <w:rFonts w:ascii="Times New Roman" w:hAnsi="Times New Roman" w:cs="Times New Roman"/>
          <w:sz w:val="24"/>
          <w:szCs w:val="24"/>
        </w:rPr>
        <w:t>, who show that</w:t>
      </w:r>
      <w:r w:rsidR="003B0007">
        <w:rPr>
          <w:rFonts w:ascii="Times New Roman" w:hAnsi="Times New Roman" w:cs="Times New Roman"/>
          <w:sz w:val="24"/>
          <w:szCs w:val="24"/>
        </w:rPr>
        <w:t xml:space="preserve"> stocks in</w:t>
      </w:r>
      <w:r w:rsidR="004F03EA">
        <w:rPr>
          <w:rFonts w:ascii="Times New Roman" w:hAnsi="Times New Roman" w:cs="Times New Roman"/>
          <w:sz w:val="24"/>
          <w:szCs w:val="24"/>
        </w:rPr>
        <w:t xml:space="preserve"> </w:t>
      </w:r>
      <w:r w:rsidR="004C4A44">
        <w:rPr>
          <w:rFonts w:ascii="Times New Roman" w:hAnsi="Times New Roman" w:cs="Times New Roman"/>
          <w:sz w:val="24"/>
          <w:szCs w:val="24"/>
        </w:rPr>
        <w:t xml:space="preserve">the </w:t>
      </w:r>
      <w:r w:rsidR="004F03EA">
        <w:rPr>
          <w:rFonts w:ascii="Times New Roman" w:hAnsi="Times New Roman" w:cs="Times New Roman"/>
          <w:sz w:val="24"/>
          <w:szCs w:val="24"/>
        </w:rPr>
        <w:t xml:space="preserve">short leg of 11 prominent anomaly strategies </w:t>
      </w:r>
      <w:r w:rsidR="002327FA">
        <w:rPr>
          <w:rFonts w:ascii="Times New Roman" w:hAnsi="Times New Roman" w:cs="Times New Roman"/>
          <w:sz w:val="24"/>
          <w:szCs w:val="24"/>
        </w:rPr>
        <w:t xml:space="preserve">earns </w:t>
      </w:r>
      <w:r w:rsidR="004F03EA">
        <w:rPr>
          <w:rFonts w:ascii="Times New Roman" w:hAnsi="Times New Roman" w:cs="Times New Roman"/>
          <w:sz w:val="24"/>
          <w:szCs w:val="24"/>
        </w:rPr>
        <w:t xml:space="preserve">significantly lower </w:t>
      </w:r>
      <w:r w:rsidR="002327FA">
        <w:rPr>
          <w:rFonts w:ascii="Times New Roman" w:hAnsi="Times New Roman" w:cs="Times New Roman"/>
          <w:sz w:val="24"/>
          <w:szCs w:val="24"/>
        </w:rPr>
        <w:t xml:space="preserve">returns </w:t>
      </w:r>
      <w:r w:rsidR="004F03EA">
        <w:rPr>
          <w:rFonts w:ascii="Times New Roman" w:hAnsi="Times New Roman" w:cs="Times New Roman"/>
          <w:sz w:val="24"/>
          <w:szCs w:val="24"/>
        </w:rPr>
        <w:t>following periods of high investor sentiment. The</w:t>
      </w:r>
      <w:r w:rsidR="00A91E32">
        <w:rPr>
          <w:rFonts w:ascii="Times New Roman" w:hAnsi="Times New Roman" w:cs="Times New Roman"/>
          <w:sz w:val="24"/>
          <w:szCs w:val="24"/>
        </w:rPr>
        <w:t xml:space="preserve"> authors</w:t>
      </w:r>
      <w:r w:rsidR="004F03EA">
        <w:rPr>
          <w:rFonts w:ascii="Times New Roman" w:hAnsi="Times New Roman" w:cs="Times New Roman"/>
          <w:sz w:val="24"/>
          <w:szCs w:val="24"/>
        </w:rPr>
        <w:t xml:space="preserve"> interpret their results as consistent with investor sentiment and short-sale constraints resulting in temporary overvaluation. Interestingly, they do </w:t>
      </w:r>
      <w:r w:rsidR="004F03EA" w:rsidRPr="00707DB5">
        <w:rPr>
          <w:rFonts w:ascii="Times New Roman" w:hAnsi="Times New Roman" w:cs="Times New Roman"/>
          <w:i/>
          <w:sz w:val="24"/>
          <w:szCs w:val="24"/>
        </w:rPr>
        <w:t>not</w:t>
      </w:r>
      <w:r w:rsidR="004F03EA">
        <w:rPr>
          <w:rFonts w:ascii="Times New Roman" w:hAnsi="Times New Roman" w:cs="Times New Roman"/>
          <w:sz w:val="24"/>
          <w:szCs w:val="24"/>
        </w:rPr>
        <w:t xml:space="preserve"> find such results for the conventional value strategy formed on the book-to-market ratio.</w:t>
      </w:r>
    </w:p>
    <w:p w14:paraId="466B4958" w14:textId="2EC6DCE5" w:rsidR="0015089C" w:rsidRDefault="008A2B45"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If our results so far </w:t>
      </w:r>
      <w:r w:rsidR="0031479B">
        <w:rPr>
          <w:rFonts w:ascii="Times New Roman" w:hAnsi="Times New Roman" w:cs="Times New Roman"/>
          <w:sz w:val="24"/>
          <w:szCs w:val="24"/>
        </w:rPr>
        <w:t>stem from</w:t>
      </w:r>
      <w:r>
        <w:rPr>
          <w:rFonts w:ascii="Times New Roman" w:hAnsi="Times New Roman" w:cs="Times New Roman"/>
          <w:sz w:val="24"/>
          <w:szCs w:val="24"/>
        </w:rPr>
        <w:t xml:space="preserve"> </w:t>
      </w:r>
      <w:r w:rsidR="004F03EA">
        <w:rPr>
          <w:rFonts w:ascii="Times New Roman" w:hAnsi="Times New Roman" w:cs="Times New Roman"/>
          <w:sz w:val="24"/>
          <w:szCs w:val="24"/>
        </w:rPr>
        <w:t>valuatio</w:t>
      </w:r>
      <w:r w:rsidR="0015089C">
        <w:rPr>
          <w:rFonts w:ascii="Times New Roman" w:hAnsi="Times New Roman" w:cs="Times New Roman"/>
          <w:sz w:val="24"/>
          <w:szCs w:val="24"/>
        </w:rPr>
        <w:t>n mistakes</w:t>
      </w:r>
      <w:r w:rsidR="00B23592">
        <w:rPr>
          <w:rFonts w:ascii="Times New Roman" w:hAnsi="Times New Roman" w:cs="Times New Roman"/>
          <w:sz w:val="24"/>
          <w:szCs w:val="24"/>
        </w:rPr>
        <w:t xml:space="preserve"> due to sentiment traders</w:t>
      </w:r>
      <w:r w:rsidR="0015089C">
        <w:rPr>
          <w:rFonts w:ascii="Times New Roman" w:hAnsi="Times New Roman" w:cs="Times New Roman"/>
          <w:sz w:val="24"/>
          <w:szCs w:val="24"/>
        </w:rPr>
        <w:t>, then we expect high price-to-value stocks</w:t>
      </w:r>
      <w:r w:rsidR="004F03EA">
        <w:rPr>
          <w:rFonts w:ascii="Times New Roman" w:hAnsi="Times New Roman" w:cs="Times New Roman"/>
          <w:sz w:val="24"/>
          <w:szCs w:val="24"/>
        </w:rPr>
        <w:t xml:space="preserve"> </w:t>
      </w:r>
      <w:r w:rsidR="0015089C">
        <w:rPr>
          <w:rFonts w:ascii="Times New Roman" w:hAnsi="Times New Roman" w:cs="Times New Roman"/>
          <w:sz w:val="24"/>
          <w:szCs w:val="24"/>
        </w:rPr>
        <w:t xml:space="preserve">to exhibit particularly low returns following periods of high investor </w:t>
      </w:r>
      <w:r w:rsidR="0015089C">
        <w:rPr>
          <w:rFonts w:ascii="Times New Roman" w:hAnsi="Times New Roman" w:cs="Times New Roman"/>
          <w:sz w:val="24"/>
          <w:szCs w:val="24"/>
        </w:rPr>
        <w:lastRenderedPageBreak/>
        <w:t xml:space="preserve">sentiment. Similarly, we expect low price-to-value stocks to exhibit particularly high returns following periods of low sentiment. Moreover, </w:t>
      </w:r>
      <w:r>
        <w:rPr>
          <w:rFonts w:ascii="Times New Roman" w:hAnsi="Times New Roman" w:cs="Times New Roman"/>
          <w:sz w:val="24"/>
          <w:szCs w:val="24"/>
        </w:rPr>
        <w:t xml:space="preserve">since investor sentiment is more likely to affect difficult-to-value stocks (Baker and Wurgler (2006)), </w:t>
      </w:r>
      <w:r w:rsidR="0015089C">
        <w:rPr>
          <w:rFonts w:ascii="Times New Roman" w:hAnsi="Times New Roman" w:cs="Times New Roman"/>
          <w:sz w:val="24"/>
          <w:szCs w:val="24"/>
        </w:rPr>
        <w:t xml:space="preserve">we expect these patterns to </w:t>
      </w:r>
      <w:r>
        <w:rPr>
          <w:rFonts w:ascii="Times New Roman" w:hAnsi="Times New Roman" w:cs="Times New Roman"/>
          <w:sz w:val="24"/>
          <w:szCs w:val="24"/>
        </w:rPr>
        <w:t xml:space="preserve">be strongest for </w:t>
      </w:r>
      <w:r w:rsidR="0015089C">
        <w:rPr>
          <w:rFonts w:ascii="Times New Roman" w:hAnsi="Times New Roman" w:cs="Times New Roman"/>
          <w:sz w:val="24"/>
          <w:szCs w:val="24"/>
        </w:rPr>
        <w:t>high valuation uncertainty stocks</w:t>
      </w:r>
      <w:r w:rsidR="009B045E">
        <w:rPr>
          <w:rFonts w:ascii="Times New Roman" w:hAnsi="Times New Roman" w:cs="Times New Roman"/>
          <w:sz w:val="24"/>
          <w:szCs w:val="24"/>
        </w:rPr>
        <w:t>, as per</w:t>
      </w:r>
      <w:r w:rsidR="003D20DC">
        <w:rPr>
          <w:rFonts w:ascii="Times New Roman" w:hAnsi="Times New Roman" w:cs="Times New Roman"/>
          <w:sz w:val="24"/>
          <w:szCs w:val="24"/>
        </w:rPr>
        <w:t xml:space="preserve"> </w:t>
      </w:r>
      <w:r w:rsidR="0030742B" w:rsidRPr="003D20DC">
        <w:rPr>
          <w:rFonts w:ascii="Times New Roman" w:hAnsi="Times New Roman" w:cs="Times New Roman"/>
          <w:i/>
          <w:sz w:val="24"/>
          <w:szCs w:val="24"/>
        </w:rPr>
        <w:t>H</w:t>
      </w:r>
      <w:r w:rsidR="0030742B">
        <w:rPr>
          <w:rFonts w:ascii="Times New Roman" w:hAnsi="Times New Roman" w:cs="Times New Roman"/>
          <w:i/>
          <w:sz w:val="24"/>
          <w:szCs w:val="24"/>
        </w:rPr>
        <w:t>2</w:t>
      </w:r>
      <w:r w:rsidR="0030742B">
        <w:rPr>
          <w:rFonts w:ascii="Times New Roman" w:hAnsi="Times New Roman" w:cs="Times New Roman"/>
          <w:sz w:val="24"/>
          <w:szCs w:val="24"/>
        </w:rPr>
        <w:t xml:space="preserve"> </w:t>
      </w:r>
      <w:r w:rsidR="003D20DC">
        <w:rPr>
          <w:rFonts w:ascii="Times New Roman" w:hAnsi="Times New Roman" w:cs="Times New Roman"/>
          <w:sz w:val="24"/>
          <w:szCs w:val="24"/>
        </w:rPr>
        <w:t>above. To test this prediction</w:t>
      </w:r>
      <w:r w:rsidR="00B05480">
        <w:rPr>
          <w:rFonts w:ascii="Times New Roman" w:hAnsi="Times New Roman" w:cs="Times New Roman"/>
          <w:sz w:val="24"/>
          <w:szCs w:val="24"/>
        </w:rPr>
        <w:t xml:space="preserve">, we classify each month </w:t>
      </w:r>
      <w:r w:rsidR="004C4A44">
        <w:rPr>
          <w:rFonts w:ascii="Times New Roman" w:hAnsi="Times New Roman" w:cs="Times New Roman"/>
          <w:sz w:val="24"/>
          <w:szCs w:val="24"/>
        </w:rPr>
        <w:t xml:space="preserve">of </w:t>
      </w:r>
      <w:r w:rsidR="00B05480">
        <w:rPr>
          <w:rFonts w:ascii="Times New Roman" w:hAnsi="Times New Roman" w:cs="Times New Roman"/>
          <w:sz w:val="24"/>
          <w:szCs w:val="24"/>
        </w:rPr>
        <w:t>our sample as low, medium, or high investor sentiment period</w:t>
      </w:r>
      <w:r w:rsidR="004C4A44">
        <w:rPr>
          <w:rFonts w:ascii="Times New Roman" w:hAnsi="Times New Roman" w:cs="Times New Roman"/>
          <w:sz w:val="24"/>
          <w:szCs w:val="24"/>
        </w:rPr>
        <w:t>,</w:t>
      </w:r>
      <w:r w:rsidR="00B05480">
        <w:rPr>
          <w:rFonts w:ascii="Times New Roman" w:hAnsi="Times New Roman" w:cs="Times New Roman"/>
          <w:sz w:val="24"/>
          <w:szCs w:val="24"/>
        </w:rPr>
        <w:t xml:space="preserve"> using terciles of</w:t>
      </w:r>
      <w:r w:rsidR="00AD15C2">
        <w:rPr>
          <w:rFonts w:ascii="Times New Roman" w:hAnsi="Times New Roman" w:cs="Times New Roman"/>
          <w:sz w:val="24"/>
          <w:szCs w:val="24"/>
        </w:rPr>
        <w:t xml:space="preserve"> the</w:t>
      </w:r>
      <w:r w:rsidR="00B05480">
        <w:rPr>
          <w:rFonts w:ascii="Times New Roman" w:hAnsi="Times New Roman" w:cs="Times New Roman"/>
          <w:sz w:val="24"/>
          <w:szCs w:val="24"/>
        </w:rPr>
        <w:t xml:space="preserve"> investor sentiment </w:t>
      </w:r>
      <w:r w:rsidR="00AD15C2">
        <w:rPr>
          <w:rFonts w:ascii="Times New Roman" w:hAnsi="Times New Roman" w:cs="Times New Roman"/>
          <w:sz w:val="24"/>
          <w:szCs w:val="24"/>
        </w:rPr>
        <w:t>index</w:t>
      </w:r>
      <w:r w:rsidR="00B05480">
        <w:rPr>
          <w:rFonts w:ascii="Times New Roman" w:hAnsi="Times New Roman" w:cs="Times New Roman"/>
          <w:sz w:val="24"/>
          <w:szCs w:val="24"/>
        </w:rPr>
        <w:t xml:space="preserve"> </w:t>
      </w:r>
      <w:r w:rsidR="00FB232E">
        <w:rPr>
          <w:rFonts w:ascii="Times New Roman" w:hAnsi="Times New Roman" w:cs="Times New Roman"/>
          <w:sz w:val="24"/>
          <w:szCs w:val="24"/>
        </w:rPr>
        <w:t>(SENT</w:t>
      </w:r>
      <w:r w:rsidR="00FB232E" w:rsidRPr="00370CDE">
        <w:rPr>
          <w:rFonts w:ascii="Times New Roman" w:hAnsi="Times New Roman" w:cs="Times New Roman"/>
          <w:sz w:val="20"/>
          <w:szCs w:val="20"/>
        </w:rPr>
        <w:t>┴</w:t>
      </w:r>
      <w:r w:rsidR="00FB232E">
        <w:rPr>
          <w:rFonts w:ascii="Times New Roman" w:hAnsi="Times New Roman" w:cs="Times New Roman"/>
          <w:sz w:val="20"/>
          <w:szCs w:val="20"/>
        </w:rPr>
        <w:t xml:space="preserve">) </w:t>
      </w:r>
      <w:r w:rsidR="00B05480">
        <w:rPr>
          <w:rFonts w:ascii="Times New Roman" w:hAnsi="Times New Roman" w:cs="Times New Roman"/>
          <w:sz w:val="24"/>
          <w:szCs w:val="24"/>
        </w:rPr>
        <w:t xml:space="preserve">from </w:t>
      </w:r>
      <w:r w:rsidR="00B05480">
        <w:rPr>
          <w:rFonts w:ascii="Times New Roman" w:hAnsi="Times New Roman" w:cs="Times New Roman"/>
          <w:sz w:val="24"/>
          <w:szCs w:val="24"/>
        </w:rPr>
        <w:fldChar w:fldCharType="begin">
          <w:fldData xml:space="preserve">PEVuZE5vdGU+PENpdGUgQXV0aG9yWWVhcj0iMSI+PEF1dGhvcj5CYWtlcjwvQXV0aG9yPjxZZWFy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</w:fldData>
        </w:fldChar>
      </w:r>
      <w:r w:rsidR="00A4299A">
        <w:rPr>
          <w:rFonts w:ascii="Times New Roman" w:hAnsi="Times New Roman" w:cs="Times New Roman"/>
          <w:sz w:val="24"/>
          <w:szCs w:val="24"/>
        </w:rPr>
        <w:instrText xml:space="preserve"> ADDIN EN.CITE </w:instrText>
      </w:r>
      <w:r w:rsidR="00A4299A">
        <w:rPr>
          <w:rFonts w:ascii="Times New Roman" w:hAnsi="Times New Roman" w:cs="Times New Roman"/>
          <w:sz w:val="24"/>
          <w:szCs w:val="24"/>
        </w:rPr>
        <w:fldChar w:fldCharType="begin">
          <w:fldData xml:space="preserve">PEVuZE5vdGU+PENpdGUgQXV0aG9yWWVhcj0iMSI+PEF1dGhvcj5CYWtlcjwvQXV0aG9yPjxZZWFy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</w:fldData>
        </w:fldChar>
      </w:r>
      <w:r w:rsidR="00A4299A">
        <w:rPr>
          <w:rFonts w:ascii="Times New Roman" w:hAnsi="Times New Roman" w:cs="Times New Roman"/>
          <w:sz w:val="24"/>
          <w:szCs w:val="24"/>
        </w:rPr>
        <w:instrText xml:space="preserve"> ADDIN EN.CITE.DATA </w:instrText>
      </w:r>
      <w:r w:rsidR="00A4299A">
        <w:rPr>
          <w:rFonts w:ascii="Times New Roman" w:hAnsi="Times New Roman" w:cs="Times New Roman"/>
          <w:sz w:val="24"/>
          <w:szCs w:val="24"/>
        </w:rPr>
      </w:r>
      <w:r w:rsidR="00A4299A">
        <w:rPr>
          <w:rFonts w:ascii="Times New Roman" w:hAnsi="Times New Roman" w:cs="Times New Roman"/>
          <w:sz w:val="24"/>
          <w:szCs w:val="24"/>
        </w:rPr>
        <w:fldChar w:fldCharType="end"/>
      </w:r>
      <w:r w:rsidR="00B05480">
        <w:rPr>
          <w:rFonts w:ascii="Times New Roman" w:hAnsi="Times New Roman" w:cs="Times New Roman"/>
          <w:sz w:val="24"/>
          <w:szCs w:val="24"/>
        </w:rPr>
      </w:r>
      <w:r w:rsidR="00B05480">
        <w:rPr>
          <w:rFonts w:ascii="Times New Roman" w:hAnsi="Times New Roman" w:cs="Times New Roman"/>
          <w:sz w:val="24"/>
          <w:szCs w:val="24"/>
        </w:rPr>
        <w:fldChar w:fldCharType="separate"/>
      </w:r>
      <w:hyperlink w:anchor="_ENREF_7" w:tooltip="Baker, 2006 #145" w:history="1">
        <w:r w:rsidR="00A4299A">
          <w:rPr>
            <w:rFonts w:ascii="Times New Roman" w:hAnsi="Times New Roman" w:cs="Times New Roman"/>
            <w:noProof/>
            <w:sz w:val="24"/>
            <w:szCs w:val="24"/>
          </w:rPr>
          <w:t>Baker and Wurgler (2006</w:t>
        </w:r>
      </w:hyperlink>
      <w:r w:rsidR="00517D9A">
        <w:rPr>
          <w:rFonts w:ascii="Times New Roman" w:hAnsi="Times New Roman" w:cs="Times New Roman"/>
          <w:noProof/>
          <w:sz w:val="24"/>
          <w:szCs w:val="24"/>
        </w:rPr>
        <w:t>,</w:t>
      </w:r>
      <w:r w:rsidR="00A4299A">
        <w:rPr>
          <w:rFonts w:ascii="Times New Roman" w:hAnsi="Times New Roman" w:cs="Times New Roman"/>
          <w:noProof/>
          <w:sz w:val="24"/>
          <w:szCs w:val="24"/>
        </w:rPr>
        <w:t xml:space="preserve"> </w:t>
      </w:r>
      <w:hyperlink w:anchor="_ENREF_8" w:tooltip="Baker, 2007 #146" w:history="1">
        <w:r w:rsidR="00A4299A">
          <w:rPr>
            <w:rFonts w:ascii="Times New Roman" w:hAnsi="Times New Roman" w:cs="Times New Roman"/>
            <w:noProof/>
            <w:sz w:val="24"/>
            <w:szCs w:val="24"/>
          </w:rPr>
          <w:t>2007</w:t>
        </w:r>
      </w:hyperlink>
      <w:r w:rsidR="00A4299A">
        <w:rPr>
          <w:rFonts w:ascii="Times New Roman" w:hAnsi="Times New Roman" w:cs="Times New Roman"/>
          <w:noProof/>
          <w:sz w:val="24"/>
          <w:szCs w:val="24"/>
        </w:rPr>
        <w:t>)</w:t>
      </w:r>
      <w:r w:rsidR="00B05480">
        <w:rPr>
          <w:rFonts w:ascii="Times New Roman" w:hAnsi="Times New Roman" w:cs="Times New Roman"/>
          <w:sz w:val="24"/>
          <w:szCs w:val="24"/>
        </w:rPr>
        <w:fldChar w:fldCharType="end"/>
      </w:r>
      <w:r w:rsidR="00B05480">
        <w:rPr>
          <w:rFonts w:ascii="Times New Roman" w:hAnsi="Times New Roman" w:cs="Times New Roman"/>
          <w:sz w:val="24"/>
          <w:szCs w:val="24"/>
        </w:rPr>
        <w:t>.</w:t>
      </w:r>
      <w:r w:rsidR="00B05480">
        <w:rPr>
          <w:rStyle w:val="FootnoteReference"/>
          <w:rFonts w:ascii="Times New Roman" w:hAnsi="Times New Roman" w:cs="Times New Roman"/>
          <w:sz w:val="24"/>
          <w:szCs w:val="24"/>
        </w:rPr>
        <w:footnoteReference w:id="31"/>
      </w:r>
      <w:r w:rsidR="001241F8">
        <w:rPr>
          <w:rFonts w:ascii="Times New Roman" w:hAnsi="Times New Roman" w:cs="Times New Roman"/>
          <w:sz w:val="24"/>
          <w:szCs w:val="24"/>
        </w:rPr>
        <w:t xml:space="preserve"> Table </w:t>
      </w:r>
      <w:r w:rsidR="002017C3">
        <w:rPr>
          <w:rFonts w:ascii="Times New Roman" w:hAnsi="Times New Roman" w:cs="Times New Roman"/>
          <w:sz w:val="24"/>
          <w:szCs w:val="24"/>
        </w:rPr>
        <w:t>7</w:t>
      </w:r>
      <w:r w:rsidR="00070C76">
        <w:rPr>
          <w:rFonts w:ascii="Times New Roman" w:hAnsi="Times New Roman" w:cs="Times New Roman"/>
          <w:sz w:val="24"/>
          <w:szCs w:val="24"/>
        </w:rPr>
        <w:t xml:space="preserve"> </w:t>
      </w:r>
      <w:r w:rsidR="001241F8">
        <w:rPr>
          <w:rFonts w:ascii="Times New Roman" w:hAnsi="Times New Roman" w:cs="Times New Roman"/>
          <w:sz w:val="24"/>
          <w:szCs w:val="24"/>
        </w:rPr>
        <w:t xml:space="preserve">presents the returns </w:t>
      </w:r>
      <w:r w:rsidR="004C4A44">
        <w:rPr>
          <w:rFonts w:ascii="Times New Roman" w:hAnsi="Times New Roman" w:cs="Times New Roman"/>
          <w:sz w:val="24"/>
          <w:szCs w:val="24"/>
        </w:rPr>
        <w:t xml:space="preserve">of </w:t>
      </w:r>
      <w:r w:rsidR="00E44FBB">
        <w:rPr>
          <w:rFonts w:ascii="Times New Roman" w:hAnsi="Times New Roman" w:cs="Times New Roman"/>
          <w:sz w:val="24"/>
          <w:szCs w:val="24"/>
        </w:rPr>
        <w:t>our double-</w:t>
      </w:r>
      <w:r w:rsidR="00522CFD">
        <w:rPr>
          <w:rFonts w:ascii="Times New Roman" w:hAnsi="Times New Roman" w:cs="Times New Roman"/>
          <w:sz w:val="24"/>
          <w:szCs w:val="24"/>
        </w:rPr>
        <w:t xml:space="preserve">sorted portfolios, </w:t>
      </w:r>
      <w:r w:rsidR="004C4A44">
        <w:rPr>
          <w:rFonts w:ascii="Times New Roman" w:hAnsi="Times New Roman" w:cs="Times New Roman"/>
          <w:sz w:val="24"/>
          <w:szCs w:val="24"/>
        </w:rPr>
        <w:t>conditional on</w:t>
      </w:r>
      <w:r w:rsidR="00522CFD">
        <w:rPr>
          <w:rFonts w:ascii="Times New Roman" w:hAnsi="Times New Roman" w:cs="Times New Roman"/>
          <w:sz w:val="24"/>
          <w:szCs w:val="24"/>
        </w:rPr>
        <w:t xml:space="preserve"> beginning</w:t>
      </w:r>
      <w:r w:rsidR="001241F8">
        <w:rPr>
          <w:rFonts w:ascii="Times New Roman" w:hAnsi="Times New Roman" w:cs="Times New Roman"/>
          <w:sz w:val="24"/>
          <w:szCs w:val="24"/>
        </w:rPr>
        <w:t>-of-month</w:t>
      </w:r>
      <w:r w:rsidR="00E44FBB">
        <w:rPr>
          <w:rFonts w:ascii="Times New Roman" w:hAnsi="Times New Roman" w:cs="Times New Roman"/>
          <w:sz w:val="24"/>
          <w:szCs w:val="24"/>
        </w:rPr>
        <w:t xml:space="preserve"> investor</w:t>
      </w:r>
      <w:r w:rsidR="00522CFD">
        <w:rPr>
          <w:rFonts w:ascii="Times New Roman" w:hAnsi="Times New Roman" w:cs="Times New Roman"/>
          <w:sz w:val="24"/>
          <w:szCs w:val="24"/>
        </w:rPr>
        <w:t xml:space="preserve"> sentiment. For the sake of exposition, we present only the extreme quartiles of price-to-value</w:t>
      </w:r>
      <w:r w:rsidR="00BB5B63">
        <w:rPr>
          <w:rFonts w:ascii="Times New Roman" w:hAnsi="Times New Roman" w:cs="Times New Roman"/>
          <w:sz w:val="24"/>
          <w:szCs w:val="24"/>
        </w:rPr>
        <w:t xml:space="preserve"> and </w:t>
      </w:r>
      <w:r w:rsidR="004264F4" w:rsidRPr="00C84568">
        <w:rPr>
          <w:rFonts w:ascii="Times New Roman" w:hAnsi="Times New Roman" w:cs="Times New Roman"/>
          <w:i/>
          <w:iCs/>
          <w:sz w:val="24"/>
          <w:szCs w:val="24"/>
        </w:rPr>
        <w:t>VU</w:t>
      </w:r>
      <w:r w:rsidR="00522CFD">
        <w:rPr>
          <w:rFonts w:ascii="Times New Roman" w:hAnsi="Times New Roman" w:cs="Times New Roman"/>
          <w:sz w:val="24"/>
          <w:szCs w:val="24"/>
        </w:rPr>
        <w:t>, i.e.</w:t>
      </w:r>
      <w:r w:rsidR="0056752E">
        <w:rPr>
          <w:rFonts w:ascii="Times New Roman" w:hAnsi="Times New Roman" w:cs="Times New Roman"/>
          <w:sz w:val="24"/>
          <w:szCs w:val="24"/>
        </w:rPr>
        <w:t>,</w:t>
      </w:r>
      <w:r w:rsidR="00522CFD">
        <w:rPr>
          <w:rFonts w:ascii="Times New Roman" w:hAnsi="Times New Roman" w:cs="Times New Roman"/>
          <w:sz w:val="24"/>
          <w:szCs w:val="24"/>
        </w:rPr>
        <w:t xml:space="preserve"> the long and </w:t>
      </w:r>
      <w:r w:rsidR="00173A43">
        <w:rPr>
          <w:rFonts w:ascii="Times New Roman" w:hAnsi="Times New Roman" w:cs="Times New Roman"/>
          <w:sz w:val="24"/>
          <w:szCs w:val="24"/>
        </w:rPr>
        <w:t xml:space="preserve">the </w:t>
      </w:r>
      <w:r w:rsidR="00522CFD">
        <w:rPr>
          <w:rFonts w:ascii="Times New Roman" w:hAnsi="Times New Roman" w:cs="Times New Roman"/>
          <w:sz w:val="24"/>
          <w:szCs w:val="24"/>
        </w:rPr>
        <w:t>short legs</w:t>
      </w:r>
      <w:r w:rsidR="00E44FBB">
        <w:rPr>
          <w:rFonts w:ascii="Times New Roman" w:hAnsi="Times New Roman" w:cs="Times New Roman"/>
          <w:sz w:val="24"/>
          <w:szCs w:val="24"/>
        </w:rPr>
        <w:t xml:space="preserve"> of the </w:t>
      </w:r>
      <w:r w:rsidR="00173A43">
        <w:rPr>
          <w:rFonts w:ascii="Times New Roman" w:hAnsi="Times New Roman" w:cs="Times New Roman"/>
          <w:sz w:val="24"/>
          <w:szCs w:val="24"/>
        </w:rPr>
        <w:t>value strategy</w:t>
      </w:r>
      <w:r w:rsidR="00E44FBB">
        <w:rPr>
          <w:rFonts w:ascii="Times New Roman" w:hAnsi="Times New Roman" w:cs="Times New Roman"/>
          <w:sz w:val="24"/>
          <w:szCs w:val="24"/>
        </w:rPr>
        <w:t xml:space="preserve"> </w:t>
      </w:r>
      <w:r w:rsidR="00BB5B63">
        <w:rPr>
          <w:rFonts w:ascii="Times New Roman" w:hAnsi="Times New Roman" w:cs="Times New Roman"/>
          <w:sz w:val="24"/>
          <w:szCs w:val="24"/>
        </w:rPr>
        <w:t>for stock</w:t>
      </w:r>
      <w:r w:rsidR="0056752E">
        <w:rPr>
          <w:rFonts w:ascii="Times New Roman" w:hAnsi="Times New Roman" w:cs="Times New Roman"/>
          <w:sz w:val="24"/>
          <w:szCs w:val="24"/>
        </w:rPr>
        <w:t>s</w:t>
      </w:r>
      <w:r w:rsidR="00BB5B63">
        <w:rPr>
          <w:rFonts w:ascii="Times New Roman" w:hAnsi="Times New Roman" w:cs="Times New Roman"/>
          <w:sz w:val="24"/>
          <w:szCs w:val="24"/>
        </w:rPr>
        <w:t xml:space="preserve"> with the highest and lowest</w:t>
      </w:r>
      <w:r w:rsidR="00E44FBB">
        <w:rPr>
          <w:rFonts w:ascii="Times New Roman" w:hAnsi="Times New Roman" w:cs="Times New Roman"/>
          <w:sz w:val="24"/>
          <w:szCs w:val="24"/>
        </w:rPr>
        <w:t xml:space="preserve"> valuation uncertainty</w:t>
      </w:r>
      <w:r w:rsidR="00522CFD">
        <w:rPr>
          <w:rFonts w:ascii="Times New Roman" w:hAnsi="Times New Roman" w:cs="Times New Roman"/>
          <w:sz w:val="24"/>
          <w:szCs w:val="24"/>
        </w:rPr>
        <w:t>.</w:t>
      </w:r>
    </w:p>
    <w:p w14:paraId="1CE9A18B" w14:textId="6E4522C3" w:rsidR="00F34A3B" w:rsidRDefault="00F34A3B" w:rsidP="00E53B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We find that the returns of stocks in the short leg</w:t>
      </w:r>
      <w:r w:rsidR="008A2B45">
        <w:rPr>
          <w:rFonts w:ascii="Times New Roman" w:hAnsi="Times New Roman" w:cs="Times New Roman"/>
          <w:sz w:val="24"/>
          <w:szCs w:val="24"/>
        </w:rPr>
        <w:t xml:space="preserve"> (“growth” stocks)</w:t>
      </w:r>
      <w:r>
        <w:rPr>
          <w:rFonts w:ascii="Times New Roman" w:hAnsi="Times New Roman" w:cs="Times New Roman"/>
          <w:sz w:val="24"/>
          <w:szCs w:val="24"/>
        </w:rPr>
        <w:t xml:space="preserve"> are consistently lower following periods of high investor sentiment</w:t>
      </w:r>
      <w:r w:rsidR="00517C7C">
        <w:rPr>
          <w:rFonts w:ascii="Times New Roman" w:hAnsi="Times New Roman" w:cs="Times New Roman"/>
          <w:sz w:val="24"/>
          <w:szCs w:val="24"/>
        </w:rPr>
        <w:t>, and this</w:t>
      </w:r>
      <w:r w:rsidR="008A2B45">
        <w:rPr>
          <w:rFonts w:ascii="Times New Roman" w:hAnsi="Times New Roman" w:cs="Times New Roman"/>
          <w:sz w:val="24"/>
          <w:szCs w:val="24"/>
        </w:rPr>
        <w:t xml:space="preserve"> difference increases with valuation uncertainty. For instance, using RW portfolios, the difference</w:t>
      </w:r>
      <w:r w:rsidR="00194427">
        <w:rPr>
          <w:rFonts w:ascii="Times New Roman" w:hAnsi="Times New Roman" w:cs="Times New Roman"/>
          <w:sz w:val="24"/>
          <w:szCs w:val="24"/>
        </w:rPr>
        <w:t xml:space="preserve"> in </w:t>
      </w:r>
      <w:r w:rsidR="00517C7C">
        <w:rPr>
          <w:rFonts w:ascii="Times New Roman" w:hAnsi="Times New Roman" w:cs="Times New Roman"/>
          <w:sz w:val="24"/>
          <w:szCs w:val="24"/>
        </w:rPr>
        <w:t xml:space="preserve">the </w:t>
      </w:r>
      <w:r w:rsidR="00194427">
        <w:rPr>
          <w:rFonts w:ascii="Times New Roman" w:hAnsi="Times New Roman" w:cs="Times New Roman"/>
          <w:sz w:val="24"/>
          <w:szCs w:val="24"/>
        </w:rPr>
        <w:t xml:space="preserve">returns of </w:t>
      </w:r>
      <w:r w:rsidR="00C56C3F">
        <w:rPr>
          <w:rFonts w:ascii="Times New Roman" w:hAnsi="Times New Roman" w:cs="Times New Roman"/>
          <w:sz w:val="24"/>
          <w:szCs w:val="24"/>
        </w:rPr>
        <w:t xml:space="preserve">low </w:t>
      </w:r>
      <w:r w:rsidR="004264F4" w:rsidRPr="00C84568">
        <w:rPr>
          <w:rFonts w:ascii="Times New Roman" w:hAnsi="Times New Roman" w:cs="Times New Roman"/>
          <w:i/>
          <w:iCs/>
          <w:sz w:val="24"/>
          <w:szCs w:val="24"/>
        </w:rPr>
        <w:t>VU</w:t>
      </w:r>
      <w:r w:rsidR="00C56C3F">
        <w:rPr>
          <w:rFonts w:ascii="Times New Roman" w:hAnsi="Times New Roman" w:cs="Times New Roman"/>
          <w:sz w:val="24"/>
          <w:szCs w:val="24"/>
        </w:rPr>
        <w:t xml:space="preserve"> </w:t>
      </w:r>
      <w:r w:rsidR="00194427">
        <w:rPr>
          <w:rFonts w:ascii="Times New Roman" w:hAnsi="Times New Roman" w:cs="Times New Roman"/>
          <w:sz w:val="24"/>
          <w:szCs w:val="24"/>
        </w:rPr>
        <w:t>“growth” stocks</w:t>
      </w:r>
      <w:r w:rsidR="008A2B45">
        <w:rPr>
          <w:rFonts w:ascii="Times New Roman" w:hAnsi="Times New Roman" w:cs="Times New Roman"/>
          <w:sz w:val="24"/>
          <w:szCs w:val="24"/>
        </w:rPr>
        <w:t xml:space="preserve"> between </w:t>
      </w:r>
      <w:r w:rsidR="00556223">
        <w:rPr>
          <w:rFonts w:ascii="Times New Roman" w:hAnsi="Times New Roman" w:cs="Times New Roman"/>
          <w:sz w:val="24"/>
          <w:szCs w:val="24"/>
        </w:rPr>
        <w:t xml:space="preserve">low </w:t>
      </w:r>
      <w:r w:rsidR="008A2B45">
        <w:rPr>
          <w:rFonts w:ascii="Times New Roman" w:hAnsi="Times New Roman" w:cs="Times New Roman"/>
          <w:sz w:val="24"/>
          <w:szCs w:val="24"/>
        </w:rPr>
        <w:t xml:space="preserve">and </w:t>
      </w:r>
      <w:r w:rsidR="00556223">
        <w:rPr>
          <w:rFonts w:ascii="Times New Roman" w:hAnsi="Times New Roman" w:cs="Times New Roman"/>
          <w:sz w:val="24"/>
          <w:szCs w:val="24"/>
        </w:rPr>
        <w:t>high</w:t>
      </w:r>
      <w:r w:rsidR="008A2B45">
        <w:rPr>
          <w:rFonts w:ascii="Times New Roman" w:hAnsi="Times New Roman" w:cs="Times New Roman"/>
          <w:sz w:val="24"/>
          <w:szCs w:val="24"/>
        </w:rPr>
        <w:t xml:space="preserve"> sentiment periods is </w:t>
      </w:r>
      <w:r w:rsidR="009D1865">
        <w:rPr>
          <w:rFonts w:ascii="Times New Roman" w:hAnsi="Times New Roman" w:cs="Times New Roman"/>
          <w:sz w:val="24"/>
          <w:szCs w:val="24"/>
        </w:rPr>
        <w:t>0</w:t>
      </w:r>
      <w:r w:rsidR="008A2B45">
        <w:rPr>
          <w:rFonts w:ascii="Times New Roman" w:hAnsi="Times New Roman" w:cs="Times New Roman"/>
          <w:sz w:val="24"/>
          <w:szCs w:val="24"/>
        </w:rPr>
        <w:t>.</w:t>
      </w:r>
      <w:r w:rsidR="00C239C8">
        <w:rPr>
          <w:rFonts w:ascii="Times New Roman" w:hAnsi="Times New Roman" w:cs="Times New Roman"/>
          <w:sz w:val="24"/>
          <w:szCs w:val="24"/>
        </w:rPr>
        <w:t>76</w:t>
      </w:r>
      <w:r w:rsidR="008A2B45">
        <w:rPr>
          <w:rFonts w:ascii="Times New Roman" w:hAnsi="Times New Roman" w:cs="Times New Roman"/>
          <w:sz w:val="24"/>
          <w:szCs w:val="24"/>
        </w:rPr>
        <w:t>%</w:t>
      </w:r>
      <w:r w:rsidR="00305A13">
        <w:rPr>
          <w:rFonts w:ascii="Times New Roman" w:hAnsi="Times New Roman" w:cs="Times New Roman"/>
          <w:sz w:val="24"/>
          <w:szCs w:val="24"/>
        </w:rPr>
        <w:t xml:space="preserve"> per month</w:t>
      </w:r>
      <w:r w:rsidR="008A2B45">
        <w:rPr>
          <w:rFonts w:ascii="Times New Roman" w:hAnsi="Times New Roman" w:cs="Times New Roman"/>
          <w:sz w:val="24"/>
          <w:szCs w:val="24"/>
        </w:rPr>
        <w:t xml:space="preserve"> and increases </w:t>
      </w:r>
      <w:r w:rsidR="00556223">
        <w:rPr>
          <w:rFonts w:ascii="Times New Roman" w:hAnsi="Times New Roman" w:cs="Times New Roman"/>
          <w:sz w:val="24"/>
          <w:szCs w:val="24"/>
        </w:rPr>
        <w:t xml:space="preserve">to </w:t>
      </w:r>
      <w:r w:rsidR="00C239C8">
        <w:rPr>
          <w:rFonts w:ascii="Times New Roman" w:hAnsi="Times New Roman" w:cs="Times New Roman"/>
          <w:sz w:val="24"/>
          <w:szCs w:val="24"/>
        </w:rPr>
        <w:t>3</w:t>
      </w:r>
      <w:r w:rsidR="008A2B45">
        <w:rPr>
          <w:rFonts w:ascii="Times New Roman" w:hAnsi="Times New Roman" w:cs="Times New Roman"/>
          <w:sz w:val="24"/>
          <w:szCs w:val="24"/>
        </w:rPr>
        <w:t>.</w:t>
      </w:r>
      <w:r w:rsidR="00C239C8">
        <w:rPr>
          <w:rFonts w:ascii="Times New Roman" w:hAnsi="Times New Roman" w:cs="Times New Roman"/>
          <w:sz w:val="24"/>
          <w:szCs w:val="24"/>
        </w:rPr>
        <w:t>10</w:t>
      </w:r>
      <w:r w:rsidR="008A2B45">
        <w:rPr>
          <w:rFonts w:ascii="Times New Roman" w:hAnsi="Times New Roman" w:cs="Times New Roman"/>
          <w:sz w:val="24"/>
          <w:szCs w:val="24"/>
        </w:rPr>
        <w:t>%</w:t>
      </w:r>
      <w:r w:rsidR="00305A13">
        <w:rPr>
          <w:rFonts w:ascii="Times New Roman" w:hAnsi="Times New Roman" w:cs="Times New Roman"/>
          <w:sz w:val="24"/>
          <w:szCs w:val="24"/>
        </w:rPr>
        <w:t xml:space="preserve"> per month</w:t>
      </w:r>
      <w:r w:rsidR="00C56C3F">
        <w:rPr>
          <w:rFonts w:ascii="Times New Roman" w:hAnsi="Times New Roman" w:cs="Times New Roman"/>
          <w:sz w:val="24"/>
          <w:szCs w:val="24"/>
        </w:rPr>
        <w:t xml:space="preserve"> for high </w:t>
      </w:r>
      <w:r w:rsidR="004264F4" w:rsidRPr="00C84568">
        <w:rPr>
          <w:rFonts w:ascii="Times New Roman" w:hAnsi="Times New Roman" w:cs="Times New Roman"/>
          <w:i/>
          <w:iCs/>
          <w:sz w:val="24"/>
          <w:szCs w:val="24"/>
        </w:rPr>
        <w:t>VU</w:t>
      </w:r>
      <w:r w:rsidR="00C56C3F">
        <w:rPr>
          <w:rFonts w:ascii="Times New Roman" w:hAnsi="Times New Roman" w:cs="Times New Roman"/>
          <w:sz w:val="24"/>
          <w:szCs w:val="24"/>
        </w:rPr>
        <w:t xml:space="preserve"> “growth” stocks</w:t>
      </w:r>
      <w:r w:rsidR="00556223">
        <w:rPr>
          <w:rFonts w:ascii="Times New Roman" w:hAnsi="Times New Roman" w:cs="Times New Roman"/>
          <w:sz w:val="24"/>
          <w:szCs w:val="24"/>
        </w:rPr>
        <w:t xml:space="preserve">. </w:t>
      </w:r>
      <w:r w:rsidR="008A2B45">
        <w:rPr>
          <w:rFonts w:ascii="Times New Roman" w:hAnsi="Times New Roman" w:cs="Times New Roman"/>
          <w:sz w:val="24"/>
          <w:szCs w:val="24"/>
        </w:rPr>
        <w:t>For VW portfolio</w:t>
      </w:r>
      <w:r w:rsidR="00194427">
        <w:rPr>
          <w:rFonts w:ascii="Times New Roman" w:hAnsi="Times New Roman" w:cs="Times New Roman"/>
          <w:sz w:val="24"/>
          <w:szCs w:val="24"/>
        </w:rPr>
        <w:t xml:space="preserve">s, the difference across periods for low </w:t>
      </w:r>
      <w:r w:rsidR="004264F4" w:rsidRPr="00C84568">
        <w:rPr>
          <w:rFonts w:ascii="Times New Roman" w:hAnsi="Times New Roman" w:cs="Times New Roman"/>
          <w:i/>
          <w:iCs/>
          <w:sz w:val="24"/>
          <w:szCs w:val="24"/>
        </w:rPr>
        <w:t>VU</w:t>
      </w:r>
      <w:r w:rsidR="00194427">
        <w:rPr>
          <w:rFonts w:ascii="Times New Roman" w:hAnsi="Times New Roman" w:cs="Times New Roman"/>
          <w:sz w:val="24"/>
          <w:szCs w:val="24"/>
        </w:rPr>
        <w:t xml:space="preserve"> “growth” stocks</w:t>
      </w:r>
      <w:r w:rsidR="008A2B45">
        <w:rPr>
          <w:rFonts w:ascii="Times New Roman" w:hAnsi="Times New Roman" w:cs="Times New Roman"/>
          <w:sz w:val="24"/>
          <w:szCs w:val="24"/>
        </w:rPr>
        <w:t xml:space="preserve"> is 0.</w:t>
      </w:r>
      <w:r w:rsidR="00C239C8">
        <w:rPr>
          <w:rFonts w:ascii="Times New Roman" w:hAnsi="Times New Roman" w:cs="Times New Roman"/>
          <w:sz w:val="24"/>
          <w:szCs w:val="24"/>
        </w:rPr>
        <w:t>49</w:t>
      </w:r>
      <w:r w:rsidR="008A2B45">
        <w:rPr>
          <w:rFonts w:ascii="Times New Roman" w:hAnsi="Times New Roman" w:cs="Times New Roman"/>
          <w:sz w:val="24"/>
          <w:szCs w:val="24"/>
        </w:rPr>
        <w:t xml:space="preserve">% </w:t>
      </w:r>
      <w:r w:rsidR="00194427">
        <w:rPr>
          <w:rFonts w:ascii="Times New Roman" w:hAnsi="Times New Roman" w:cs="Times New Roman"/>
          <w:sz w:val="24"/>
          <w:szCs w:val="24"/>
        </w:rPr>
        <w:t>(</w:t>
      </w:r>
      <w:r w:rsidR="009D1865">
        <w:rPr>
          <w:rFonts w:ascii="Times New Roman" w:hAnsi="Times New Roman" w:cs="Times New Roman"/>
          <w:sz w:val="24"/>
          <w:szCs w:val="24"/>
        </w:rPr>
        <w:t>not statistically significant</w:t>
      </w:r>
      <w:r w:rsidR="00194427">
        <w:rPr>
          <w:rFonts w:ascii="Times New Roman" w:hAnsi="Times New Roman" w:cs="Times New Roman"/>
          <w:sz w:val="24"/>
          <w:szCs w:val="24"/>
        </w:rPr>
        <w:t>)</w:t>
      </w:r>
      <w:r w:rsidR="00F34A3F">
        <w:rPr>
          <w:rFonts w:ascii="Times New Roman" w:hAnsi="Times New Roman" w:cs="Times New Roman"/>
          <w:sz w:val="24"/>
          <w:szCs w:val="24"/>
        </w:rPr>
        <w:t xml:space="preserve"> and reaches </w:t>
      </w:r>
      <w:r w:rsidR="008A2B45">
        <w:rPr>
          <w:rFonts w:ascii="Times New Roman" w:hAnsi="Times New Roman" w:cs="Times New Roman"/>
          <w:sz w:val="24"/>
          <w:szCs w:val="24"/>
        </w:rPr>
        <w:t xml:space="preserve">a highly significant difference </w:t>
      </w:r>
      <w:r w:rsidR="00194427">
        <w:rPr>
          <w:rFonts w:ascii="Times New Roman" w:hAnsi="Times New Roman" w:cs="Times New Roman"/>
          <w:sz w:val="24"/>
          <w:szCs w:val="24"/>
        </w:rPr>
        <w:t>o</w:t>
      </w:r>
      <w:r w:rsidR="008A2B45">
        <w:rPr>
          <w:rFonts w:ascii="Times New Roman" w:hAnsi="Times New Roman" w:cs="Times New Roman"/>
          <w:sz w:val="24"/>
          <w:szCs w:val="24"/>
        </w:rPr>
        <w:t>f 2.</w:t>
      </w:r>
      <w:r w:rsidR="00C239C8">
        <w:rPr>
          <w:rFonts w:ascii="Times New Roman" w:hAnsi="Times New Roman" w:cs="Times New Roman"/>
          <w:sz w:val="24"/>
          <w:szCs w:val="24"/>
        </w:rPr>
        <w:t>5</w:t>
      </w:r>
      <w:r w:rsidR="00FA6AC9">
        <w:rPr>
          <w:rFonts w:ascii="Times New Roman" w:hAnsi="Times New Roman" w:cs="Times New Roman"/>
          <w:sz w:val="24"/>
          <w:szCs w:val="24"/>
        </w:rPr>
        <w:t>1</w:t>
      </w:r>
      <w:r w:rsidR="008A2B45">
        <w:rPr>
          <w:rFonts w:ascii="Times New Roman" w:hAnsi="Times New Roman" w:cs="Times New Roman"/>
          <w:sz w:val="24"/>
          <w:szCs w:val="24"/>
        </w:rPr>
        <w:t>%</w:t>
      </w:r>
      <w:r w:rsidR="004856E7">
        <w:rPr>
          <w:rFonts w:ascii="Times New Roman" w:hAnsi="Times New Roman" w:cs="Times New Roman"/>
          <w:sz w:val="24"/>
          <w:szCs w:val="24"/>
        </w:rPr>
        <w:t xml:space="preserve"> per month</w:t>
      </w:r>
      <w:r w:rsidR="008A2B45">
        <w:rPr>
          <w:rFonts w:ascii="Times New Roman" w:hAnsi="Times New Roman" w:cs="Times New Roman"/>
          <w:sz w:val="24"/>
          <w:szCs w:val="24"/>
        </w:rPr>
        <w:t xml:space="preserve"> for the most uncertain “growth” stocks. </w:t>
      </w:r>
      <w:r w:rsidR="005D4F16">
        <w:rPr>
          <w:rFonts w:ascii="Times New Roman" w:hAnsi="Times New Roman" w:cs="Times New Roman"/>
          <w:sz w:val="24"/>
          <w:szCs w:val="24"/>
        </w:rPr>
        <w:t>The o</w:t>
      </w:r>
      <w:r w:rsidR="008A2B45">
        <w:rPr>
          <w:rFonts w:ascii="Times New Roman" w:hAnsi="Times New Roman" w:cs="Times New Roman"/>
          <w:sz w:val="24"/>
          <w:szCs w:val="24"/>
        </w:rPr>
        <w:t xml:space="preserve">pposite results </w:t>
      </w:r>
      <w:r w:rsidR="00194427">
        <w:rPr>
          <w:rFonts w:ascii="Times New Roman" w:hAnsi="Times New Roman" w:cs="Times New Roman"/>
          <w:sz w:val="24"/>
          <w:szCs w:val="24"/>
        </w:rPr>
        <w:t>obtain for the stocks in the long</w:t>
      </w:r>
      <w:r w:rsidR="008A2B45">
        <w:rPr>
          <w:rFonts w:ascii="Times New Roman" w:hAnsi="Times New Roman" w:cs="Times New Roman"/>
          <w:sz w:val="24"/>
          <w:szCs w:val="24"/>
        </w:rPr>
        <w:t xml:space="preserve"> leg, whereby the returns on “value” stocks are particularly high following periods of low investor sentiment, and this difference is more pronounced among high </w:t>
      </w:r>
      <w:r w:rsidR="004264F4" w:rsidRPr="00C84568">
        <w:rPr>
          <w:rFonts w:ascii="Times New Roman" w:hAnsi="Times New Roman" w:cs="Times New Roman"/>
          <w:i/>
          <w:iCs/>
          <w:sz w:val="24"/>
          <w:szCs w:val="24"/>
        </w:rPr>
        <w:t>VU</w:t>
      </w:r>
      <w:r w:rsidR="008A2B45">
        <w:rPr>
          <w:rFonts w:ascii="Times New Roman" w:hAnsi="Times New Roman" w:cs="Times New Roman"/>
          <w:sz w:val="24"/>
          <w:szCs w:val="24"/>
        </w:rPr>
        <w:t xml:space="preserve"> stocks.</w:t>
      </w:r>
    </w:p>
    <w:p w14:paraId="49E70C8A" w14:textId="73CB2A2F" w:rsidR="00CB546D" w:rsidRDefault="009B045E" w:rsidP="002419B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Finally, note</w:t>
      </w:r>
      <w:r w:rsidR="00194427">
        <w:rPr>
          <w:rFonts w:ascii="Times New Roman" w:hAnsi="Times New Roman" w:cs="Times New Roman"/>
          <w:sz w:val="24"/>
          <w:szCs w:val="24"/>
        </w:rPr>
        <w:t xml:space="preserve"> the magnitude of the returns on high</w:t>
      </w:r>
      <w:r w:rsidR="00635F3F">
        <w:rPr>
          <w:rFonts w:ascii="Times New Roman" w:hAnsi="Times New Roman" w:cs="Times New Roman"/>
          <w:sz w:val="24"/>
          <w:szCs w:val="24"/>
        </w:rPr>
        <w:t xml:space="preserve"> </w:t>
      </w:r>
      <w:r w:rsidR="004264F4" w:rsidRPr="00C84568">
        <w:rPr>
          <w:rFonts w:ascii="Times New Roman" w:hAnsi="Times New Roman" w:cs="Times New Roman"/>
          <w:i/>
          <w:iCs/>
          <w:sz w:val="24"/>
          <w:szCs w:val="24"/>
        </w:rPr>
        <w:t>VU</w:t>
      </w:r>
      <w:r w:rsidR="00194427">
        <w:rPr>
          <w:rFonts w:ascii="Times New Roman" w:hAnsi="Times New Roman" w:cs="Times New Roman"/>
          <w:sz w:val="24"/>
          <w:szCs w:val="24"/>
        </w:rPr>
        <w:t xml:space="preserve"> “growth” stocks following periods of high investor sentiment. Using RW portfolios, which puts roughly equal weight on all stocks in the portfolio, the average return </w:t>
      </w:r>
      <w:r w:rsidR="00465688">
        <w:rPr>
          <w:rFonts w:ascii="Times New Roman" w:hAnsi="Times New Roman" w:cs="Times New Roman"/>
          <w:sz w:val="24"/>
          <w:szCs w:val="24"/>
        </w:rPr>
        <w:t>is</w:t>
      </w:r>
      <w:r w:rsidR="003E0B0C">
        <w:rPr>
          <w:rFonts w:ascii="Times New Roman" w:hAnsi="Times New Roman" w:cs="Times New Roman"/>
          <w:sz w:val="24"/>
          <w:szCs w:val="24"/>
        </w:rPr>
        <w:t xml:space="preserve"> </w:t>
      </w:r>
      <w:r w:rsidR="009B23D4">
        <w:rPr>
          <w:rFonts w:ascii="Times New Roman" w:hAnsi="Times New Roman" w:cs="Times New Roman"/>
          <w:sz w:val="24"/>
          <w:szCs w:val="24"/>
        </w:rPr>
        <w:t>–</w:t>
      </w:r>
      <w:r w:rsidR="00194427">
        <w:rPr>
          <w:rFonts w:ascii="Times New Roman" w:hAnsi="Times New Roman" w:cs="Times New Roman"/>
          <w:sz w:val="24"/>
          <w:szCs w:val="24"/>
        </w:rPr>
        <w:t>1.</w:t>
      </w:r>
      <w:r w:rsidR="00C239C8">
        <w:rPr>
          <w:rFonts w:ascii="Times New Roman" w:hAnsi="Times New Roman" w:cs="Times New Roman"/>
          <w:sz w:val="24"/>
          <w:szCs w:val="24"/>
        </w:rPr>
        <w:t>31</w:t>
      </w:r>
      <w:r w:rsidR="00194427">
        <w:rPr>
          <w:rFonts w:ascii="Times New Roman" w:hAnsi="Times New Roman" w:cs="Times New Roman"/>
          <w:sz w:val="24"/>
          <w:szCs w:val="24"/>
        </w:rPr>
        <w:t xml:space="preserve">%, which is significantly different from zero at the </w:t>
      </w:r>
      <w:r w:rsidR="00C239C8">
        <w:rPr>
          <w:rFonts w:ascii="Times New Roman" w:hAnsi="Times New Roman" w:cs="Times New Roman"/>
          <w:sz w:val="24"/>
          <w:szCs w:val="24"/>
        </w:rPr>
        <w:t>5</w:t>
      </w:r>
      <w:r w:rsidR="00194427">
        <w:rPr>
          <w:rFonts w:ascii="Times New Roman" w:hAnsi="Times New Roman" w:cs="Times New Roman"/>
          <w:sz w:val="24"/>
          <w:szCs w:val="24"/>
        </w:rPr>
        <w:t>% level. When p</w:t>
      </w:r>
      <w:r w:rsidR="001E6B7F">
        <w:rPr>
          <w:rFonts w:ascii="Times New Roman" w:hAnsi="Times New Roman" w:cs="Times New Roman"/>
          <w:sz w:val="24"/>
          <w:szCs w:val="24"/>
        </w:rPr>
        <w:t>ortfolios are value-weighted</w:t>
      </w:r>
      <w:r w:rsidR="00194427">
        <w:rPr>
          <w:rFonts w:ascii="Times New Roman" w:hAnsi="Times New Roman" w:cs="Times New Roman"/>
          <w:sz w:val="24"/>
          <w:szCs w:val="24"/>
        </w:rPr>
        <w:t xml:space="preserve">, the average return is </w:t>
      </w:r>
      <w:r w:rsidR="003A2D77">
        <w:rPr>
          <w:rFonts w:ascii="Times New Roman" w:hAnsi="Times New Roman" w:cs="Times New Roman"/>
          <w:sz w:val="24"/>
          <w:szCs w:val="24"/>
        </w:rPr>
        <w:t>–</w:t>
      </w:r>
      <w:r w:rsidR="00194427">
        <w:rPr>
          <w:rFonts w:ascii="Times New Roman" w:hAnsi="Times New Roman" w:cs="Times New Roman"/>
          <w:sz w:val="24"/>
          <w:szCs w:val="24"/>
        </w:rPr>
        <w:t>0.</w:t>
      </w:r>
      <w:r w:rsidR="00C239C8">
        <w:rPr>
          <w:rFonts w:ascii="Times New Roman" w:hAnsi="Times New Roman" w:cs="Times New Roman"/>
          <w:sz w:val="24"/>
          <w:szCs w:val="24"/>
        </w:rPr>
        <w:t>75</w:t>
      </w:r>
      <w:r w:rsidR="00194427">
        <w:rPr>
          <w:rFonts w:ascii="Times New Roman" w:hAnsi="Times New Roman" w:cs="Times New Roman"/>
          <w:sz w:val="24"/>
          <w:szCs w:val="24"/>
        </w:rPr>
        <w:t xml:space="preserve">%, although not significantly </w:t>
      </w:r>
      <w:r w:rsidR="00194427">
        <w:rPr>
          <w:rFonts w:ascii="Times New Roman" w:hAnsi="Times New Roman" w:cs="Times New Roman"/>
          <w:sz w:val="24"/>
          <w:szCs w:val="24"/>
        </w:rPr>
        <w:lastRenderedPageBreak/>
        <w:t>different from zero</w:t>
      </w:r>
      <w:r w:rsidR="007E14B9">
        <w:rPr>
          <w:rFonts w:ascii="Times New Roman" w:hAnsi="Times New Roman" w:cs="Times New Roman"/>
          <w:sz w:val="24"/>
          <w:szCs w:val="24"/>
        </w:rPr>
        <w:t xml:space="preserve">. </w:t>
      </w:r>
      <w:r w:rsidR="00284D09">
        <w:rPr>
          <w:rFonts w:ascii="Times New Roman" w:hAnsi="Times New Roman" w:cs="Times New Roman"/>
          <w:sz w:val="24"/>
          <w:szCs w:val="24"/>
        </w:rPr>
        <w:t xml:space="preserve">Recall that these same stocks exhibit an average return </w:t>
      </w:r>
      <w:r w:rsidR="0043172A">
        <w:rPr>
          <w:rFonts w:ascii="Times New Roman" w:hAnsi="Times New Roman" w:cs="Times New Roman"/>
          <w:sz w:val="24"/>
          <w:szCs w:val="24"/>
        </w:rPr>
        <w:t>over</w:t>
      </w:r>
      <w:r w:rsidR="00284D09">
        <w:rPr>
          <w:rFonts w:ascii="Times New Roman" w:hAnsi="Times New Roman" w:cs="Times New Roman"/>
          <w:sz w:val="24"/>
          <w:szCs w:val="24"/>
        </w:rPr>
        <w:t xml:space="preserve"> </w:t>
      </w:r>
      <w:r w:rsidR="0043172A">
        <w:rPr>
          <w:rFonts w:ascii="Times New Roman" w:hAnsi="Times New Roman" w:cs="Times New Roman"/>
          <w:sz w:val="24"/>
          <w:szCs w:val="24"/>
        </w:rPr>
        <w:t>the</w:t>
      </w:r>
      <w:r w:rsidR="00284D09">
        <w:rPr>
          <w:rFonts w:ascii="Times New Roman" w:hAnsi="Times New Roman" w:cs="Times New Roman"/>
          <w:sz w:val="24"/>
          <w:szCs w:val="24"/>
        </w:rPr>
        <w:t xml:space="preserve"> sample period that is indistinguishable from the risk-free rate. </w:t>
      </w:r>
      <w:r w:rsidR="0043172A">
        <w:rPr>
          <w:rFonts w:ascii="Times New Roman" w:hAnsi="Times New Roman" w:cs="Times New Roman"/>
          <w:sz w:val="24"/>
          <w:szCs w:val="24"/>
        </w:rPr>
        <w:t>If these stoc</w:t>
      </w:r>
      <w:r w:rsidR="00A006DA">
        <w:rPr>
          <w:rFonts w:ascii="Times New Roman" w:hAnsi="Times New Roman" w:cs="Times New Roman"/>
          <w:sz w:val="24"/>
          <w:szCs w:val="24"/>
        </w:rPr>
        <w:t xml:space="preserve">ks were a surrogate for </w:t>
      </w:r>
      <w:r w:rsidR="0024006E">
        <w:rPr>
          <w:rFonts w:ascii="Times New Roman" w:hAnsi="Times New Roman" w:cs="Times New Roman"/>
          <w:sz w:val="24"/>
          <w:szCs w:val="24"/>
        </w:rPr>
        <w:t xml:space="preserve">a </w:t>
      </w:r>
      <w:r w:rsidR="0043172A">
        <w:rPr>
          <w:rFonts w:ascii="Times New Roman" w:hAnsi="Times New Roman" w:cs="Times New Roman"/>
          <w:sz w:val="24"/>
          <w:szCs w:val="24"/>
        </w:rPr>
        <w:t>risk-free as</w:t>
      </w:r>
      <w:r w:rsidR="00441DD4">
        <w:rPr>
          <w:rFonts w:ascii="Times New Roman" w:hAnsi="Times New Roman" w:cs="Times New Roman"/>
          <w:sz w:val="24"/>
          <w:szCs w:val="24"/>
        </w:rPr>
        <w:t xml:space="preserve">set, an investor in such </w:t>
      </w:r>
      <w:r w:rsidR="0043172A">
        <w:rPr>
          <w:rFonts w:ascii="Times New Roman" w:hAnsi="Times New Roman" w:cs="Times New Roman"/>
          <w:sz w:val="24"/>
          <w:szCs w:val="24"/>
        </w:rPr>
        <w:t>riskless security would have lost money during at least a third of our sample period. While</w:t>
      </w:r>
      <w:r w:rsidR="00CF5A89">
        <w:rPr>
          <w:rFonts w:ascii="Times New Roman" w:hAnsi="Times New Roman" w:cs="Times New Roman"/>
          <w:sz w:val="24"/>
          <w:szCs w:val="24"/>
        </w:rPr>
        <w:t xml:space="preserve"> this is</w:t>
      </w:r>
      <w:r w:rsidR="0043172A">
        <w:rPr>
          <w:rFonts w:ascii="Times New Roman" w:hAnsi="Times New Roman" w:cs="Times New Roman"/>
          <w:sz w:val="24"/>
          <w:szCs w:val="24"/>
        </w:rPr>
        <w:t xml:space="preserve"> not entirely inconceivable in a risk-return framework, the fact that negative returns </w:t>
      </w:r>
      <w:r w:rsidR="007A44E3">
        <w:rPr>
          <w:rFonts w:ascii="Times New Roman" w:hAnsi="Times New Roman" w:cs="Times New Roman"/>
          <w:sz w:val="24"/>
          <w:szCs w:val="24"/>
        </w:rPr>
        <w:t>follow periods of</w:t>
      </w:r>
      <w:r w:rsidR="0043172A">
        <w:rPr>
          <w:rFonts w:ascii="Times New Roman" w:hAnsi="Times New Roman" w:cs="Times New Roman"/>
          <w:sz w:val="24"/>
          <w:szCs w:val="24"/>
        </w:rPr>
        <w:t xml:space="preserve"> high investor sentiment </w:t>
      </w:r>
      <w:r w:rsidR="00874B21">
        <w:rPr>
          <w:rFonts w:ascii="Times New Roman" w:hAnsi="Times New Roman" w:cs="Times New Roman"/>
          <w:sz w:val="24"/>
          <w:szCs w:val="24"/>
        </w:rPr>
        <w:t>is</w:t>
      </w:r>
      <w:r w:rsidR="00FC25EA">
        <w:rPr>
          <w:rFonts w:ascii="Times New Roman" w:hAnsi="Times New Roman" w:cs="Times New Roman"/>
          <w:sz w:val="24"/>
          <w:szCs w:val="24"/>
        </w:rPr>
        <w:t xml:space="preserve"> </w:t>
      </w:r>
      <w:r w:rsidR="0043172A">
        <w:rPr>
          <w:rFonts w:ascii="Times New Roman" w:hAnsi="Times New Roman" w:cs="Times New Roman"/>
          <w:sz w:val="24"/>
          <w:szCs w:val="24"/>
        </w:rPr>
        <w:t>suggestive of corrections</w:t>
      </w:r>
      <w:r w:rsidR="005E1A80">
        <w:rPr>
          <w:rFonts w:ascii="Times New Roman" w:hAnsi="Times New Roman" w:cs="Times New Roman"/>
          <w:sz w:val="24"/>
          <w:szCs w:val="24"/>
        </w:rPr>
        <w:t xml:space="preserve"> of overvaluation</w:t>
      </w:r>
      <w:r w:rsidR="0043172A">
        <w:rPr>
          <w:rFonts w:ascii="Times New Roman" w:hAnsi="Times New Roman" w:cs="Times New Roman"/>
          <w:sz w:val="24"/>
          <w:szCs w:val="24"/>
        </w:rPr>
        <w:t>.</w:t>
      </w:r>
    </w:p>
    <w:p w14:paraId="49E07C0A" w14:textId="685613F6" w:rsidR="00A302ED" w:rsidRDefault="00A302ED" w:rsidP="00632812">
      <w:pPr>
        <w:spacing w:before="120" w:after="0" w:line="480" w:lineRule="auto"/>
        <w:rPr>
          <w:rFonts w:ascii="Times New Roman" w:hAnsi="Times New Roman" w:cs="Times New Roman"/>
          <w:b/>
          <w:sz w:val="24"/>
          <w:szCs w:val="24"/>
          <w:lang w:val="en-US"/>
        </w:rPr>
      </w:pPr>
      <w:r w:rsidRPr="00A302ED">
        <w:rPr>
          <w:rFonts w:ascii="Times New Roman" w:hAnsi="Times New Roman" w:cs="Times New Roman"/>
          <w:b/>
          <w:sz w:val="24"/>
          <w:szCs w:val="24"/>
          <w:lang w:val="en-US"/>
        </w:rPr>
        <w:t>Insights on the “Disappearance” of the Value Premium</w:t>
      </w:r>
    </w:p>
    <w:p w14:paraId="588058F0" w14:textId="1E864EBF" w:rsidR="00FE601A" w:rsidRDefault="00FE601A" w:rsidP="00DF7CB6">
      <w:pPr>
        <w:spacing w:after="0" w:line="480" w:lineRule="auto"/>
        <w:ind w:firstLine="567"/>
        <w:jc w:val="both"/>
        <w:rPr>
          <w:rFonts w:ascii="Times New Roman" w:hAnsi="Times New Roman" w:cs="Times New Roman"/>
          <w:bCs/>
          <w:sz w:val="24"/>
          <w:szCs w:val="24"/>
          <w:lang w:val="en-US"/>
        </w:rPr>
      </w:pPr>
      <w:r>
        <w:rPr>
          <w:rFonts w:ascii="Times New Roman" w:hAnsi="Times New Roman" w:cs="Times New Roman"/>
          <w:bCs/>
          <w:sz w:val="24"/>
          <w:szCs w:val="24"/>
          <w:lang w:val="en-US"/>
        </w:rPr>
        <w:t>Before concluding</w:t>
      </w:r>
      <w:r w:rsidR="00921AA0">
        <w:rPr>
          <w:rFonts w:ascii="Times New Roman" w:hAnsi="Times New Roman" w:cs="Times New Roman"/>
          <w:bCs/>
          <w:sz w:val="24"/>
          <w:szCs w:val="24"/>
          <w:lang w:val="en-US"/>
        </w:rPr>
        <w:t xml:space="preserve"> the paper</w:t>
      </w:r>
      <w:r>
        <w:rPr>
          <w:rFonts w:ascii="Times New Roman" w:hAnsi="Times New Roman" w:cs="Times New Roman"/>
          <w:bCs/>
          <w:sz w:val="24"/>
          <w:szCs w:val="24"/>
          <w:lang w:val="en-US"/>
        </w:rPr>
        <w:t xml:space="preserve">, we use our methodological </w:t>
      </w:r>
      <w:r w:rsidR="009772F5">
        <w:rPr>
          <w:rFonts w:ascii="Times New Roman" w:hAnsi="Times New Roman" w:cs="Times New Roman"/>
          <w:bCs/>
          <w:sz w:val="24"/>
          <w:szCs w:val="24"/>
          <w:lang w:val="en-US"/>
        </w:rPr>
        <w:t xml:space="preserve">tools </w:t>
      </w:r>
      <w:r>
        <w:rPr>
          <w:rFonts w:ascii="Times New Roman" w:hAnsi="Times New Roman" w:cs="Times New Roman"/>
          <w:bCs/>
          <w:sz w:val="24"/>
          <w:szCs w:val="24"/>
          <w:lang w:val="en-US"/>
        </w:rPr>
        <w:t>to shed some light on one of the recent puzzles regarding the value premium</w:t>
      </w:r>
      <w:r w:rsidR="00014A4C">
        <w:rPr>
          <w:rFonts w:ascii="Times New Roman" w:hAnsi="Times New Roman" w:cs="Times New Roman"/>
          <w:bCs/>
          <w:sz w:val="24"/>
          <w:szCs w:val="24"/>
          <w:lang w:val="en-US"/>
        </w:rPr>
        <w:t xml:space="preserve">: the fact </w:t>
      </w:r>
      <w:r>
        <w:rPr>
          <w:rFonts w:ascii="Times New Roman" w:hAnsi="Times New Roman" w:cs="Times New Roman"/>
          <w:bCs/>
          <w:sz w:val="24"/>
          <w:szCs w:val="24"/>
          <w:lang w:val="en-US"/>
        </w:rPr>
        <w:t>that value-minus</w:t>
      </w:r>
      <w:r w:rsidR="000A795C">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growth strategies have not performed well over the last </w:t>
      </w:r>
      <w:r w:rsidR="00F0480C">
        <w:rPr>
          <w:rFonts w:ascii="Times New Roman" w:hAnsi="Times New Roman" w:cs="Times New Roman"/>
          <w:bCs/>
          <w:sz w:val="24"/>
          <w:szCs w:val="24"/>
          <w:lang w:val="en-US"/>
        </w:rPr>
        <w:t>couple of decades.</w:t>
      </w:r>
      <w:r w:rsidR="006457B9" w:rsidRPr="006457B9">
        <w:rPr>
          <w:rFonts w:ascii="Times New Roman" w:hAnsi="Times New Roman" w:cs="Times New Roman"/>
          <w:bCs/>
          <w:sz w:val="24"/>
          <w:szCs w:val="24"/>
          <w:lang w:val="en-US"/>
        </w:rPr>
        <w:t xml:space="preserve"> </w:t>
      </w:r>
      <w:r w:rsidR="006457B9">
        <w:rPr>
          <w:rFonts w:ascii="Times New Roman" w:hAnsi="Times New Roman" w:cs="Times New Roman"/>
          <w:bCs/>
          <w:sz w:val="24"/>
          <w:szCs w:val="24"/>
          <w:lang w:val="en-US"/>
        </w:rPr>
        <w:t>Indeed</w:t>
      </w:r>
      <w:r>
        <w:rPr>
          <w:rFonts w:ascii="Times New Roman" w:hAnsi="Times New Roman" w:cs="Times New Roman"/>
          <w:bCs/>
          <w:sz w:val="24"/>
          <w:szCs w:val="24"/>
          <w:lang w:val="en-US"/>
        </w:rPr>
        <w:t>,</w:t>
      </w:r>
      <w:r w:rsidR="00F0480C">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the conventional value </w:t>
      </w:r>
      <w:r w:rsidR="00073A55">
        <w:rPr>
          <w:rFonts w:ascii="Times New Roman" w:hAnsi="Times New Roman" w:cs="Times New Roman"/>
          <w:bCs/>
          <w:sz w:val="24"/>
          <w:szCs w:val="24"/>
          <w:lang w:val="en-US"/>
        </w:rPr>
        <w:t xml:space="preserve">strategy </w:t>
      </w:r>
      <w:r w:rsidR="00F0480C">
        <w:rPr>
          <w:rFonts w:ascii="Times New Roman" w:hAnsi="Times New Roman" w:cs="Times New Roman"/>
          <w:bCs/>
          <w:sz w:val="24"/>
          <w:szCs w:val="24"/>
          <w:lang w:val="en-US"/>
        </w:rPr>
        <w:t>exemplified by the Fama-French’s HML factor has delivered negative returns in 11 out of 17 most recent years</w:t>
      </w:r>
      <w:r w:rsidR="00F46E82">
        <w:rPr>
          <w:rFonts w:ascii="Times New Roman" w:hAnsi="Times New Roman" w:cs="Times New Roman"/>
          <w:bCs/>
          <w:sz w:val="24"/>
          <w:szCs w:val="24"/>
          <w:lang w:val="en-US"/>
        </w:rPr>
        <w:t xml:space="preserve"> up to 2023</w:t>
      </w:r>
      <w:r w:rsidR="00F0480C">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What </w:t>
      </w:r>
      <w:r w:rsidR="00014A4C">
        <w:rPr>
          <w:rFonts w:ascii="Times New Roman" w:hAnsi="Times New Roman" w:cs="Times New Roman"/>
          <w:bCs/>
          <w:sz w:val="24"/>
          <w:szCs w:val="24"/>
          <w:lang w:val="en-US"/>
        </w:rPr>
        <w:t xml:space="preserve">is behind </w:t>
      </w:r>
      <w:r>
        <w:rPr>
          <w:rFonts w:ascii="Times New Roman" w:hAnsi="Times New Roman" w:cs="Times New Roman"/>
          <w:bCs/>
          <w:sz w:val="24"/>
          <w:szCs w:val="24"/>
          <w:lang w:val="en-US"/>
        </w:rPr>
        <w:t>the apparent “disappearance</w:t>
      </w:r>
      <w:r w:rsidR="0071529A">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of the value premium?</w:t>
      </w:r>
    </w:p>
    <w:p w14:paraId="7373ED23" w14:textId="1DB4B7B6" w:rsidR="004C02F0" w:rsidRDefault="00014A4C" w:rsidP="00810EC2">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bCs/>
          <w:sz w:val="24"/>
          <w:szCs w:val="24"/>
          <w:lang w:val="en-US"/>
        </w:rPr>
        <w:t>Our first insight</w:t>
      </w:r>
      <w:r w:rsidR="004C02F0">
        <w:rPr>
          <w:rFonts w:ascii="Times New Roman" w:hAnsi="Times New Roman" w:cs="Times New Roman"/>
          <w:bCs/>
          <w:sz w:val="24"/>
          <w:szCs w:val="24"/>
          <w:lang w:val="en-US"/>
        </w:rPr>
        <w:t xml:space="preserve"> has to do with the evolution of investor sentiment. I</w:t>
      </w:r>
      <w:r w:rsidR="004C02F0">
        <w:rPr>
          <w:rFonts w:ascii="Times New Roman" w:hAnsi="Times New Roman" w:cs="Times New Roman"/>
          <w:sz w:val="24"/>
          <w:szCs w:val="24"/>
          <w:lang w:val="en-US"/>
        </w:rPr>
        <w:t xml:space="preserve">n </w:t>
      </w:r>
      <w:r w:rsidR="00F46342">
        <w:rPr>
          <w:rFonts w:ascii="Times New Roman" w:hAnsi="Times New Roman" w:cs="Times New Roman"/>
          <w:sz w:val="24"/>
          <w:szCs w:val="24"/>
          <w:lang w:val="en-US"/>
        </w:rPr>
        <w:t>the previous section</w:t>
      </w:r>
      <w:r w:rsidR="004C02F0">
        <w:rPr>
          <w:rFonts w:ascii="Times New Roman" w:hAnsi="Times New Roman" w:cs="Times New Roman"/>
          <w:sz w:val="24"/>
          <w:szCs w:val="24"/>
          <w:lang w:val="en-US"/>
        </w:rPr>
        <w:t xml:space="preserve"> we</w:t>
      </w:r>
      <w:r w:rsidR="00A87926">
        <w:rPr>
          <w:rFonts w:ascii="Times New Roman" w:hAnsi="Times New Roman" w:cs="Times New Roman"/>
          <w:sz w:val="24"/>
          <w:szCs w:val="24"/>
          <w:lang w:val="en-US"/>
        </w:rPr>
        <w:t xml:space="preserve"> have </w:t>
      </w:r>
      <w:r w:rsidR="004C02F0">
        <w:rPr>
          <w:rFonts w:ascii="Times New Roman" w:hAnsi="Times New Roman" w:cs="Times New Roman"/>
          <w:sz w:val="24"/>
          <w:szCs w:val="24"/>
          <w:lang w:val="en-US"/>
        </w:rPr>
        <w:t>show</w:t>
      </w:r>
      <w:r w:rsidR="00A87926">
        <w:rPr>
          <w:rFonts w:ascii="Times New Roman" w:hAnsi="Times New Roman" w:cs="Times New Roman"/>
          <w:sz w:val="24"/>
          <w:szCs w:val="24"/>
          <w:lang w:val="en-US"/>
        </w:rPr>
        <w:t>n</w:t>
      </w:r>
      <w:r w:rsidR="004C02F0">
        <w:rPr>
          <w:rFonts w:ascii="Times New Roman" w:hAnsi="Times New Roman" w:cs="Times New Roman"/>
          <w:sz w:val="24"/>
          <w:szCs w:val="24"/>
          <w:lang w:val="en-US"/>
        </w:rPr>
        <w:t xml:space="preserve"> that buying high VU “value” stocks is particularly profitable following periods of low investor sentiment, and shorting high VU “growth” stocks is particularly profitable following periods of low investor sentiment. </w:t>
      </w:r>
      <w:r w:rsidR="009772F5">
        <w:rPr>
          <w:rFonts w:ascii="Times New Roman" w:hAnsi="Times New Roman" w:cs="Times New Roman"/>
          <w:sz w:val="24"/>
          <w:szCs w:val="24"/>
          <w:lang w:val="en-US"/>
        </w:rPr>
        <w:t>In fact, Table 7 shows that p</w:t>
      </w:r>
      <w:r w:rsidR="004C02F0">
        <w:rPr>
          <w:rFonts w:ascii="Times New Roman" w:hAnsi="Times New Roman" w:cs="Times New Roman"/>
          <w:sz w:val="24"/>
          <w:szCs w:val="24"/>
          <w:lang w:val="en-US"/>
        </w:rPr>
        <w:t xml:space="preserve">eriods of moderate investor sentiment are </w:t>
      </w:r>
      <w:r w:rsidR="004C02F0" w:rsidRPr="00105919">
        <w:rPr>
          <w:rFonts w:ascii="Times New Roman" w:hAnsi="Times New Roman" w:cs="Times New Roman"/>
          <w:i/>
          <w:iCs/>
          <w:sz w:val="24"/>
          <w:szCs w:val="24"/>
          <w:lang w:val="en-US"/>
        </w:rPr>
        <w:t>not</w:t>
      </w:r>
      <w:r w:rsidR="004C02F0">
        <w:rPr>
          <w:rFonts w:ascii="Times New Roman" w:hAnsi="Times New Roman" w:cs="Times New Roman"/>
          <w:sz w:val="24"/>
          <w:szCs w:val="24"/>
          <w:lang w:val="en-US"/>
        </w:rPr>
        <w:t xml:space="preserve"> associated with significant hedge returns to our strategy. In other words, extreme sentiment (excessively high or low) is conducive to the build-up of mispricing</w:t>
      </w:r>
      <w:r w:rsidR="00014623">
        <w:rPr>
          <w:rFonts w:ascii="Times New Roman" w:hAnsi="Times New Roman" w:cs="Times New Roman"/>
          <w:sz w:val="24"/>
          <w:szCs w:val="24"/>
          <w:lang w:val="en-US"/>
        </w:rPr>
        <w:t>, whereas</w:t>
      </w:r>
      <w:r w:rsidR="004C02F0">
        <w:rPr>
          <w:rFonts w:ascii="Times New Roman" w:hAnsi="Times New Roman" w:cs="Times New Roman"/>
          <w:sz w:val="24"/>
          <w:szCs w:val="24"/>
          <w:lang w:val="en-US"/>
        </w:rPr>
        <w:t xml:space="preserve"> moderate sentiment is not. Could it be that the recent period has been characterized by moderate sentiment?</w:t>
      </w:r>
      <w:r w:rsidR="00810EC2">
        <w:rPr>
          <w:rFonts w:ascii="Times New Roman" w:hAnsi="Times New Roman" w:cs="Times New Roman"/>
          <w:sz w:val="24"/>
          <w:szCs w:val="24"/>
          <w:lang w:val="en-US"/>
        </w:rPr>
        <w:t xml:space="preserve"> </w:t>
      </w:r>
      <w:r w:rsidR="004C02F0">
        <w:rPr>
          <w:rFonts w:ascii="Times New Roman" w:hAnsi="Times New Roman" w:cs="Times New Roman"/>
          <w:sz w:val="24"/>
          <w:szCs w:val="24"/>
          <w:lang w:val="en-US"/>
        </w:rPr>
        <w:t xml:space="preserve">Figure </w:t>
      </w:r>
      <w:r w:rsidR="00424F66">
        <w:rPr>
          <w:rFonts w:ascii="Times New Roman" w:hAnsi="Times New Roman" w:cs="Times New Roman"/>
          <w:sz w:val="24"/>
          <w:szCs w:val="24"/>
          <w:lang w:val="en-US"/>
        </w:rPr>
        <w:t>3</w:t>
      </w:r>
      <w:r w:rsidR="004C02F0">
        <w:rPr>
          <w:rFonts w:ascii="Times New Roman" w:hAnsi="Times New Roman" w:cs="Times New Roman"/>
          <w:sz w:val="24"/>
          <w:szCs w:val="24"/>
          <w:lang w:val="en-US"/>
        </w:rPr>
        <w:t xml:space="preserve"> plots investor sentiment over our sample period. The two horizontal lines correspond to the 33</w:t>
      </w:r>
      <w:r w:rsidR="004C02F0" w:rsidRPr="000C0181">
        <w:rPr>
          <w:rFonts w:ascii="Times New Roman" w:hAnsi="Times New Roman" w:cs="Times New Roman"/>
          <w:sz w:val="24"/>
          <w:szCs w:val="24"/>
          <w:vertAlign w:val="superscript"/>
          <w:lang w:val="en-US"/>
        </w:rPr>
        <w:t>rd</w:t>
      </w:r>
      <w:r w:rsidR="004C02F0">
        <w:rPr>
          <w:rFonts w:ascii="Times New Roman" w:hAnsi="Times New Roman" w:cs="Times New Roman"/>
          <w:sz w:val="24"/>
          <w:szCs w:val="24"/>
          <w:lang w:val="en-US"/>
        </w:rPr>
        <w:t xml:space="preserve"> and 66</w:t>
      </w:r>
      <w:r w:rsidR="004C02F0" w:rsidRPr="000C0181">
        <w:rPr>
          <w:rFonts w:ascii="Times New Roman" w:hAnsi="Times New Roman" w:cs="Times New Roman"/>
          <w:sz w:val="24"/>
          <w:szCs w:val="24"/>
          <w:vertAlign w:val="superscript"/>
          <w:lang w:val="en-US"/>
        </w:rPr>
        <w:t>th</w:t>
      </w:r>
      <w:r w:rsidR="004C02F0">
        <w:rPr>
          <w:rFonts w:ascii="Times New Roman" w:hAnsi="Times New Roman" w:cs="Times New Roman"/>
          <w:sz w:val="24"/>
          <w:szCs w:val="24"/>
          <w:lang w:val="en-US"/>
        </w:rPr>
        <w:t xml:space="preserve"> percentiles of sentiment </w:t>
      </w:r>
      <w:r w:rsidR="000B180F">
        <w:rPr>
          <w:rFonts w:ascii="Times New Roman" w:hAnsi="Times New Roman" w:cs="Times New Roman"/>
          <w:sz w:val="24"/>
          <w:szCs w:val="24"/>
          <w:lang w:val="en-US"/>
        </w:rPr>
        <w:t xml:space="preserve">– </w:t>
      </w:r>
      <w:r w:rsidR="004C02F0">
        <w:rPr>
          <w:rFonts w:ascii="Times New Roman" w:hAnsi="Times New Roman" w:cs="Times New Roman"/>
          <w:sz w:val="24"/>
          <w:szCs w:val="24"/>
          <w:lang w:val="en-US"/>
        </w:rPr>
        <w:t xml:space="preserve">our cutoffs for high and low periods. </w:t>
      </w:r>
      <w:r w:rsidR="000B180F">
        <w:rPr>
          <w:rFonts w:ascii="Times New Roman" w:hAnsi="Times New Roman" w:cs="Times New Roman"/>
          <w:sz w:val="24"/>
          <w:szCs w:val="24"/>
          <w:lang w:val="en-US"/>
        </w:rPr>
        <w:t>M</w:t>
      </w:r>
      <w:r w:rsidR="004C02F0">
        <w:rPr>
          <w:rFonts w:ascii="Times New Roman" w:hAnsi="Times New Roman" w:cs="Times New Roman"/>
          <w:sz w:val="24"/>
          <w:szCs w:val="24"/>
          <w:lang w:val="en-US"/>
        </w:rPr>
        <w:t>uch of the period between 2005 and 2020 is</w:t>
      </w:r>
      <w:r w:rsidR="000B180F">
        <w:rPr>
          <w:rFonts w:ascii="Times New Roman" w:hAnsi="Times New Roman" w:cs="Times New Roman"/>
          <w:sz w:val="24"/>
          <w:szCs w:val="24"/>
          <w:lang w:val="en-US"/>
        </w:rPr>
        <w:t xml:space="preserve"> indeed</w:t>
      </w:r>
      <w:r w:rsidR="004C02F0">
        <w:rPr>
          <w:rFonts w:ascii="Times New Roman" w:hAnsi="Times New Roman" w:cs="Times New Roman"/>
          <w:sz w:val="24"/>
          <w:szCs w:val="24"/>
          <w:lang w:val="en-US"/>
        </w:rPr>
        <w:t xml:space="preserve"> characterized by moderate sentiment.</w:t>
      </w:r>
      <w:r w:rsidR="00764D56">
        <w:rPr>
          <w:rStyle w:val="FootnoteReference"/>
          <w:rFonts w:ascii="Times New Roman" w:hAnsi="Times New Roman" w:cs="Times New Roman"/>
          <w:sz w:val="24"/>
          <w:szCs w:val="24"/>
          <w:lang w:val="en-US"/>
        </w:rPr>
        <w:footnoteReference w:id="32"/>
      </w:r>
      <w:r w:rsidR="004C02F0">
        <w:rPr>
          <w:rFonts w:ascii="Times New Roman" w:hAnsi="Times New Roman" w:cs="Times New Roman"/>
          <w:sz w:val="24"/>
          <w:szCs w:val="24"/>
          <w:lang w:val="en-US"/>
        </w:rPr>
        <w:t xml:space="preserve"> Interestingly, extreme </w:t>
      </w:r>
      <w:r w:rsidR="004C02F0">
        <w:rPr>
          <w:rFonts w:ascii="Times New Roman" w:hAnsi="Times New Roman" w:cs="Times New Roman"/>
          <w:sz w:val="24"/>
          <w:szCs w:val="24"/>
          <w:lang w:val="en-US"/>
        </w:rPr>
        <w:lastRenderedPageBreak/>
        <w:t>values of sentiment rebound from about 2020 onwards, which coincides with a certain revival in the performance of our price-to-value strategy, especially among high VU stocks.</w:t>
      </w:r>
    </w:p>
    <w:p w14:paraId="1FDEE6F7" w14:textId="216937F1" w:rsidR="00F37694" w:rsidRDefault="00385D66" w:rsidP="005C3909">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Second</w:t>
      </w:r>
      <w:r w:rsidR="000C0CBF">
        <w:rPr>
          <w:rFonts w:ascii="Times New Roman" w:hAnsi="Times New Roman" w:cs="Times New Roman"/>
          <w:sz w:val="24"/>
          <w:szCs w:val="24"/>
          <w:lang w:val="en-US"/>
        </w:rPr>
        <w:t>,</w:t>
      </w:r>
      <w:r w:rsidR="00515AAD">
        <w:rPr>
          <w:rFonts w:ascii="Times New Roman" w:hAnsi="Times New Roman" w:cs="Times New Roman"/>
          <w:sz w:val="24"/>
          <w:szCs w:val="24"/>
          <w:lang w:val="en-US"/>
        </w:rPr>
        <w:t xml:space="preserve"> </w:t>
      </w:r>
      <w:r w:rsidR="000C0CBF">
        <w:rPr>
          <w:rFonts w:ascii="Times New Roman" w:hAnsi="Times New Roman" w:cs="Times New Roman"/>
          <w:sz w:val="24"/>
          <w:szCs w:val="24"/>
          <w:lang w:val="en-US"/>
        </w:rPr>
        <w:t>note that</w:t>
      </w:r>
      <w:r w:rsidR="00515AAD">
        <w:rPr>
          <w:rFonts w:ascii="Times New Roman" w:hAnsi="Times New Roman" w:cs="Times New Roman"/>
          <w:sz w:val="24"/>
          <w:szCs w:val="24"/>
          <w:lang w:val="en-US"/>
        </w:rPr>
        <w:t xml:space="preserve"> our</w:t>
      </w:r>
      <w:r w:rsidR="000A2D2A">
        <w:rPr>
          <w:rFonts w:ascii="Times New Roman" w:hAnsi="Times New Roman" w:cs="Times New Roman"/>
          <w:sz w:val="24"/>
          <w:szCs w:val="24"/>
          <w:lang w:val="en-US"/>
        </w:rPr>
        <w:t xml:space="preserve"> value-like</w:t>
      </w:r>
      <w:r w:rsidR="00515AAD">
        <w:rPr>
          <w:rFonts w:ascii="Times New Roman" w:hAnsi="Times New Roman" w:cs="Times New Roman"/>
          <w:sz w:val="24"/>
          <w:szCs w:val="24"/>
          <w:lang w:val="en-US"/>
        </w:rPr>
        <w:t xml:space="preserve"> strategy </w:t>
      </w:r>
      <w:r w:rsidR="00036292">
        <w:rPr>
          <w:rFonts w:ascii="Times New Roman" w:hAnsi="Times New Roman" w:cs="Times New Roman"/>
          <w:sz w:val="24"/>
          <w:szCs w:val="24"/>
          <w:lang w:val="en-US"/>
        </w:rPr>
        <w:t>exploits</w:t>
      </w:r>
      <w:r w:rsidR="00515AAD">
        <w:rPr>
          <w:rFonts w:ascii="Times New Roman" w:hAnsi="Times New Roman" w:cs="Times New Roman"/>
          <w:sz w:val="24"/>
          <w:szCs w:val="24"/>
          <w:lang w:val="en-US"/>
        </w:rPr>
        <w:t xml:space="preserve"> the </w:t>
      </w:r>
      <w:r w:rsidR="005C3909">
        <w:rPr>
          <w:rFonts w:ascii="Times New Roman" w:hAnsi="Times New Roman" w:cs="Times New Roman"/>
          <w:sz w:val="24"/>
          <w:szCs w:val="24"/>
          <w:lang w:val="en-US"/>
        </w:rPr>
        <w:t>price-to-value ratio</w:t>
      </w:r>
      <w:r w:rsidR="00515AAD">
        <w:rPr>
          <w:rFonts w:ascii="Times New Roman" w:hAnsi="Times New Roman" w:cs="Times New Roman"/>
          <w:sz w:val="24"/>
          <w:szCs w:val="24"/>
          <w:lang w:val="en-US"/>
        </w:rPr>
        <w:t xml:space="preserve">, </w:t>
      </w:r>
      <w:r w:rsidR="005C3909">
        <w:rPr>
          <w:rFonts w:ascii="Times New Roman" w:hAnsi="Times New Roman" w:cs="Times New Roman"/>
          <w:sz w:val="24"/>
          <w:szCs w:val="24"/>
          <w:lang w:val="en-US"/>
        </w:rPr>
        <w:t xml:space="preserve">not </w:t>
      </w:r>
      <w:r w:rsidR="00515AAD">
        <w:rPr>
          <w:rFonts w:ascii="Times New Roman" w:hAnsi="Times New Roman" w:cs="Times New Roman"/>
          <w:sz w:val="24"/>
          <w:szCs w:val="24"/>
          <w:lang w:val="en-US"/>
        </w:rPr>
        <w:t xml:space="preserve">he conventional price-to-book. Figure </w:t>
      </w:r>
      <w:r w:rsidR="001C2129">
        <w:rPr>
          <w:rFonts w:ascii="Times New Roman" w:hAnsi="Times New Roman" w:cs="Times New Roman"/>
          <w:sz w:val="24"/>
          <w:szCs w:val="24"/>
          <w:lang w:val="en-US"/>
        </w:rPr>
        <w:t>4</w:t>
      </w:r>
      <w:r w:rsidR="006A3F60">
        <w:rPr>
          <w:rFonts w:ascii="Times New Roman" w:hAnsi="Times New Roman" w:cs="Times New Roman"/>
          <w:sz w:val="24"/>
          <w:szCs w:val="24"/>
          <w:lang w:val="en-US"/>
        </w:rPr>
        <w:t>,</w:t>
      </w:r>
      <w:r w:rsidR="001C2129">
        <w:rPr>
          <w:rFonts w:ascii="Times New Roman" w:hAnsi="Times New Roman" w:cs="Times New Roman"/>
          <w:sz w:val="24"/>
          <w:szCs w:val="24"/>
          <w:lang w:val="en-US"/>
        </w:rPr>
        <w:t xml:space="preserve"> </w:t>
      </w:r>
      <w:r w:rsidR="00515AAD">
        <w:rPr>
          <w:rFonts w:ascii="Times New Roman" w:hAnsi="Times New Roman" w:cs="Times New Roman"/>
          <w:sz w:val="24"/>
          <w:szCs w:val="24"/>
          <w:lang w:val="en-US"/>
        </w:rPr>
        <w:t xml:space="preserve">Panel A shows </w:t>
      </w:r>
      <w:r w:rsidR="00070C76">
        <w:rPr>
          <w:rFonts w:ascii="Times New Roman" w:hAnsi="Times New Roman" w:cs="Times New Roman"/>
          <w:sz w:val="24"/>
          <w:szCs w:val="24"/>
          <w:lang w:val="en-US"/>
        </w:rPr>
        <w:t xml:space="preserve">the performance of </w:t>
      </w:r>
      <w:r w:rsidR="00515AAD">
        <w:rPr>
          <w:rFonts w:ascii="Times New Roman" w:hAnsi="Times New Roman" w:cs="Times New Roman"/>
          <w:sz w:val="24"/>
          <w:szCs w:val="24"/>
          <w:lang w:val="en-US"/>
        </w:rPr>
        <w:t>the conventional price-to-book strategy</w:t>
      </w:r>
      <w:r w:rsidR="00070C76">
        <w:rPr>
          <w:rFonts w:ascii="Times New Roman" w:hAnsi="Times New Roman" w:cs="Times New Roman"/>
          <w:sz w:val="24"/>
          <w:szCs w:val="24"/>
          <w:lang w:val="en-US"/>
        </w:rPr>
        <w:t>. Comparing Figure 4 to Figure 2</w:t>
      </w:r>
      <w:r>
        <w:rPr>
          <w:rFonts w:ascii="Times New Roman" w:hAnsi="Times New Roman" w:cs="Times New Roman"/>
          <w:sz w:val="24"/>
          <w:szCs w:val="24"/>
          <w:lang w:val="en-US"/>
        </w:rPr>
        <w:t xml:space="preserve"> reveals </w:t>
      </w:r>
      <w:r w:rsidR="00070C76">
        <w:rPr>
          <w:rFonts w:ascii="Times New Roman" w:hAnsi="Times New Roman" w:cs="Times New Roman"/>
          <w:sz w:val="24"/>
          <w:szCs w:val="24"/>
          <w:lang w:val="en-US"/>
        </w:rPr>
        <w:t>that the conventional value strategy</w:t>
      </w:r>
      <w:r w:rsidR="00515AAD">
        <w:rPr>
          <w:rFonts w:ascii="Times New Roman" w:hAnsi="Times New Roman" w:cs="Times New Roman"/>
          <w:sz w:val="24"/>
          <w:szCs w:val="24"/>
          <w:lang w:val="en-US"/>
        </w:rPr>
        <w:t xml:space="preserve"> has fared significantly worse during the recent period </w:t>
      </w:r>
      <w:r w:rsidR="00810EC2">
        <w:rPr>
          <w:rFonts w:ascii="Times New Roman" w:hAnsi="Times New Roman" w:cs="Times New Roman"/>
          <w:sz w:val="24"/>
          <w:szCs w:val="24"/>
          <w:lang w:val="en-US"/>
        </w:rPr>
        <w:t>than</w:t>
      </w:r>
      <w:r w:rsidR="00515AAD">
        <w:rPr>
          <w:rFonts w:ascii="Times New Roman" w:hAnsi="Times New Roman" w:cs="Times New Roman"/>
          <w:sz w:val="24"/>
          <w:szCs w:val="24"/>
          <w:lang w:val="en-US"/>
        </w:rPr>
        <w:t xml:space="preserve"> </w:t>
      </w:r>
      <w:r w:rsidR="0028217E">
        <w:rPr>
          <w:rFonts w:ascii="Times New Roman" w:hAnsi="Times New Roman" w:cs="Times New Roman"/>
          <w:sz w:val="24"/>
          <w:szCs w:val="24"/>
          <w:lang w:val="en-US"/>
        </w:rPr>
        <w:t xml:space="preserve">our </w:t>
      </w:r>
      <w:r w:rsidR="00515AAD">
        <w:rPr>
          <w:rFonts w:ascii="Times New Roman" w:hAnsi="Times New Roman" w:cs="Times New Roman"/>
          <w:sz w:val="24"/>
          <w:szCs w:val="24"/>
          <w:lang w:val="en-US"/>
        </w:rPr>
        <w:t>price-to-value strategy, especially on a VW basis.</w:t>
      </w:r>
      <w:r w:rsidR="0028217E">
        <w:rPr>
          <w:rFonts w:ascii="Times New Roman" w:hAnsi="Times New Roman" w:cs="Times New Roman"/>
          <w:sz w:val="24"/>
          <w:szCs w:val="24"/>
          <w:lang w:val="en-US"/>
        </w:rPr>
        <w:t xml:space="preserve"> </w:t>
      </w:r>
      <w:r w:rsidR="00036292">
        <w:rPr>
          <w:rFonts w:ascii="Times New Roman" w:hAnsi="Times New Roman" w:cs="Times New Roman"/>
          <w:sz w:val="24"/>
          <w:szCs w:val="24"/>
          <w:lang w:val="en-US"/>
        </w:rPr>
        <w:t>It follows that</w:t>
      </w:r>
      <w:r w:rsidR="00C927AF">
        <w:rPr>
          <w:rFonts w:ascii="Times New Roman" w:hAnsi="Times New Roman" w:cs="Times New Roman"/>
          <w:sz w:val="24"/>
          <w:szCs w:val="24"/>
          <w:lang w:val="en-US"/>
        </w:rPr>
        <w:t xml:space="preserve"> </w:t>
      </w:r>
      <w:r w:rsidR="000F5ADB">
        <w:rPr>
          <w:rFonts w:ascii="Times New Roman" w:hAnsi="Times New Roman" w:cs="Times New Roman"/>
          <w:sz w:val="24"/>
          <w:szCs w:val="24"/>
          <w:lang w:val="en-US"/>
        </w:rPr>
        <w:t xml:space="preserve">the </w:t>
      </w:r>
      <w:r w:rsidR="00C927AF">
        <w:rPr>
          <w:rFonts w:ascii="Times New Roman" w:hAnsi="Times New Roman" w:cs="Times New Roman"/>
          <w:sz w:val="24"/>
          <w:szCs w:val="24"/>
          <w:lang w:val="en-US"/>
        </w:rPr>
        <w:t>outperformance of growth over value</w:t>
      </w:r>
      <w:r w:rsidR="00036292">
        <w:rPr>
          <w:rFonts w:ascii="Times New Roman" w:hAnsi="Times New Roman" w:cs="Times New Roman"/>
          <w:sz w:val="24"/>
          <w:szCs w:val="24"/>
          <w:lang w:val="en-US"/>
        </w:rPr>
        <w:t xml:space="preserve"> in recent years</w:t>
      </w:r>
      <w:r w:rsidR="000F5ADB">
        <w:rPr>
          <w:rFonts w:ascii="Times New Roman" w:hAnsi="Times New Roman" w:cs="Times New Roman"/>
          <w:sz w:val="24"/>
          <w:szCs w:val="24"/>
          <w:lang w:val="en-US"/>
        </w:rPr>
        <w:t xml:space="preserve"> </w:t>
      </w:r>
      <w:r w:rsidR="00036292">
        <w:rPr>
          <w:rFonts w:ascii="Times New Roman" w:hAnsi="Times New Roman" w:cs="Times New Roman"/>
          <w:sz w:val="24"/>
          <w:szCs w:val="24"/>
          <w:lang w:val="en-US"/>
        </w:rPr>
        <w:t>is</w:t>
      </w:r>
      <w:r w:rsidR="000F5ADB">
        <w:rPr>
          <w:rFonts w:ascii="Times New Roman" w:hAnsi="Times New Roman" w:cs="Times New Roman"/>
          <w:sz w:val="24"/>
          <w:szCs w:val="24"/>
          <w:lang w:val="en-US"/>
        </w:rPr>
        <w:t xml:space="preserve"> largely due to </w:t>
      </w:r>
      <w:r w:rsidR="00994490">
        <w:rPr>
          <w:rFonts w:ascii="Times New Roman" w:hAnsi="Times New Roman" w:cs="Times New Roman"/>
          <w:sz w:val="24"/>
          <w:szCs w:val="24"/>
          <w:lang w:val="en-US"/>
        </w:rPr>
        <w:t>stocks characterized by high ratios of fundamental value to book</w:t>
      </w:r>
      <w:r w:rsidR="00C927AF">
        <w:rPr>
          <w:rFonts w:ascii="Times New Roman" w:hAnsi="Times New Roman" w:cs="Times New Roman"/>
          <w:sz w:val="24"/>
          <w:szCs w:val="24"/>
          <w:lang w:val="en-US"/>
        </w:rPr>
        <w:t>.</w:t>
      </w:r>
      <w:r w:rsidR="00036292">
        <w:rPr>
          <w:rStyle w:val="FootnoteReference"/>
          <w:rFonts w:ascii="Times New Roman" w:hAnsi="Times New Roman" w:cs="Times New Roman"/>
          <w:sz w:val="24"/>
          <w:szCs w:val="24"/>
          <w:lang w:val="en-US"/>
        </w:rPr>
        <w:footnoteReference w:id="33"/>
      </w:r>
      <w:r w:rsidR="00C927AF">
        <w:rPr>
          <w:rFonts w:ascii="Times New Roman" w:hAnsi="Times New Roman" w:cs="Times New Roman"/>
          <w:sz w:val="24"/>
          <w:szCs w:val="24"/>
          <w:lang w:val="en-US"/>
        </w:rPr>
        <w:t xml:space="preserve"> Figure </w:t>
      </w:r>
      <w:r w:rsidR="00E64B05">
        <w:rPr>
          <w:rFonts w:ascii="Times New Roman" w:hAnsi="Times New Roman" w:cs="Times New Roman"/>
          <w:sz w:val="24"/>
          <w:szCs w:val="24"/>
          <w:lang w:val="en-US"/>
        </w:rPr>
        <w:t>4</w:t>
      </w:r>
      <w:r>
        <w:rPr>
          <w:rFonts w:ascii="Times New Roman" w:hAnsi="Times New Roman" w:cs="Times New Roman"/>
          <w:sz w:val="24"/>
          <w:szCs w:val="24"/>
          <w:lang w:val="en-US"/>
        </w:rPr>
        <w:t>,</w:t>
      </w:r>
      <w:r w:rsidR="00E64B05">
        <w:rPr>
          <w:rFonts w:ascii="Times New Roman" w:hAnsi="Times New Roman" w:cs="Times New Roman"/>
          <w:sz w:val="24"/>
          <w:szCs w:val="24"/>
          <w:lang w:val="en-US"/>
        </w:rPr>
        <w:t xml:space="preserve"> </w:t>
      </w:r>
      <w:r w:rsidR="00C927AF">
        <w:rPr>
          <w:rFonts w:ascii="Times New Roman" w:hAnsi="Times New Roman" w:cs="Times New Roman"/>
          <w:sz w:val="24"/>
          <w:szCs w:val="24"/>
          <w:lang w:val="en-US"/>
        </w:rPr>
        <w:t>Panel B</w:t>
      </w:r>
      <w:r w:rsidR="00E024EC">
        <w:rPr>
          <w:rFonts w:ascii="Times New Roman" w:hAnsi="Times New Roman" w:cs="Times New Roman"/>
          <w:sz w:val="24"/>
          <w:szCs w:val="24"/>
          <w:lang w:val="en-US"/>
        </w:rPr>
        <w:t xml:space="preserve"> confirms this</w:t>
      </w:r>
      <w:r w:rsidR="00E64B05">
        <w:rPr>
          <w:rFonts w:ascii="Times New Roman" w:hAnsi="Times New Roman" w:cs="Times New Roman"/>
          <w:sz w:val="24"/>
          <w:szCs w:val="24"/>
          <w:lang w:val="en-US"/>
        </w:rPr>
        <w:t xml:space="preserve"> insight</w:t>
      </w:r>
      <w:r w:rsidR="00E024EC">
        <w:rPr>
          <w:rFonts w:ascii="Times New Roman" w:hAnsi="Times New Roman" w:cs="Times New Roman"/>
          <w:sz w:val="24"/>
          <w:szCs w:val="24"/>
          <w:lang w:val="en-US"/>
        </w:rPr>
        <w:t xml:space="preserve">. </w:t>
      </w:r>
      <w:r w:rsidR="00036292">
        <w:rPr>
          <w:rFonts w:ascii="Times New Roman" w:hAnsi="Times New Roman" w:cs="Times New Roman"/>
          <w:sz w:val="24"/>
          <w:szCs w:val="24"/>
          <w:lang w:val="en-US"/>
        </w:rPr>
        <w:t>Moreover</w:t>
      </w:r>
      <w:r w:rsidR="00E24D72">
        <w:rPr>
          <w:rFonts w:ascii="Times New Roman" w:hAnsi="Times New Roman" w:cs="Times New Roman"/>
          <w:sz w:val="24"/>
          <w:szCs w:val="24"/>
          <w:lang w:val="en-US"/>
        </w:rPr>
        <w:t xml:space="preserve">, </w:t>
      </w:r>
      <w:r w:rsidR="00A46FB0">
        <w:rPr>
          <w:rFonts w:ascii="Times New Roman" w:hAnsi="Times New Roman" w:cs="Times New Roman"/>
          <w:sz w:val="24"/>
          <w:szCs w:val="24"/>
          <w:lang w:val="en-US"/>
        </w:rPr>
        <w:t xml:space="preserve">it shows that </w:t>
      </w:r>
      <w:r w:rsidR="00E24D72">
        <w:rPr>
          <w:rFonts w:ascii="Times New Roman" w:hAnsi="Times New Roman" w:cs="Times New Roman"/>
          <w:sz w:val="24"/>
          <w:szCs w:val="24"/>
          <w:lang w:val="en-US"/>
        </w:rPr>
        <w:t>the</w:t>
      </w:r>
      <w:r w:rsidR="00A175CC">
        <w:rPr>
          <w:rFonts w:ascii="Times New Roman" w:hAnsi="Times New Roman" w:cs="Times New Roman"/>
          <w:sz w:val="24"/>
          <w:szCs w:val="24"/>
          <w:lang w:val="en-US"/>
        </w:rPr>
        <w:t xml:space="preserve"> recent</w:t>
      </w:r>
      <w:r w:rsidR="00E24D72">
        <w:rPr>
          <w:rFonts w:ascii="Times New Roman" w:hAnsi="Times New Roman" w:cs="Times New Roman"/>
          <w:sz w:val="24"/>
          <w:szCs w:val="24"/>
          <w:lang w:val="en-US"/>
        </w:rPr>
        <w:t xml:space="preserve"> outperformance of high value-to-book stocks is </w:t>
      </w:r>
      <w:r>
        <w:rPr>
          <w:rFonts w:ascii="Times New Roman" w:hAnsi="Times New Roman" w:cs="Times New Roman"/>
          <w:sz w:val="24"/>
          <w:szCs w:val="24"/>
          <w:lang w:val="en-US"/>
        </w:rPr>
        <w:t>driven by</w:t>
      </w:r>
      <w:r w:rsidR="00E24D72">
        <w:rPr>
          <w:rFonts w:ascii="Times New Roman" w:hAnsi="Times New Roman" w:cs="Times New Roman"/>
          <w:sz w:val="24"/>
          <w:szCs w:val="24"/>
          <w:lang w:val="en-US"/>
        </w:rPr>
        <w:t xml:space="preserve"> high </w:t>
      </w:r>
      <w:r w:rsidR="00E24D72" w:rsidRPr="00E24D72">
        <w:rPr>
          <w:rFonts w:ascii="Times New Roman" w:hAnsi="Times New Roman" w:cs="Times New Roman"/>
          <w:i/>
          <w:iCs/>
          <w:sz w:val="24"/>
          <w:szCs w:val="24"/>
          <w:lang w:val="en-US"/>
        </w:rPr>
        <w:t>VU</w:t>
      </w:r>
      <w:r w:rsidR="00E24D72">
        <w:rPr>
          <w:rFonts w:ascii="Times New Roman" w:hAnsi="Times New Roman" w:cs="Times New Roman"/>
          <w:sz w:val="24"/>
          <w:szCs w:val="24"/>
          <w:lang w:val="en-US"/>
        </w:rPr>
        <w:t xml:space="preserve"> stocks, especially in VW portfolios.</w:t>
      </w:r>
      <w:r w:rsidR="005C3909">
        <w:rPr>
          <w:rFonts w:ascii="Times New Roman" w:hAnsi="Times New Roman" w:cs="Times New Roman"/>
          <w:sz w:val="24"/>
          <w:szCs w:val="24"/>
          <w:lang w:val="en-US"/>
        </w:rPr>
        <w:t xml:space="preserve"> </w:t>
      </w:r>
      <w:r w:rsidR="000A03E5">
        <w:rPr>
          <w:rFonts w:ascii="Times New Roman" w:hAnsi="Times New Roman" w:cs="Times New Roman"/>
          <w:sz w:val="24"/>
          <w:szCs w:val="24"/>
          <w:lang w:val="en-US"/>
        </w:rPr>
        <w:t>In the Online Appendix, we</w:t>
      </w:r>
      <w:r w:rsidR="005019A4">
        <w:rPr>
          <w:rFonts w:ascii="Times New Roman" w:hAnsi="Times New Roman" w:cs="Times New Roman"/>
          <w:sz w:val="24"/>
          <w:szCs w:val="24"/>
          <w:lang w:val="en-US"/>
        </w:rPr>
        <w:t xml:space="preserve"> </w:t>
      </w:r>
      <w:r w:rsidR="00156408">
        <w:rPr>
          <w:rFonts w:ascii="Times New Roman" w:hAnsi="Times New Roman" w:cs="Times New Roman"/>
          <w:sz w:val="24"/>
          <w:szCs w:val="24"/>
          <w:lang w:val="en-US"/>
        </w:rPr>
        <w:t>show</w:t>
      </w:r>
      <w:r w:rsidR="005019A4">
        <w:rPr>
          <w:rFonts w:ascii="Times New Roman" w:hAnsi="Times New Roman" w:cs="Times New Roman"/>
          <w:sz w:val="24"/>
          <w:szCs w:val="24"/>
          <w:lang w:val="en-US"/>
        </w:rPr>
        <w:t xml:space="preserve"> that</w:t>
      </w:r>
      <w:r w:rsidR="000A03E5">
        <w:rPr>
          <w:rFonts w:ascii="Times New Roman" w:hAnsi="Times New Roman" w:cs="Times New Roman"/>
          <w:sz w:val="24"/>
          <w:szCs w:val="24"/>
          <w:lang w:val="en-US"/>
        </w:rPr>
        <w:t xml:space="preserve"> value-to-book </w:t>
      </w:r>
      <w:r w:rsidR="005C3909">
        <w:rPr>
          <w:rFonts w:ascii="Times New Roman" w:hAnsi="Times New Roman" w:cs="Times New Roman"/>
          <w:sz w:val="24"/>
          <w:szCs w:val="24"/>
          <w:lang w:val="en-US"/>
        </w:rPr>
        <w:t xml:space="preserve">sorts </w:t>
      </w:r>
      <w:r w:rsidR="005019A4">
        <w:rPr>
          <w:rFonts w:ascii="Times New Roman" w:hAnsi="Times New Roman" w:cs="Times New Roman"/>
          <w:sz w:val="24"/>
          <w:szCs w:val="24"/>
          <w:lang w:val="en-US"/>
        </w:rPr>
        <w:t xml:space="preserve">may be </w:t>
      </w:r>
      <w:r w:rsidR="005C3909">
        <w:rPr>
          <w:rFonts w:ascii="Times New Roman" w:hAnsi="Times New Roman" w:cs="Times New Roman"/>
          <w:sz w:val="24"/>
          <w:szCs w:val="24"/>
          <w:lang w:val="en-US"/>
        </w:rPr>
        <w:t xml:space="preserve">picking up </w:t>
      </w:r>
      <w:r w:rsidR="000A03E5">
        <w:rPr>
          <w:rFonts w:ascii="Times New Roman" w:hAnsi="Times New Roman" w:cs="Times New Roman"/>
          <w:sz w:val="24"/>
          <w:szCs w:val="24"/>
          <w:lang w:val="en-US"/>
        </w:rPr>
        <w:t xml:space="preserve">differences in duration, </w:t>
      </w:r>
      <w:r w:rsidR="005019A4">
        <w:rPr>
          <w:rFonts w:ascii="Times New Roman" w:hAnsi="Times New Roman" w:cs="Times New Roman"/>
          <w:sz w:val="24"/>
          <w:szCs w:val="24"/>
          <w:lang w:val="en-US"/>
        </w:rPr>
        <w:t>with</w:t>
      </w:r>
      <w:r w:rsidR="000A03E5">
        <w:rPr>
          <w:rFonts w:ascii="Times New Roman" w:hAnsi="Times New Roman" w:cs="Times New Roman"/>
          <w:sz w:val="24"/>
          <w:szCs w:val="24"/>
          <w:lang w:val="en-US"/>
        </w:rPr>
        <w:t xml:space="preserve"> th</w:t>
      </w:r>
      <w:r w:rsidR="005C3909">
        <w:rPr>
          <w:rFonts w:ascii="Times New Roman" w:hAnsi="Times New Roman" w:cs="Times New Roman"/>
          <w:sz w:val="24"/>
          <w:szCs w:val="24"/>
          <w:lang w:val="en-US"/>
        </w:rPr>
        <w:t>e</w:t>
      </w:r>
      <w:r w:rsidR="000A03E5">
        <w:rPr>
          <w:rFonts w:ascii="Times New Roman" w:hAnsi="Times New Roman" w:cs="Times New Roman"/>
          <w:sz w:val="24"/>
          <w:szCs w:val="24"/>
          <w:lang w:val="en-US"/>
        </w:rPr>
        <w:t>s</w:t>
      </w:r>
      <w:r w:rsidR="005C3909">
        <w:rPr>
          <w:rFonts w:ascii="Times New Roman" w:hAnsi="Times New Roman" w:cs="Times New Roman"/>
          <w:sz w:val="24"/>
          <w:szCs w:val="24"/>
          <w:lang w:val="en-US"/>
        </w:rPr>
        <w:t>e</w:t>
      </w:r>
      <w:r w:rsidR="000A03E5">
        <w:rPr>
          <w:rFonts w:ascii="Times New Roman" w:hAnsi="Times New Roman" w:cs="Times New Roman"/>
          <w:sz w:val="24"/>
          <w:szCs w:val="24"/>
          <w:lang w:val="en-US"/>
        </w:rPr>
        <w:t xml:space="preserve"> difference</w:t>
      </w:r>
      <w:r w:rsidR="005C3909">
        <w:rPr>
          <w:rFonts w:ascii="Times New Roman" w:hAnsi="Times New Roman" w:cs="Times New Roman"/>
          <w:sz w:val="24"/>
          <w:szCs w:val="24"/>
          <w:lang w:val="en-US"/>
        </w:rPr>
        <w:t>s</w:t>
      </w:r>
      <w:r w:rsidR="000A03E5">
        <w:rPr>
          <w:rFonts w:ascii="Times New Roman" w:hAnsi="Times New Roman" w:cs="Times New Roman"/>
          <w:sz w:val="24"/>
          <w:szCs w:val="24"/>
          <w:lang w:val="en-US"/>
        </w:rPr>
        <w:t xml:space="preserve"> </w:t>
      </w:r>
      <w:r w:rsidR="005019A4">
        <w:rPr>
          <w:rFonts w:ascii="Times New Roman" w:hAnsi="Times New Roman" w:cs="Times New Roman"/>
          <w:sz w:val="24"/>
          <w:szCs w:val="24"/>
          <w:lang w:val="en-US"/>
        </w:rPr>
        <w:t xml:space="preserve">amplified by </w:t>
      </w:r>
      <w:r w:rsidR="000A03E5" w:rsidRPr="00241A00">
        <w:rPr>
          <w:rFonts w:ascii="Times New Roman" w:hAnsi="Times New Roman" w:cs="Times New Roman"/>
          <w:i/>
          <w:iCs/>
          <w:sz w:val="24"/>
          <w:szCs w:val="24"/>
          <w:lang w:val="en-US"/>
        </w:rPr>
        <w:t>VU</w:t>
      </w:r>
      <w:r w:rsidR="000A03E5">
        <w:rPr>
          <w:rFonts w:ascii="Times New Roman" w:hAnsi="Times New Roman" w:cs="Times New Roman"/>
          <w:sz w:val="24"/>
          <w:szCs w:val="24"/>
          <w:lang w:val="en-US"/>
        </w:rPr>
        <w:t>.</w:t>
      </w:r>
      <w:r w:rsidR="0045712A">
        <w:rPr>
          <w:rFonts w:ascii="Times New Roman" w:hAnsi="Times New Roman" w:cs="Times New Roman"/>
          <w:sz w:val="24"/>
          <w:szCs w:val="24"/>
          <w:lang w:val="en-US"/>
        </w:rPr>
        <w:t xml:space="preserve"> And s</w:t>
      </w:r>
      <w:r w:rsidR="005019A4">
        <w:rPr>
          <w:rFonts w:ascii="Times New Roman" w:hAnsi="Times New Roman" w:cs="Times New Roman"/>
          <w:sz w:val="24"/>
          <w:szCs w:val="24"/>
          <w:lang w:val="en-US"/>
        </w:rPr>
        <w:t>ince</w:t>
      </w:r>
      <w:r w:rsidR="005C3909">
        <w:rPr>
          <w:rFonts w:ascii="Times New Roman" w:hAnsi="Times New Roman" w:cs="Times New Roman"/>
          <w:sz w:val="24"/>
          <w:szCs w:val="24"/>
          <w:lang w:val="en-US"/>
        </w:rPr>
        <w:t xml:space="preserve"> the</w:t>
      </w:r>
      <w:r w:rsidR="000A03E5">
        <w:rPr>
          <w:rFonts w:ascii="Times New Roman" w:hAnsi="Times New Roman" w:cs="Times New Roman"/>
          <w:sz w:val="24"/>
          <w:szCs w:val="24"/>
          <w:lang w:val="en-US"/>
        </w:rPr>
        <w:t xml:space="preserve"> </w:t>
      </w:r>
      <w:r w:rsidR="005C3909">
        <w:rPr>
          <w:rFonts w:ascii="Times New Roman" w:hAnsi="Times New Roman" w:cs="Times New Roman"/>
          <w:sz w:val="24"/>
          <w:szCs w:val="24"/>
          <w:lang w:val="en-US"/>
        </w:rPr>
        <w:t>outperform</w:t>
      </w:r>
      <w:r w:rsidR="00AA45ED">
        <w:rPr>
          <w:rFonts w:ascii="Times New Roman" w:hAnsi="Times New Roman" w:cs="Times New Roman"/>
          <w:sz w:val="24"/>
          <w:szCs w:val="24"/>
          <w:lang w:val="en-US"/>
        </w:rPr>
        <w:t>ance of growth over</w:t>
      </w:r>
      <w:r w:rsidR="005C3909">
        <w:rPr>
          <w:rFonts w:ascii="Times New Roman" w:hAnsi="Times New Roman" w:cs="Times New Roman"/>
          <w:sz w:val="24"/>
          <w:szCs w:val="24"/>
          <w:lang w:val="en-US"/>
        </w:rPr>
        <w:t xml:space="preserve"> value coincides with</w:t>
      </w:r>
      <w:r w:rsidR="005019A4">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AA45ED">
        <w:rPr>
          <w:rFonts w:ascii="Times New Roman" w:hAnsi="Times New Roman" w:cs="Times New Roman"/>
          <w:sz w:val="24"/>
          <w:szCs w:val="24"/>
          <w:lang w:val="en-US"/>
        </w:rPr>
        <w:t>n era of</w:t>
      </w:r>
      <w:r>
        <w:rPr>
          <w:rFonts w:ascii="Times New Roman" w:hAnsi="Times New Roman" w:cs="Times New Roman"/>
          <w:sz w:val="24"/>
          <w:szCs w:val="24"/>
          <w:lang w:val="en-US"/>
        </w:rPr>
        <w:t xml:space="preserve"> declining interest rate</w:t>
      </w:r>
      <w:r w:rsidR="00AA45ED">
        <w:rPr>
          <w:rFonts w:ascii="Times New Roman" w:hAnsi="Times New Roman" w:cs="Times New Roman"/>
          <w:sz w:val="24"/>
          <w:szCs w:val="24"/>
          <w:lang w:val="en-US"/>
        </w:rPr>
        <w:t>s</w:t>
      </w:r>
      <w:r w:rsidR="005C3909">
        <w:rPr>
          <w:rFonts w:ascii="Times New Roman" w:hAnsi="Times New Roman" w:cs="Times New Roman"/>
          <w:sz w:val="24"/>
          <w:szCs w:val="24"/>
          <w:lang w:val="en-US"/>
        </w:rPr>
        <w:t xml:space="preserve">, </w:t>
      </w:r>
      <w:r w:rsidR="005019A4">
        <w:rPr>
          <w:rFonts w:ascii="Times New Roman" w:hAnsi="Times New Roman" w:cs="Times New Roman"/>
          <w:sz w:val="24"/>
          <w:szCs w:val="24"/>
          <w:lang w:val="en-US"/>
        </w:rPr>
        <w:t>we speculate that</w:t>
      </w:r>
      <w:r w:rsidR="00007D11">
        <w:rPr>
          <w:rFonts w:ascii="Times New Roman" w:hAnsi="Times New Roman" w:cs="Times New Roman"/>
          <w:sz w:val="24"/>
          <w:szCs w:val="24"/>
          <w:lang w:val="en-US"/>
        </w:rPr>
        <w:t xml:space="preserve"> duration effects may </w:t>
      </w:r>
      <w:r w:rsidR="0045712A">
        <w:rPr>
          <w:rFonts w:ascii="Times New Roman" w:hAnsi="Times New Roman" w:cs="Times New Roman"/>
          <w:sz w:val="24"/>
          <w:szCs w:val="24"/>
          <w:lang w:val="en-US"/>
        </w:rPr>
        <w:t>have</w:t>
      </w:r>
      <w:r w:rsidR="00AA45ED">
        <w:rPr>
          <w:rFonts w:ascii="Times New Roman" w:hAnsi="Times New Roman" w:cs="Times New Roman"/>
          <w:sz w:val="24"/>
          <w:szCs w:val="24"/>
          <w:lang w:val="en-US"/>
        </w:rPr>
        <w:t xml:space="preserve"> </w:t>
      </w:r>
      <w:r w:rsidR="00A175CC">
        <w:rPr>
          <w:rFonts w:ascii="Times New Roman" w:hAnsi="Times New Roman" w:cs="Times New Roman"/>
          <w:sz w:val="24"/>
          <w:szCs w:val="24"/>
          <w:lang w:val="en-US"/>
        </w:rPr>
        <w:t>confound</w:t>
      </w:r>
      <w:r w:rsidR="0045712A">
        <w:rPr>
          <w:rFonts w:ascii="Times New Roman" w:hAnsi="Times New Roman" w:cs="Times New Roman"/>
          <w:sz w:val="24"/>
          <w:szCs w:val="24"/>
          <w:lang w:val="en-US"/>
        </w:rPr>
        <w:t>ed</w:t>
      </w:r>
      <w:r w:rsidR="00A175CC">
        <w:rPr>
          <w:rFonts w:ascii="Times New Roman" w:hAnsi="Times New Roman" w:cs="Times New Roman"/>
          <w:sz w:val="24"/>
          <w:szCs w:val="24"/>
          <w:lang w:val="en-US"/>
        </w:rPr>
        <w:t xml:space="preserve"> </w:t>
      </w:r>
      <w:r w:rsidR="00582652">
        <w:rPr>
          <w:rFonts w:ascii="Times New Roman" w:hAnsi="Times New Roman" w:cs="Times New Roman"/>
          <w:sz w:val="24"/>
          <w:szCs w:val="24"/>
          <w:lang w:val="en-US"/>
        </w:rPr>
        <w:t>value strategies</w:t>
      </w:r>
      <w:r w:rsidR="005019A4">
        <w:rPr>
          <w:rFonts w:ascii="Times New Roman" w:hAnsi="Times New Roman" w:cs="Times New Roman"/>
          <w:sz w:val="24"/>
          <w:szCs w:val="24"/>
          <w:lang w:val="en-US"/>
        </w:rPr>
        <w:t>.</w:t>
      </w:r>
      <w:r w:rsidR="000A03E5">
        <w:rPr>
          <w:rFonts w:ascii="Times New Roman" w:hAnsi="Times New Roman" w:cs="Times New Roman"/>
          <w:sz w:val="24"/>
          <w:szCs w:val="24"/>
          <w:lang w:val="en-US"/>
        </w:rPr>
        <w:t xml:space="preserve"> </w:t>
      </w:r>
      <w:r w:rsidR="00091D1F">
        <w:rPr>
          <w:rFonts w:ascii="Times New Roman" w:hAnsi="Times New Roman" w:cs="Times New Roman"/>
          <w:sz w:val="24"/>
          <w:szCs w:val="24"/>
          <w:lang w:val="en-US"/>
        </w:rPr>
        <w:t>Incidentally,</w:t>
      </w:r>
      <w:r w:rsidR="00007D11">
        <w:rPr>
          <w:rFonts w:ascii="Times New Roman" w:hAnsi="Times New Roman" w:cs="Times New Roman"/>
          <w:sz w:val="24"/>
          <w:szCs w:val="24"/>
          <w:lang w:val="en-US"/>
        </w:rPr>
        <w:t xml:space="preserve"> </w:t>
      </w:r>
      <w:hyperlink w:anchor="_ENREF_16" w:tooltip="Binsbergen, 2024 #1867" w:history="1">
        <w:r w:rsidR="000A03E5">
          <w:rPr>
            <w:rFonts w:ascii="Times New Roman" w:hAnsi="Times New Roman" w:cs="Times New Roman"/>
            <w:sz w:val="24"/>
            <w:szCs w:val="24"/>
            <w:lang w:val="en-US"/>
          </w:rPr>
          <w:fldChar w:fldCharType="begin"/>
        </w:r>
        <w:r w:rsidR="000A03E5">
          <w:rPr>
            <w:rFonts w:ascii="Times New Roman" w:hAnsi="Times New Roman" w:cs="Times New Roman"/>
            <w:sz w:val="24"/>
            <w:szCs w:val="24"/>
            <w:lang w:val="en-US"/>
          </w:rPr>
          <w:instrText xml:space="preserve"> ADDIN EN.CITE &lt;EndNote&gt;&lt;Cite AuthorYear="1"&gt;&lt;Author&gt;Binsbergen&lt;/Author&gt;&lt;Year&gt;2024&lt;/Year&gt;&lt;RecNum&gt;1867&lt;/RecNum&gt;&lt;DisplayText&gt;Binsbergen, Ma, and Schwert (2024)&lt;/DisplayText&gt;&lt;record&gt;&lt;rec-number&gt;1867&lt;/rec-number&gt;&lt;foreign-keys&gt;&lt;key app="EN" db-id="a00ppf5vbz2zw4efraqp9recxrvdwwtasszf" timestamp="1720946831"&gt;1867&lt;/key&gt;&lt;/foreign-keys&gt;&lt;ref-type name="Unpublished Work"&gt;34&lt;/ref-type&gt;&lt;contributors&gt;&lt;authors&gt;&lt;author&gt;Binsbergen, Jules H. van&lt;/author&gt;&lt;author&gt;Ma, Liang&lt;/author&gt;&lt;author&gt;Schwert, Michael&lt;/author&gt;&lt;/authors&gt;&lt;/contributors&gt;&lt;titles&gt;&lt;title&gt;The Factor Multiverse: The Role of Interest Rates in Factor Return Measurement&lt;/title&gt;&lt;secondary-title&gt;Working paper&lt;/secondary-title&gt;&lt;/titles&gt;&lt;dates&gt;&lt;year&gt;2024&lt;/year&gt;&lt;/dates&gt;&lt;publisher&gt;University of Pennsylvania, University of South Carolina, and AQR&lt;/publisher&gt;&lt;urls&gt;&lt;/urls&gt;&lt;/record&gt;&lt;/Cite&gt;&lt;/EndNote&gt;</w:instrText>
        </w:r>
        <w:r w:rsidR="000A03E5">
          <w:rPr>
            <w:rFonts w:ascii="Times New Roman" w:hAnsi="Times New Roman" w:cs="Times New Roman"/>
            <w:sz w:val="24"/>
            <w:szCs w:val="24"/>
            <w:lang w:val="en-US"/>
          </w:rPr>
          <w:fldChar w:fldCharType="separate"/>
        </w:r>
        <w:r w:rsidR="000A03E5">
          <w:rPr>
            <w:rFonts w:ascii="Times New Roman" w:hAnsi="Times New Roman" w:cs="Times New Roman"/>
            <w:noProof/>
            <w:sz w:val="24"/>
            <w:szCs w:val="24"/>
            <w:lang w:val="en-US"/>
          </w:rPr>
          <w:t>Binsbergen and Ma (2025)</w:t>
        </w:r>
        <w:r w:rsidR="000A03E5">
          <w:rPr>
            <w:rFonts w:ascii="Times New Roman" w:hAnsi="Times New Roman" w:cs="Times New Roman"/>
            <w:sz w:val="24"/>
            <w:szCs w:val="24"/>
            <w:lang w:val="en-US"/>
          </w:rPr>
          <w:fldChar w:fldCharType="end"/>
        </w:r>
      </w:hyperlink>
      <w:r w:rsidR="000A03E5">
        <w:rPr>
          <w:rFonts w:ascii="Times New Roman" w:hAnsi="Times New Roman" w:cs="Times New Roman"/>
          <w:sz w:val="24"/>
          <w:szCs w:val="24"/>
          <w:lang w:val="en-US"/>
        </w:rPr>
        <w:t xml:space="preserve"> show that a duration-neutral HML factor performs </w:t>
      </w:r>
      <w:r w:rsidR="00091D1F">
        <w:rPr>
          <w:rFonts w:ascii="Times New Roman" w:hAnsi="Times New Roman" w:cs="Times New Roman"/>
          <w:sz w:val="24"/>
          <w:szCs w:val="24"/>
          <w:lang w:val="en-US"/>
        </w:rPr>
        <w:t>outperforms</w:t>
      </w:r>
      <w:r w:rsidR="000A03E5">
        <w:rPr>
          <w:rFonts w:ascii="Times New Roman" w:hAnsi="Times New Roman" w:cs="Times New Roman"/>
          <w:sz w:val="24"/>
          <w:szCs w:val="24"/>
          <w:lang w:val="en-US"/>
        </w:rPr>
        <w:t xml:space="preserve"> the conventional one.</w:t>
      </w:r>
    </w:p>
    <w:p w14:paraId="24CD2581" w14:textId="36D7A51F" w:rsidR="008642E4" w:rsidRDefault="00302F57" w:rsidP="00302F57">
      <w:pPr>
        <w:spacing w:before="120" w:after="0" w:line="480" w:lineRule="auto"/>
        <w:jc w:val="center"/>
        <w:rPr>
          <w:rFonts w:ascii="Times New Roman" w:hAnsi="Times New Roman" w:cs="Times New Roman"/>
          <w:b/>
          <w:sz w:val="24"/>
          <w:szCs w:val="24"/>
        </w:rPr>
      </w:pPr>
      <w:r>
        <w:rPr>
          <w:rFonts w:ascii="Times New Roman" w:hAnsi="Times New Roman" w:cs="Times New Roman"/>
          <w:b/>
          <w:sz w:val="24"/>
          <w:szCs w:val="24"/>
        </w:rPr>
        <w:t>V</w:t>
      </w:r>
      <w:r w:rsidR="00DD7A34">
        <w:rPr>
          <w:rFonts w:ascii="Times New Roman" w:hAnsi="Times New Roman" w:cs="Times New Roman"/>
          <w:b/>
          <w:sz w:val="24"/>
          <w:szCs w:val="24"/>
        </w:rPr>
        <w:t>I</w:t>
      </w:r>
      <w:r>
        <w:rPr>
          <w:rFonts w:ascii="Times New Roman" w:hAnsi="Times New Roman" w:cs="Times New Roman"/>
          <w:b/>
          <w:sz w:val="24"/>
          <w:szCs w:val="24"/>
        </w:rPr>
        <w:t>. CONCLU</w:t>
      </w:r>
      <w:r w:rsidR="008449CE">
        <w:rPr>
          <w:rFonts w:ascii="Times New Roman" w:hAnsi="Times New Roman" w:cs="Times New Roman"/>
          <w:b/>
          <w:sz w:val="24"/>
          <w:szCs w:val="24"/>
        </w:rPr>
        <w:t>DING REMARKS</w:t>
      </w:r>
      <w:r w:rsidR="002023B6">
        <w:rPr>
          <w:rFonts w:ascii="Times New Roman" w:hAnsi="Times New Roman" w:cs="Times New Roman"/>
          <w:b/>
          <w:sz w:val="24"/>
          <w:szCs w:val="24"/>
        </w:rPr>
        <w:t xml:space="preserve"> AND FUTURE RE</w:t>
      </w:r>
      <w:r w:rsidR="00F42CB9">
        <w:rPr>
          <w:rFonts w:ascii="Times New Roman" w:hAnsi="Times New Roman" w:cs="Times New Roman"/>
          <w:b/>
          <w:sz w:val="24"/>
          <w:szCs w:val="24"/>
        </w:rPr>
        <w:t>SE</w:t>
      </w:r>
      <w:r w:rsidR="002023B6">
        <w:rPr>
          <w:rFonts w:ascii="Times New Roman" w:hAnsi="Times New Roman" w:cs="Times New Roman"/>
          <w:b/>
          <w:sz w:val="24"/>
          <w:szCs w:val="24"/>
        </w:rPr>
        <w:t>ARCH</w:t>
      </w:r>
    </w:p>
    <w:p w14:paraId="5A90E93A" w14:textId="6260FA6E" w:rsidR="004A3BF1" w:rsidRDefault="006E5B9A" w:rsidP="00B31E2C">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We develop a</w:t>
      </w:r>
      <w:r w:rsidR="00E530E8">
        <w:rPr>
          <w:rFonts w:ascii="Times New Roman" w:hAnsi="Times New Roman" w:cs="Times New Roman"/>
          <w:sz w:val="24"/>
          <w:szCs w:val="24"/>
        </w:rPr>
        <w:t xml:space="preserve"> purpose-made, theoretically grounded</w:t>
      </w:r>
      <w:r>
        <w:rPr>
          <w:rFonts w:ascii="Times New Roman" w:hAnsi="Times New Roman" w:cs="Times New Roman"/>
          <w:sz w:val="24"/>
          <w:szCs w:val="24"/>
        </w:rPr>
        <w:t xml:space="preserve"> measure of valuation uncertainty</w:t>
      </w:r>
      <w:r w:rsidR="00E530E8">
        <w:rPr>
          <w:rFonts w:ascii="Times New Roman" w:hAnsi="Times New Roman" w:cs="Times New Roman"/>
          <w:sz w:val="24"/>
          <w:szCs w:val="24"/>
        </w:rPr>
        <w:t xml:space="preserve"> with large-sample availability.</w:t>
      </w:r>
      <w:r>
        <w:rPr>
          <w:rFonts w:ascii="Times New Roman" w:hAnsi="Times New Roman" w:cs="Times New Roman"/>
          <w:sz w:val="24"/>
          <w:szCs w:val="24"/>
        </w:rPr>
        <w:t xml:space="preserve"> </w:t>
      </w:r>
      <w:r w:rsidR="00E530E8">
        <w:rPr>
          <w:rFonts w:ascii="Times New Roman" w:hAnsi="Times New Roman" w:cs="Times New Roman"/>
          <w:sz w:val="24"/>
          <w:szCs w:val="24"/>
        </w:rPr>
        <w:t xml:space="preserve">Our approach relies on mapping stock prices to </w:t>
      </w:r>
      <w:r>
        <w:rPr>
          <w:rFonts w:ascii="Times New Roman" w:hAnsi="Times New Roman" w:cs="Times New Roman"/>
          <w:sz w:val="24"/>
          <w:szCs w:val="24"/>
        </w:rPr>
        <w:t>accounting</w:t>
      </w:r>
      <w:r w:rsidR="00E530E8">
        <w:rPr>
          <w:rFonts w:ascii="Times New Roman" w:hAnsi="Times New Roman" w:cs="Times New Roman"/>
          <w:sz w:val="24"/>
          <w:szCs w:val="24"/>
        </w:rPr>
        <w:t xml:space="preserve"> fundamentals </w:t>
      </w:r>
      <w:r w:rsidR="00E82201">
        <w:rPr>
          <w:rFonts w:ascii="Times New Roman" w:hAnsi="Times New Roman" w:cs="Times New Roman"/>
          <w:sz w:val="24"/>
          <w:szCs w:val="24"/>
        </w:rPr>
        <w:t>via</w:t>
      </w:r>
      <w:r>
        <w:rPr>
          <w:rFonts w:ascii="Times New Roman" w:hAnsi="Times New Roman" w:cs="Times New Roman"/>
          <w:sz w:val="24"/>
          <w:szCs w:val="24"/>
        </w:rPr>
        <w:t xml:space="preserve"> quantile regressions</w:t>
      </w:r>
      <w:r w:rsidR="008663CF">
        <w:rPr>
          <w:rFonts w:ascii="Times New Roman" w:hAnsi="Times New Roman" w:cs="Times New Roman"/>
          <w:sz w:val="24"/>
          <w:szCs w:val="24"/>
        </w:rPr>
        <w:t xml:space="preserve"> across industry peers</w:t>
      </w:r>
      <w:r>
        <w:rPr>
          <w:rFonts w:ascii="Times New Roman" w:hAnsi="Times New Roman" w:cs="Times New Roman"/>
          <w:sz w:val="24"/>
          <w:szCs w:val="24"/>
        </w:rPr>
        <w:t>.</w:t>
      </w:r>
      <w:r w:rsidR="00E530E8">
        <w:rPr>
          <w:rFonts w:ascii="Times New Roman" w:hAnsi="Times New Roman" w:cs="Times New Roman"/>
          <w:sz w:val="24"/>
          <w:szCs w:val="24"/>
        </w:rPr>
        <w:t xml:space="preserve"> </w:t>
      </w:r>
      <w:r w:rsidR="00846120">
        <w:rPr>
          <w:rFonts w:ascii="Times New Roman" w:hAnsi="Times New Roman" w:cs="Times New Roman"/>
          <w:sz w:val="24"/>
          <w:szCs w:val="24"/>
        </w:rPr>
        <w:t>The resulting</w:t>
      </w:r>
      <w:r w:rsidR="00600687">
        <w:rPr>
          <w:rFonts w:ascii="Times New Roman" w:hAnsi="Times New Roman" w:cs="Times New Roman"/>
          <w:sz w:val="24"/>
          <w:szCs w:val="24"/>
        </w:rPr>
        <w:t xml:space="preserve"> </w:t>
      </w:r>
      <w:r w:rsidR="005A4F1E">
        <w:rPr>
          <w:rFonts w:ascii="Times New Roman" w:hAnsi="Times New Roman" w:cs="Times New Roman"/>
          <w:sz w:val="24"/>
          <w:szCs w:val="24"/>
        </w:rPr>
        <w:t xml:space="preserve">measure </w:t>
      </w:r>
      <w:r w:rsidR="0029479B">
        <w:rPr>
          <w:rFonts w:ascii="Times New Roman" w:hAnsi="Times New Roman" w:cs="Times New Roman"/>
          <w:sz w:val="24"/>
          <w:szCs w:val="24"/>
        </w:rPr>
        <w:t>performs well in validation tests</w:t>
      </w:r>
      <w:r w:rsidR="00FE4223">
        <w:rPr>
          <w:rFonts w:ascii="Times New Roman" w:hAnsi="Times New Roman" w:cs="Times New Roman"/>
          <w:sz w:val="24"/>
          <w:szCs w:val="24"/>
        </w:rPr>
        <w:t xml:space="preserve">: it is related to cash flow and discount rate uncertainty, it explains price ranges in IPO prospectuses and M&amp;A fairness opinions, and it incrementally predicts </w:t>
      </w:r>
      <w:r w:rsidR="00897B0C">
        <w:rPr>
          <w:rFonts w:ascii="Times New Roman" w:hAnsi="Times New Roman" w:cs="Times New Roman"/>
          <w:sz w:val="24"/>
          <w:szCs w:val="24"/>
        </w:rPr>
        <w:t>future</w:t>
      </w:r>
      <w:r w:rsidR="00FE4223">
        <w:rPr>
          <w:rFonts w:ascii="Times New Roman" w:hAnsi="Times New Roman" w:cs="Times New Roman"/>
          <w:sz w:val="24"/>
          <w:szCs w:val="24"/>
        </w:rPr>
        <w:t xml:space="preserve"> outcomes indicative of uncertainty.</w:t>
      </w:r>
      <w:r w:rsidR="006C6A81">
        <w:rPr>
          <w:rFonts w:ascii="Times New Roman" w:hAnsi="Times New Roman" w:cs="Times New Roman"/>
          <w:sz w:val="24"/>
          <w:szCs w:val="24"/>
        </w:rPr>
        <w:t xml:space="preserve"> </w:t>
      </w:r>
      <w:r w:rsidR="00FE4223">
        <w:rPr>
          <w:rFonts w:ascii="Times New Roman" w:hAnsi="Times New Roman" w:cs="Times New Roman"/>
          <w:sz w:val="24"/>
          <w:szCs w:val="24"/>
        </w:rPr>
        <w:t xml:space="preserve">As indirect validation, we </w:t>
      </w:r>
      <w:r w:rsidR="00910563">
        <w:rPr>
          <w:rFonts w:ascii="Times New Roman" w:hAnsi="Times New Roman" w:cs="Times New Roman"/>
          <w:sz w:val="24"/>
          <w:szCs w:val="24"/>
        </w:rPr>
        <w:t>use</w:t>
      </w:r>
      <w:r w:rsidR="00FE4223">
        <w:rPr>
          <w:rFonts w:ascii="Times New Roman" w:hAnsi="Times New Roman" w:cs="Times New Roman"/>
          <w:sz w:val="24"/>
          <w:szCs w:val="24"/>
        </w:rPr>
        <w:t xml:space="preserve"> our measure to </w:t>
      </w:r>
      <w:r w:rsidR="00651347">
        <w:rPr>
          <w:rFonts w:ascii="Times New Roman" w:hAnsi="Times New Roman" w:cs="Times New Roman"/>
          <w:sz w:val="24"/>
          <w:szCs w:val="24"/>
        </w:rPr>
        <w:t xml:space="preserve">test the hypothesis that valuation uncertainty </w:t>
      </w:r>
      <w:r w:rsidR="000D4259">
        <w:rPr>
          <w:rFonts w:ascii="Times New Roman" w:hAnsi="Times New Roman" w:cs="Times New Roman"/>
          <w:sz w:val="24"/>
          <w:szCs w:val="24"/>
        </w:rPr>
        <w:t>promotes</w:t>
      </w:r>
      <w:r w:rsidR="00651347">
        <w:rPr>
          <w:rFonts w:ascii="Times New Roman" w:hAnsi="Times New Roman" w:cs="Times New Roman"/>
          <w:sz w:val="24"/>
          <w:szCs w:val="24"/>
        </w:rPr>
        <w:t xml:space="preserve"> valuation mistakes. </w:t>
      </w:r>
      <w:r w:rsidR="00C662DD">
        <w:rPr>
          <w:rFonts w:ascii="Times New Roman" w:hAnsi="Times New Roman" w:cs="Times New Roman"/>
          <w:sz w:val="24"/>
          <w:szCs w:val="24"/>
        </w:rPr>
        <w:t>T</w:t>
      </w:r>
      <w:r w:rsidR="00651347">
        <w:rPr>
          <w:rFonts w:ascii="Times New Roman" w:hAnsi="Times New Roman" w:cs="Times New Roman"/>
          <w:sz w:val="24"/>
          <w:szCs w:val="24"/>
        </w:rPr>
        <w:t xml:space="preserve">he </w:t>
      </w:r>
      <w:r w:rsidR="00AD5C5D">
        <w:rPr>
          <w:rFonts w:ascii="Times New Roman" w:hAnsi="Times New Roman" w:cs="Times New Roman"/>
          <w:sz w:val="24"/>
          <w:szCs w:val="24"/>
        </w:rPr>
        <w:t xml:space="preserve">returns </w:t>
      </w:r>
      <w:r w:rsidR="00651347">
        <w:rPr>
          <w:rFonts w:ascii="Times New Roman" w:hAnsi="Times New Roman" w:cs="Times New Roman"/>
          <w:sz w:val="24"/>
          <w:szCs w:val="24"/>
        </w:rPr>
        <w:t xml:space="preserve">of a long-short </w:t>
      </w:r>
      <w:r w:rsidR="00540865">
        <w:rPr>
          <w:rFonts w:ascii="Times New Roman" w:hAnsi="Times New Roman" w:cs="Times New Roman"/>
          <w:sz w:val="24"/>
          <w:szCs w:val="24"/>
        </w:rPr>
        <w:t>price-to-value</w:t>
      </w:r>
      <w:r w:rsidR="00651347">
        <w:rPr>
          <w:rFonts w:ascii="Times New Roman" w:hAnsi="Times New Roman" w:cs="Times New Roman"/>
          <w:sz w:val="24"/>
          <w:szCs w:val="24"/>
        </w:rPr>
        <w:t xml:space="preserve"> strategy </w:t>
      </w:r>
      <w:r w:rsidR="00651347">
        <w:rPr>
          <w:rFonts w:ascii="Times New Roman" w:hAnsi="Times New Roman" w:cs="Times New Roman"/>
          <w:sz w:val="24"/>
          <w:szCs w:val="24"/>
        </w:rPr>
        <w:lastRenderedPageBreak/>
        <w:t>increas</w:t>
      </w:r>
      <w:r w:rsidR="001C264F">
        <w:rPr>
          <w:rFonts w:ascii="Times New Roman" w:hAnsi="Times New Roman" w:cs="Times New Roman"/>
          <w:sz w:val="24"/>
          <w:szCs w:val="24"/>
        </w:rPr>
        <w:t>e</w:t>
      </w:r>
      <w:r w:rsidR="00651347">
        <w:rPr>
          <w:rFonts w:ascii="Times New Roman" w:hAnsi="Times New Roman" w:cs="Times New Roman"/>
          <w:sz w:val="24"/>
          <w:szCs w:val="24"/>
        </w:rPr>
        <w:t xml:space="preserve"> with valuation uncertainty</w:t>
      </w:r>
      <w:r w:rsidR="00AA3F8C">
        <w:rPr>
          <w:rFonts w:ascii="Times New Roman" w:hAnsi="Times New Roman" w:cs="Times New Roman"/>
          <w:sz w:val="24"/>
          <w:szCs w:val="24"/>
        </w:rPr>
        <w:t>, and t</w:t>
      </w:r>
      <w:r w:rsidR="00651347">
        <w:rPr>
          <w:rFonts w:ascii="Times New Roman" w:hAnsi="Times New Roman" w:cs="Times New Roman"/>
          <w:sz w:val="24"/>
          <w:szCs w:val="24"/>
        </w:rPr>
        <w:t>he returns of high valuation uncertainty “growth” and “value” stocks are predictable by investor sentiment.</w:t>
      </w:r>
      <w:r w:rsidR="00FE4223">
        <w:rPr>
          <w:rFonts w:ascii="Times New Roman" w:hAnsi="Times New Roman" w:cs="Times New Roman"/>
          <w:sz w:val="24"/>
          <w:szCs w:val="24"/>
        </w:rPr>
        <w:t xml:space="preserve"> Our application </w:t>
      </w:r>
      <w:r w:rsidR="00386274">
        <w:rPr>
          <w:rFonts w:ascii="Times New Roman" w:hAnsi="Times New Roman" w:cs="Times New Roman"/>
          <w:sz w:val="24"/>
          <w:szCs w:val="24"/>
        </w:rPr>
        <w:t xml:space="preserve">offers </w:t>
      </w:r>
      <w:r w:rsidR="00EA47EB">
        <w:rPr>
          <w:rFonts w:ascii="Times New Roman" w:hAnsi="Times New Roman" w:cs="Times New Roman"/>
          <w:sz w:val="24"/>
          <w:szCs w:val="24"/>
        </w:rPr>
        <w:t>insights into</w:t>
      </w:r>
      <w:r w:rsidR="00FE4223">
        <w:rPr>
          <w:rFonts w:ascii="Times New Roman" w:hAnsi="Times New Roman" w:cs="Times New Roman"/>
          <w:sz w:val="24"/>
          <w:szCs w:val="24"/>
        </w:rPr>
        <w:t xml:space="preserve"> </w:t>
      </w:r>
      <w:r w:rsidR="00386274">
        <w:rPr>
          <w:rFonts w:ascii="Times New Roman" w:hAnsi="Times New Roman" w:cs="Times New Roman"/>
          <w:sz w:val="24"/>
          <w:szCs w:val="24"/>
        </w:rPr>
        <w:t>why the conventional value premium</w:t>
      </w:r>
      <w:r w:rsidR="00386274" w:rsidDel="00386274">
        <w:rPr>
          <w:rFonts w:ascii="Times New Roman" w:hAnsi="Times New Roman" w:cs="Times New Roman"/>
          <w:sz w:val="24"/>
          <w:szCs w:val="24"/>
        </w:rPr>
        <w:t xml:space="preserve"> </w:t>
      </w:r>
      <w:r w:rsidR="00386274">
        <w:rPr>
          <w:rFonts w:ascii="Times New Roman" w:hAnsi="Times New Roman" w:cs="Times New Roman"/>
          <w:sz w:val="24"/>
          <w:szCs w:val="24"/>
        </w:rPr>
        <w:t>has seemingly “disappeared” in</w:t>
      </w:r>
      <w:r w:rsidR="00FE4223">
        <w:rPr>
          <w:rFonts w:ascii="Times New Roman" w:hAnsi="Times New Roman" w:cs="Times New Roman"/>
          <w:sz w:val="24"/>
          <w:szCs w:val="24"/>
        </w:rPr>
        <w:t xml:space="preserve"> recent years</w:t>
      </w:r>
      <w:r w:rsidR="00C662DD">
        <w:rPr>
          <w:rFonts w:ascii="Times New Roman" w:hAnsi="Times New Roman" w:cs="Times New Roman"/>
          <w:sz w:val="24"/>
          <w:szCs w:val="24"/>
        </w:rPr>
        <w:t>:</w:t>
      </w:r>
      <w:r w:rsidR="00AA3F8C">
        <w:rPr>
          <w:rFonts w:ascii="Times New Roman" w:hAnsi="Times New Roman" w:cs="Times New Roman"/>
          <w:sz w:val="24"/>
          <w:szCs w:val="24"/>
        </w:rPr>
        <w:t xml:space="preserve"> the evolution of investor sentiment and interest rate</w:t>
      </w:r>
      <w:r w:rsidR="00A97337">
        <w:rPr>
          <w:rFonts w:ascii="Times New Roman" w:hAnsi="Times New Roman" w:cs="Times New Roman"/>
          <w:sz w:val="24"/>
          <w:szCs w:val="24"/>
        </w:rPr>
        <w:t>s</w:t>
      </w:r>
      <w:r w:rsidR="00AA3F8C">
        <w:rPr>
          <w:rFonts w:ascii="Times New Roman" w:hAnsi="Times New Roman" w:cs="Times New Roman"/>
          <w:sz w:val="24"/>
          <w:szCs w:val="24"/>
        </w:rPr>
        <w:t xml:space="preserve"> </w:t>
      </w:r>
      <w:r w:rsidR="00E82201">
        <w:rPr>
          <w:rFonts w:ascii="Times New Roman" w:hAnsi="Times New Roman" w:cs="Times New Roman"/>
          <w:sz w:val="24"/>
          <w:szCs w:val="24"/>
        </w:rPr>
        <w:t>emerge as</w:t>
      </w:r>
      <w:r w:rsidR="00AA3F8C">
        <w:rPr>
          <w:rFonts w:ascii="Times New Roman" w:hAnsi="Times New Roman" w:cs="Times New Roman"/>
          <w:sz w:val="24"/>
          <w:szCs w:val="24"/>
        </w:rPr>
        <w:t xml:space="preserve"> </w:t>
      </w:r>
      <w:r w:rsidR="00E82201">
        <w:rPr>
          <w:rFonts w:ascii="Times New Roman" w:hAnsi="Times New Roman" w:cs="Times New Roman"/>
          <w:sz w:val="24"/>
          <w:szCs w:val="24"/>
        </w:rPr>
        <w:t>plausible</w:t>
      </w:r>
      <w:r w:rsidR="00386274">
        <w:rPr>
          <w:rFonts w:ascii="Times New Roman" w:hAnsi="Times New Roman" w:cs="Times New Roman"/>
          <w:sz w:val="24"/>
          <w:szCs w:val="24"/>
        </w:rPr>
        <w:t xml:space="preserve"> </w:t>
      </w:r>
      <w:r w:rsidR="00AA3F8C">
        <w:rPr>
          <w:rFonts w:ascii="Times New Roman" w:hAnsi="Times New Roman" w:cs="Times New Roman"/>
          <w:sz w:val="24"/>
          <w:szCs w:val="24"/>
        </w:rPr>
        <w:t>culprits</w:t>
      </w:r>
      <w:r w:rsidR="0054000A">
        <w:rPr>
          <w:rFonts w:ascii="Times New Roman" w:hAnsi="Times New Roman" w:cs="Times New Roman"/>
          <w:sz w:val="24"/>
          <w:szCs w:val="24"/>
        </w:rPr>
        <w:t xml:space="preserve"> deserving further study.</w:t>
      </w:r>
    </w:p>
    <w:p w14:paraId="698C3C04" w14:textId="5D7F3FED" w:rsidR="00AF5BE6" w:rsidRPr="0025322F" w:rsidRDefault="00846120" w:rsidP="00A308EB">
      <w:pPr>
        <w:spacing w:after="0" w:line="480" w:lineRule="auto"/>
        <w:ind w:firstLine="567"/>
        <w:jc w:val="both"/>
        <w:rPr>
          <w:rFonts w:ascii="Times New Roman" w:hAnsi="Times New Roman" w:cs="Times New Roman"/>
          <w:sz w:val="24"/>
          <w:szCs w:val="24"/>
          <w:lang w:val="en-US"/>
        </w:rPr>
      </w:pPr>
      <w:bookmarkStart w:id="1" w:name="_Hlk211677907"/>
      <w:r>
        <w:rPr>
          <w:rFonts w:ascii="Times New Roman" w:hAnsi="Times New Roman" w:cs="Times New Roman"/>
          <w:sz w:val="24"/>
          <w:szCs w:val="24"/>
          <w:lang w:val="en-US"/>
        </w:rPr>
        <w:t xml:space="preserve">Other natural </w:t>
      </w:r>
      <w:r w:rsidR="00E742CD">
        <w:rPr>
          <w:rFonts w:ascii="Times New Roman" w:hAnsi="Times New Roman" w:cs="Times New Roman"/>
          <w:sz w:val="24"/>
          <w:szCs w:val="24"/>
          <w:lang w:val="en-US"/>
        </w:rPr>
        <w:t>applications</w:t>
      </w:r>
      <w:r w:rsidR="002F6387">
        <w:rPr>
          <w:rFonts w:ascii="Times New Roman" w:hAnsi="Times New Roman" w:cs="Times New Roman"/>
          <w:sz w:val="24"/>
          <w:szCs w:val="24"/>
          <w:lang w:val="en-US"/>
        </w:rPr>
        <w:t xml:space="preserve"> of our measure include test</w:t>
      </w:r>
      <w:r w:rsidR="00E742CD">
        <w:rPr>
          <w:rFonts w:ascii="Times New Roman" w:hAnsi="Times New Roman" w:cs="Times New Roman"/>
          <w:sz w:val="24"/>
          <w:szCs w:val="24"/>
          <w:lang w:val="en-US"/>
        </w:rPr>
        <w:t xml:space="preserve">s of </w:t>
      </w:r>
      <w:r w:rsidR="002F6387">
        <w:rPr>
          <w:rFonts w:ascii="Times New Roman" w:hAnsi="Times New Roman" w:cs="Times New Roman"/>
          <w:sz w:val="24"/>
          <w:szCs w:val="24"/>
          <w:lang w:val="en-US"/>
        </w:rPr>
        <w:t>asymmetric information models</w:t>
      </w:r>
      <w:r w:rsidR="00E742CD">
        <w:rPr>
          <w:rFonts w:ascii="Times New Roman" w:hAnsi="Times New Roman" w:cs="Times New Roman"/>
          <w:sz w:val="24"/>
          <w:szCs w:val="24"/>
          <w:lang w:val="en-US"/>
        </w:rPr>
        <w:t xml:space="preserve"> in which uncertainty about </w:t>
      </w:r>
      <w:r w:rsidR="00165598">
        <w:rPr>
          <w:rFonts w:ascii="Times New Roman" w:hAnsi="Times New Roman" w:cs="Times New Roman"/>
          <w:sz w:val="24"/>
          <w:szCs w:val="24"/>
          <w:lang w:val="en-US"/>
        </w:rPr>
        <w:t>intrinsic</w:t>
      </w:r>
      <w:r w:rsidR="00E742CD">
        <w:rPr>
          <w:rFonts w:ascii="Times New Roman" w:hAnsi="Times New Roman" w:cs="Times New Roman"/>
          <w:sz w:val="24"/>
          <w:szCs w:val="24"/>
          <w:lang w:val="en-US"/>
        </w:rPr>
        <w:t xml:space="preserve"> value </w:t>
      </w:r>
      <w:r w:rsidR="00165598">
        <w:rPr>
          <w:rFonts w:ascii="Times New Roman" w:hAnsi="Times New Roman" w:cs="Times New Roman"/>
          <w:sz w:val="24"/>
          <w:szCs w:val="24"/>
          <w:lang w:val="en-US"/>
        </w:rPr>
        <w:t>d</w:t>
      </w:r>
      <w:r w:rsidR="00F479C1">
        <w:rPr>
          <w:rFonts w:ascii="Times New Roman" w:hAnsi="Times New Roman" w:cs="Times New Roman"/>
          <w:sz w:val="24"/>
          <w:szCs w:val="24"/>
          <w:lang w:val="en-US"/>
        </w:rPr>
        <w:t>rives</w:t>
      </w:r>
      <w:r w:rsidR="00EF156D">
        <w:rPr>
          <w:rFonts w:ascii="Times New Roman" w:hAnsi="Times New Roman" w:cs="Times New Roman"/>
          <w:sz w:val="24"/>
          <w:szCs w:val="24"/>
          <w:lang w:val="en-US"/>
        </w:rPr>
        <w:t xml:space="preserve"> </w:t>
      </w:r>
      <w:r w:rsidR="00121F6B">
        <w:rPr>
          <w:rFonts w:ascii="Times New Roman" w:hAnsi="Times New Roman" w:cs="Times New Roman"/>
          <w:sz w:val="24"/>
          <w:szCs w:val="24"/>
          <w:lang w:val="en-US"/>
        </w:rPr>
        <w:t>key outcomes</w:t>
      </w:r>
      <w:r w:rsidR="00EF156D">
        <w:rPr>
          <w:rFonts w:ascii="Times New Roman" w:hAnsi="Times New Roman" w:cs="Times New Roman"/>
          <w:sz w:val="24"/>
          <w:szCs w:val="24"/>
          <w:lang w:val="en-US"/>
        </w:rPr>
        <w:t>. Examples include</w:t>
      </w:r>
      <w:r w:rsidR="00770337">
        <w:rPr>
          <w:rFonts w:ascii="Times New Roman" w:hAnsi="Times New Roman" w:cs="Times New Roman"/>
          <w:sz w:val="24"/>
          <w:szCs w:val="24"/>
          <w:lang w:val="en-US"/>
        </w:rPr>
        <w:t xml:space="preserve"> </w:t>
      </w:r>
      <w:r w:rsidR="00E742CD">
        <w:rPr>
          <w:rFonts w:ascii="Times New Roman" w:hAnsi="Times New Roman" w:cs="Times New Roman"/>
          <w:sz w:val="24"/>
          <w:szCs w:val="24"/>
          <w:lang w:val="en-US"/>
        </w:rPr>
        <w:t>IPO underpricing</w:t>
      </w:r>
      <w:r w:rsidR="00770337">
        <w:rPr>
          <w:rFonts w:ascii="Times New Roman" w:hAnsi="Times New Roman" w:cs="Times New Roman"/>
          <w:sz w:val="24"/>
          <w:szCs w:val="24"/>
          <w:lang w:val="en-US"/>
        </w:rPr>
        <w:t xml:space="preserve">, </w:t>
      </w:r>
      <w:r w:rsidR="002023B6">
        <w:rPr>
          <w:rFonts w:ascii="Times New Roman" w:hAnsi="Times New Roman" w:cs="Times New Roman"/>
          <w:sz w:val="24"/>
          <w:szCs w:val="24"/>
          <w:lang w:val="en-US"/>
        </w:rPr>
        <w:t>bid-ask spreads,</w:t>
      </w:r>
      <w:r w:rsidR="002023B6" w:rsidDel="00F40D63">
        <w:rPr>
          <w:rFonts w:ascii="Times New Roman" w:hAnsi="Times New Roman" w:cs="Times New Roman"/>
          <w:sz w:val="24"/>
          <w:szCs w:val="24"/>
          <w:lang w:val="en-US"/>
        </w:rPr>
        <w:t xml:space="preserve"> </w:t>
      </w:r>
      <w:r w:rsidR="00E742CD">
        <w:rPr>
          <w:rFonts w:ascii="Times New Roman" w:hAnsi="Times New Roman" w:cs="Times New Roman"/>
          <w:sz w:val="24"/>
          <w:szCs w:val="24"/>
          <w:lang w:val="en-US"/>
        </w:rPr>
        <w:t>discounts in seasoned equity offerings,</w:t>
      </w:r>
      <w:r w:rsidR="00EF156D">
        <w:rPr>
          <w:rFonts w:ascii="Times New Roman" w:hAnsi="Times New Roman" w:cs="Times New Roman"/>
          <w:sz w:val="24"/>
          <w:szCs w:val="24"/>
          <w:lang w:val="en-US"/>
        </w:rPr>
        <w:t xml:space="preserve"> and</w:t>
      </w:r>
      <w:r w:rsidR="00770337">
        <w:rPr>
          <w:rFonts w:ascii="Times New Roman" w:hAnsi="Times New Roman" w:cs="Times New Roman"/>
          <w:sz w:val="24"/>
          <w:szCs w:val="24"/>
          <w:lang w:val="en-US"/>
        </w:rPr>
        <w:t xml:space="preserve"> the</w:t>
      </w:r>
      <w:r w:rsidR="00E742CD">
        <w:rPr>
          <w:rFonts w:ascii="Times New Roman" w:hAnsi="Times New Roman" w:cs="Times New Roman"/>
          <w:sz w:val="24"/>
          <w:szCs w:val="24"/>
          <w:lang w:val="en-US"/>
        </w:rPr>
        <w:t xml:space="preserve"> use of contingent </w:t>
      </w:r>
      <w:r w:rsidR="002023B6">
        <w:rPr>
          <w:rFonts w:ascii="Times New Roman" w:hAnsi="Times New Roman" w:cs="Times New Roman"/>
          <w:sz w:val="24"/>
          <w:szCs w:val="24"/>
          <w:lang w:val="en-US"/>
        </w:rPr>
        <w:t>payments</w:t>
      </w:r>
      <w:r w:rsidR="00E742CD">
        <w:rPr>
          <w:rFonts w:ascii="Times New Roman" w:hAnsi="Times New Roman" w:cs="Times New Roman"/>
          <w:sz w:val="24"/>
          <w:szCs w:val="24"/>
          <w:lang w:val="en-US"/>
        </w:rPr>
        <w:t xml:space="preserve"> (e.g., stock or earnouts) in </w:t>
      </w:r>
      <w:r w:rsidR="00F40D63">
        <w:rPr>
          <w:rFonts w:ascii="Times New Roman" w:hAnsi="Times New Roman" w:cs="Times New Roman"/>
          <w:sz w:val="24"/>
          <w:szCs w:val="24"/>
          <w:lang w:val="en-US"/>
        </w:rPr>
        <w:t>M&amp;A</w:t>
      </w:r>
      <w:r w:rsidR="00EF156D">
        <w:rPr>
          <w:rFonts w:ascii="Times New Roman" w:hAnsi="Times New Roman" w:cs="Times New Roman"/>
          <w:sz w:val="24"/>
          <w:szCs w:val="24"/>
          <w:lang w:val="en-US"/>
        </w:rPr>
        <w:t>.</w:t>
      </w:r>
      <w:r w:rsidR="00AF5BE6">
        <w:rPr>
          <w:rFonts w:ascii="Times New Roman" w:hAnsi="Times New Roman" w:cs="Times New Roman"/>
          <w:sz w:val="24"/>
          <w:szCs w:val="24"/>
          <w:lang w:val="en-US"/>
        </w:rPr>
        <w:t xml:space="preserve"> Our measure </w:t>
      </w:r>
      <w:r w:rsidR="00D3046B">
        <w:rPr>
          <w:rFonts w:ascii="Times New Roman" w:hAnsi="Times New Roman" w:cs="Times New Roman"/>
          <w:sz w:val="24"/>
          <w:szCs w:val="24"/>
          <w:lang w:val="en-US"/>
        </w:rPr>
        <w:t>can also sharpen</w:t>
      </w:r>
      <w:r w:rsidR="00F21003">
        <w:rPr>
          <w:rFonts w:ascii="Times New Roman" w:hAnsi="Times New Roman" w:cs="Times New Roman"/>
          <w:sz w:val="24"/>
          <w:szCs w:val="24"/>
          <w:lang w:val="en-US"/>
        </w:rPr>
        <w:t xml:space="preserve"> the </w:t>
      </w:r>
      <w:r w:rsidR="008037BA">
        <w:rPr>
          <w:rFonts w:ascii="Times New Roman" w:hAnsi="Times New Roman" w:cs="Times New Roman"/>
          <w:sz w:val="24"/>
          <w:szCs w:val="24"/>
          <w:lang w:val="en-US"/>
        </w:rPr>
        <w:t>interpretation</w:t>
      </w:r>
      <w:r w:rsidR="00F21003">
        <w:rPr>
          <w:rFonts w:ascii="Times New Roman" w:hAnsi="Times New Roman" w:cs="Times New Roman"/>
          <w:sz w:val="24"/>
          <w:szCs w:val="24"/>
          <w:lang w:val="en-US"/>
        </w:rPr>
        <w:t xml:space="preserve"> of</w:t>
      </w:r>
      <w:r w:rsidR="00AF5BE6">
        <w:rPr>
          <w:rFonts w:ascii="Times New Roman" w:hAnsi="Times New Roman" w:cs="Times New Roman"/>
          <w:sz w:val="24"/>
          <w:szCs w:val="24"/>
          <w:lang w:val="en-US"/>
        </w:rPr>
        <w:t xml:space="preserve"> earnings response coefficients</w:t>
      </w:r>
      <w:r w:rsidR="00A308EB">
        <w:rPr>
          <w:rFonts w:ascii="Times New Roman" w:hAnsi="Times New Roman" w:cs="Times New Roman"/>
          <w:sz w:val="24"/>
          <w:szCs w:val="24"/>
          <w:lang w:val="en-US"/>
        </w:rPr>
        <w:t xml:space="preserve"> in studies of disclosure quality and the informational content of news</w:t>
      </w:r>
      <w:r w:rsidR="003317C9">
        <w:rPr>
          <w:rFonts w:ascii="Times New Roman" w:hAnsi="Times New Roman" w:cs="Times New Roman"/>
          <w:sz w:val="24"/>
          <w:szCs w:val="24"/>
          <w:lang w:val="en-US"/>
        </w:rPr>
        <w:t>:</w:t>
      </w:r>
      <w:r w:rsidR="00AF5BE6">
        <w:rPr>
          <w:rFonts w:ascii="Times New Roman" w:hAnsi="Times New Roman" w:cs="Times New Roman"/>
          <w:sz w:val="24"/>
          <w:szCs w:val="24"/>
          <w:lang w:val="en-US"/>
        </w:rPr>
        <w:t xml:space="preserve"> </w:t>
      </w:r>
      <w:r w:rsidR="003317C9">
        <w:rPr>
          <w:rFonts w:ascii="Times New Roman" w:hAnsi="Times New Roman" w:cs="Times New Roman"/>
          <w:sz w:val="24"/>
          <w:szCs w:val="24"/>
          <w:lang w:val="en-US"/>
        </w:rPr>
        <w:t>i</w:t>
      </w:r>
      <w:r w:rsidR="00AF5BE6">
        <w:rPr>
          <w:rFonts w:ascii="Times New Roman" w:hAnsi="Times New Roman" w:cs="Times New Roman"/>
          <w:sz w:val="24"/>
          <w:szCs w:val="24"/>
          <w:lang w:val="en-US"/>
        </w:rPr>
        <w:t>n</w:t>
      </w:r>
      <w:r w:rsidR="00F479C1">
        <w:rPr>
          <w:rFonts w:ascii="Times New Roman" w:hAnsi="Times New Roman" w:cs="Times New Roman"/>
          <w:sz w:val="24"/>
          <w:szCs w:val="24"/>
          <w:lang w:val="en-US"/>
        </w:rPr>
        <w:t xml:space="preserve"> </w:t>
      </w:r>
      <w:r w:rsidR="00165598">
        <w:rPr>
          <w:rFonts w:ascii="Times New Roman" w:hAnsi="Times New Roman" w:cs="Times New Roman"/>
          <w:sz w:val="24"/>
          <w:szCs w:val="24"/>
          <w:lang w:val="en-US"/>
        </w:rPr>
        <w:t>Bayesian learning frameworks</w:t>
      </w:r>
      <w:r w:rsidR="00F479C1">
        <w:rPr>
          <w:rFonts w:ascii="Times New Roman" w:hAnsi="Times New Roman" w:cs="Times New Roman"/>
          <w:sz w:val="24"/>
          <w:szCs w:val="24"/>
          <w:lang w:val="en-US"/>
        </w:rPr>
        <w:t>,</w:t>
      </w:r>
      <w:r w:rsidR="00AF5BE6">
        <w:rPr>
          <w:rFonts w:ascii="Times New Roman" w:hAnsi="Times New Roman" w:cs="Times New Roman"/>
          <w:sz w:val="24"/>
          <w:szCs w:val="24"/>
          <w:lang w:val="en-US"/>
        </w:rPr>
        <w:t xml:space="preserve"> holding signal quality constant, the response to new</w:t>
      </w:r>
      <w:r w:rsidR="00F21003">
        <w:rPr>
          <w:rFonts w:ascii="Times New Roman" w:hAnsi="Times New Roman" w:cs="Times New Roman"/>
          <w:sz w:val="24"/>
          <w:szCs w:val="24"/>
          <w:lang w:val="en-US"/>
        </w:rPr>
        <w:t xml:space="preserve">s </w:t>
      </w:r>
      <w:r w:rsidR="00AF5BE6">
        <w:rPr>
          <w:rFonts w:ascii="Times New Roman" w:hAnsi="Times New Roman" w:cs="Times New Roman"/>
          <w:sz w:val="24"/>
          <w:szCs w:val="24"/>
          <w:lang w:val="en-US"/>
        </w:rPr>
        <w:t xml:space="preserve">intensifies with prior </w:t>
      </w:r>
      <w:r w:rsidR="00F21003">
        <w:rPr>
          <w:rFonts w:ascii="Times New Roman" w:hAnsi="Times New Roman" w:cs="Times New Roman"/>
          <w:sz w:val="24"/>
          <w:szCs w:val="24"/>
          <w:lang w:val="en-US"/>
        </w:rPr>
        <w:t xml:space="preserve">valuation </w:t>
      </w:r>
      <w:r w:rsidR="004D2152">
        <w:rPr>
          <w:rFonts w:ascii="Times New Roman" w:hAnsi="Times New Roman" w:cs="Times New Roman"/>
          <w:sz w:val="24"/>
          <w:szCs w:val="24"/>
          <w:lang w:val="en-US"/>
        </w:rPr>
        <w:t>uncertainty</w:t>
      </w:r>
      <w:r w:rsidR="00CF39B6">
        <w:rPr>
          <w:rFonts w:ascii="Times New Roman" w:hAnsi="Times New Roman" w:cs="Times New Roman"/>
          <w:sz w:val="24"/>
          <w:szCs w:val="24"/>
          <w:lang w:val="en-US"/>
        </w:rPr>
        <w:t xml:space="preserve"> –</w:t>
      </w:r>
      <w:r w:rsidR="00F21003">
        <w:rPr>
          <w:rFonts w:ascii="Times New Roman" w:hAnsi="Times New Roman" w:cs="Times New Roman"/>
          <w:sz w:val="24"/>
          <w:szCs w:val="24"/>
          <w:lang w:val="en-US"/>
        </w:rPr>
        <w:t xml:space="preserve"> </w:t>
      </w:r>
      <w:r w:rsidR="001B1A4B">
        <w:rPr>
          <w:rFonts w:ascii="Times New Roman" w:hAnsi="Times New Roman" w:cs="Times New Roman"/>
          <w:sz w:val="24"/>
          <w:szCs w:val="24"/>
          <w:lang w:val="en-US"/>
        </w:rPr>
        <w:t>while</w:t>
      </w:r>
      <w:r w:rsidR="00AF5BE6">
        <w:rPr>
          <w:rFonts w:ascii="Times New Roman" w:hAnsi="Times New Roman" w:cs="Times New Roman"/>
          <w:sz w:val="24"/>
          <w:szCs w:val="24"/>
          <w:lang w:val="en-US"/>
        </w:rPr>
        <w:t xml:space="preserve"> holding </w:t>
      </w:r>
      <w:r w:rsidR="00F369EE">
        <w:rPr>
          <w:rFonts w:ascii="Times New Roman" w:hAnsi="Times New Roman" w:cs="Times New Roman"/>
          <w:sz w:val="24"/>
          <w:szCs w:val="24"/>
          <w:lang w:val="en-US"/>
        </w:rPr>
        <w:t>such</w:t>
      </w:r>
      <w:r w:rsidR="00AF5BE6">
        <w:rPr>
          <w:rFonts w:ascii="Times New Roman" w:hAnsi="Times New Roman" w:cs="Times New Roman"/>
          <w:sz w:val="24"/>
          <w:szCs w:val="24"/>
          <w:lang w:val="en-US"/>
        </w:rPr>
        <w:t xml:space="preserve"> uncertainty constant,</w:t>
      </w:r>
      <w:r w:rsidR="008A4D66">
        <w:rPr>
          <w:rFonts w:ascii="Times New Roman" w:hAnsi="Times New Roman" w:cs="Times New Roman"/>
          <w:sz w:val="24"/>
          <w:szCs w:val="24"/>
          <w:lang w:val="en-US"/>
        </w:rPr>
        <w:t xml:space="preserve"> </w:t>
      </w:r>
      <w:r w:rsidR="002023B6">
        <w:rPr>
          <w:rFonts w:ascii="Times New Roman" w:hAnsi="Times New Roman" w:cs="Times New Roman"/>
          <w:sz w:val="24"/>
          <w:szCs w:val="24"/>
          <w:lang w:val="en-US"/>
        </w:rPr>
        <w:t>stronger</w:t>
      </w:r>
      <w:r w:rsidR="00762218">
        <w:rPr>
          <w:rFonts w:ascii="Times New Roman" w:hAnsi="Times New Roman" w:cs="Times New Roman"/>
          <w:sz w:val="24"/>
          <w:szCs w:val="24"/>
          <w:lang w:val="en-US"/>
        </w:rPr>
        <w:t xml:space="preserve"> response</w:t>
      </w:r>
      <w:r w:rsidR="00F21003">
        <w:rPr>
          <w:rFonts w:ascii="Times New Roman" w:hAnsi="Times New Roman" w:cs="Times New Roman"/>
          <w:sz w:val="24"/>
          <w:szCs w:val="24"/>
          <w:lang w:val="en-US"/>
        </w:rPr>
        <w:t>s</w:t>
      </w:r>
      <w:r w:rsidR="00762218">
        <w:rPr>
          <w:rFonts w:ascii="Times New Roman" w:hAnsi="Times New Roman" w:cs="Times New Roman"/>
          <w:sz w:val="24"/>
          <w:szCs w:val="24"/>
          <w:lang w:val="en-US"/>
        </w:rPr>
        <w:t xml:space="preserve"> </w:t>
      </w:r>
      <w:r w:rsidR="008A4D66">
        <w:rPr>
          <w:rFonts w:ascii="Times New Roman" w:hAnsi="Times New Roman" w:cs="Times New Roman"/>
          <w:sz w:val="24"/>
          <w:szCs w:val="24"/>
          <w:lang w:val="en-US"/>
        </w:rPr>
        <w:t>impl</w:t>
      </w:r>
      <w:r w:rsidR="00F21003">
        <w:rPr>
          <w:rFonts w:ascii="Times New Roman" w:hAnsi="Times New Roman" w:cs="Times New Roman"/>
          <w:sz w:val="24"/>
          <w:szCs w:val="24"/>
          <w:lang w:val="en-US"/>
        </w:rPr>
        <w:t>y</w:t>
      </w:r>
      <w:r w:rsidR="008A4D66">
        <w:rPr>
          <w:rFonts w:ascii="Times New Roman" w:hAnsi="Times New Roman" w:cs="Times New Roman"/>
          <w:sz w:val="24"/>
          <w:szCs w:val="24"/>
          <w:lang w:val="en-US"/>
        </w:rPr>
        <w:t xml:space="preserve"> </w:t>
      </w:r>
      <w:r w:rsidR="002023B6">
        <w:rPr>
          <w:rFonts w:ascii="Times New Roman" w:hAnsi="Times New Roman" w:cs="Times New Roman"/>
          <w:sz w:val="24"/>
          <w:szCs w:val="24"/>
          <w:lang w:val="en-US"/>
        </w:rPr>
        <w:t>more</w:t>
      </w:r>
      <w:r w:rsidR="00386274">
        <w:rPr>
          <w:rFonts w:ascii="Times New Roman" w:hAnsi="Times New Roman" w:cs="Times New Roman"/>
          <w:sz w:val="24"/>
          <w:szCs w:val="24"/>
          <w:lang w:val="en-US"/>
        </w:rPr>
        <w:t xml:space="preserve"> credible</w:t>
      </w:r>
      <w:r w:rsidR="008A4D66">
        <w:rPr>
          <w:rFonts w:ascii="Times New Roman" w:hAnsi="Times New Roman" w:cs="Times New Roman"/>
          <w:sz w:val="24"/>
          <w:szCs w:val="24"/>
          <w:lang w:val="en-US"/>
        </w:rPr>
        <w:t xml:space="preserve"> signals</w:t>
      </w:r>
      <w:r w:rsidR="00AF5BE6">
        <w:rPr>
          <w:rFonts w:ascii="Times New Roman" w:hAnsi="Times New Roman" w:cs="Times New Roman"/>
          <w:sz w:val="24"/>
          <w:szCs w:val="24"/>
          <w:lang w:val="en-US"/>
        </w:rPr>
        <w:t>.</w:t>
      </w:r>
      <w:r w:rsidR="0025322F">
        <w:rPr>
          <w:rFonts w:ascii="Times New Roman" w:hAnsi="Times New Roman" w:cs="Times New Roman"/>
          <w:sz w:val="24"/>
          <w:szCs w:val="24"/>
          <w:lang w:val="en-US"/>
        </w:rPr>
        <w:t xml:space="preserve"> </w:t>
      </w:r>
      <w:r w:rsidR="00060673">
        <w:rPr>
          <w:rFonts w:ascii="Times New Roman" w:hAnsi="Times New Roman" w:cs="Times New Roman"/>
          <w:sz w:val="24"/>
          <w:szCs w:val="24"/>
          <w:lang w:val="en-US"/>
        </w:rPr>
        <w:t>We note that</w:t>
      </w:r>
      <w:r w:rsidR="0025322F">
        <w:rPr>
          <w:rFonts w:ascii="Times New Roman" w:hAnsi="Times New Roman" w:cs="Times New Roman"/>
          <w:sz w:val="24"/>
          <w:szCs w:val="24"/>
          <w:lang w:val="en-US"/>
        </w:rPr>
        <w:t xml:space="preserve"> our measure</w:t>
      </w:r>
      <w:r w:rsidR="00060673">
        <w:rPr>
          <w:rFonts w:ascii="Times New Roman" w:hAnsi="Times New Roman" w:cs="Times New Roman"/>
          <w:sz w:val="24"/>
          <w:szCs w:val="24"/>
          <w:lang w:val="en-US"/>
        </w:rPr>
        <w:t xml:space="preserve"> of valuation uncertainty</w:t>
      </w:r>
      <w:r w:rsidR="0025322F">
        <w:rPr>
          <w:rFonts w:ascii="Times New Roman" w:hAnsi="Times New Roman" w:cs="Times New Roman"/>
          <w:sz w:val="24"/>
          <w:szCs w:val="24"/>
          <w:lang w:val="en-US"/>
        </w:rPr>
        <w:t xml:space="preserve"> incorporates variation from a whole range of commonly used proxies (e.g., firm size and age, stock return volatility, asset tangibility), </w:t>
      </w:r>
      <w:bookmarkStart w:id="2" w:name="_Hlk212828683"/>
      <w:r w:rsidR="00060673">
        <w:rPr>
          <w:rFonts w:ascii="Times New Roman" w:hAnsi="Times New Roman" w:cs="Times New Roman"/>
          <w:sz w:val="24"/>
          <w:szCs w:val="24"/>
          <w:lang w:val="en-US"/>
        </w:rPr>
        <w:t>making</w:t>
      </w:r>
      <w:r w:rsidR="0025322F">
        <w:rPr>
          <w:rFonts w:ascii="Times New Roman" w:hAnsi="Times New Roman" w:cs="Times New Roman"/>
          <w:sz w:val="24"/>
          <w:szCs w:val="24"/>
          <w:lang w:val="en-US"/>
        </w:rPr>
        <w:t xml:space="preserve"> a case for </w:t>
      </w:r>
      <w:r w:rsidR="00060673">
        <w:rPr>
          <w:rFonts w:ascii="Times New Roman" w:hAnsi="Times New Roman" w:cs="Times New Roman"/>
          <w:sz w:val="24"/>
          <w:szCs w:val="24"/>
          <w:lang w:val="en-US"/>
        </w:rPr>
        <w:t>its use</w:t>
      </w:r>
      <w:r w:rsidR="0025322F">
        <w:rPr>
          <w:rFonts w:ascii="Times New Roman" w:hAnsi="Times New Roman" w:cs="Times New Roman"/>
          <w:sz w:val="24"/>
          <w:szCs w:val="24"/>
          <w:lang w:val="en-US"/>
        </w:rPr>
        <w:t xml:space="preserve"> as a</w:t>
      </w:r>
      <w:r w:rsidR="00060673">
        <w:rPr>
          <w:rFonts w:ascii="Times New Roman" w:hAnsi="Times New Roman" w:cs="Times New Roman"/>
          <w:sz w:val="24"/>
          <w:szCs w:val="24"/>
          <w:lang w:val="en-US"/>
        </w:rPr>
        <w:t xml:space="preserve"> single,</w:t>
      </w:r>
      <w:r w:rsidR="0025322F">
        <w:rPr>
          <w:rFonts w:ascii="Times New Roman" w:hAnsi="Times New Roman" w:cs="Times New Roman"/>
          <w:sz w:val="24"/>
          <w:szCs w:val="24"/>
          <w:lang w:val="en-US"/>
        </w:rPr>
        <w:t xml:space="preserve"> </w:t>
      </w:r>
      <w:r w:rsidR="00235E4E">
        <w:rPr>
          <w:rFonts w:ascii="Times New Roman" w:hAnsi="Times New Roman" w:cs="Times New Roman"/>
          <w:sz w:val="24"/>
          <w:szCs w:val="24"/>
          <w:lang w:val="en-US"/>
        </w:rPr>
        <w:t>multi-faceted</w:t>
      </w:r>
      <w:r w:rsidR="0025322F">
        <w:rPr>
          <w:rFonts w:ascii="Times New Roman" w:hAnsi="Times New Roman" w:cs="Times New Roman"/>
          <w:sz w:val="24"/>
          <w:szCs w:val="24"/>
          <w:lang w:val="en-US"/>
        </w:rPr>
        <w:t xml:space="preserve"> metric</w:t>
      </w:r>
      <w:bookmarkEnd w:id="2"/>
      <w:r w:rsidR="0095664C">
        <w:rPr>
          <w:rFonts w:ascii="Times New Roman" w:hAnsi="Times New Roman" w:cs="Times New Roman"/>
          <w:sz w:val="24"/>
          <w:szCs w:val="24"/>
          <w:lang w:val="en-US"/>
        </w:rPr>
        <w:t>.</w:t>
      </w:r>
    </w:p>
    <w:p w14:paraId="01E42C07" w14:textId="20E02359" w:rsidR="0001493A" w:rsidRDefault="00C662DD" w:rsidP="006E5B9A">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As any proxy for an unobservable construct, our valuation uncertainty measure has its limitations</w:t>
      </w:r>
      <w:r w:rsidR="000F7C5A">
        <w:rPr>
          <w:rFonts w:ascii="Times New Roman" w:hAnsi="Times New Roman" w:cs="Times New Roman"/>
          <w:sz w:val="24"/>
          <w:szCs w:val="24"/>
          <w:lang w:val="en-US"/>
        </w:rPr>
        <w:t>.</w:t>
      </w:r>
      <w:r w:rsidR="00236A65">
        <w:rPr>
          <w:rFonts w:ascii="Times New Roman" w:hAnsi="Times New Roman" w:cs="Times New Roman"/>
          <w:sz w:val="24"/>
          <w:szCs w:val="24"/>
          <w:lang w:val="en-US"/>
        </w:rPr>
        <w:t xml:space="preserve"> We highlight two.</w:t>
      </w:r>
      <w:r w:rsidR="000F7C5A">
        <w:rPr>
          <w:rFonts w:ascii="Times New Roman" w:hAnsi="Times New Roman" w:cs="Times New Roman"/>
          <w:sz w:val="24"/>
          <w:szCs w:val="24"/>
          <w:lang w:val="en-US"/>
        </w:rPr>
        <w:t xml:space="preserve"> First, i</w:t>
      </w:r>
      <w:r w:rsidR="000F7C5A" w:rsidRPr="00F34ECF">
        <w:rPr>
          <w:rFonts w:ascii="Times New Roman" w:hAnsi="Times New Roman" w:cs="Times New Roman"/>
          <w:sz w:val="24"/>
          <w:szCs w:val="24"/>
          <w:lang w:val="en-US"/>
        </w:rPr>
        <w:t xml:space="preserve">t relies on </w:t>
      </w:r>
      <w:r w:rsidR="008A4D66">
        <w:rPr>
          <w:rFonts w:ascii="Times New Roman" w:hAnsi="Times New Roman" w:cs="Times New Roman"/>
          <w:sz w:val="24"/>
          <w:szCs w:val="24"/>
          <w:lang w:val="en-US"/>
        </w:rPr>
        <w:t>a</w:t>
      </w:r>
      <w:r w:rsidR="000F7C5A" w:rsidRPr="00D411CA">
        <w:rPr>
          <w:rFonts w:ascii="Times New Roman" w:hAnsi="Times New Roman" w:cs="Times New Roman"/>
          <w:sz w:val="24"/>
          <w:szCs w:val="24"/>
          <w:lang w:val="en-US"/>
        </w:rPr>
        <w:t xml:space="preserve"> particular implementation of a given valuation model</w:t>
      </w:r>
      <w:r w:rsidR="000F7C5A">
        <w:rPr>
          <w:rFonts w:ascii="Times New Roman" w:hAnsi="Times New Roman" w:cs="Times New Roman"/>
          <w:sz w:val="24"/>
          <w:szCs w:val="24"/>
          <w:lang w:val="en-US"/>
        </w:rPr>
        <w:t xml:space="preserve">. This includes </w:t>
      </w:r>
      <w:r w:rsidR="000F7C5A" w:rsidRPr="00F34ECF">
        <w:rPr>
          <w:rFonts w:ascii="Times New Roman" w:hAnsi="Times New Roman" w:cs="Times New Roman"/>
          <w:sz w:val="24"/>
          <w:szCs w:val="24"/>
          <w:lang w:val="en-US"/>
        </w:rPr>
        <w:t>fixing a set of value-relevant fundamentals,</w:t>
      </w:r>
      <w:r w:rsidR="000F7C5A">
        <w:rPr>
          <w:rFonts w:ascii="Times New Roman" w:hAnsi="Times New Roman" w:cs="Times New Roman"/>
          <w:sz w:val="24"/>
          <w:szCs w:val="24"/>
          <w:lang w:val="en-US"/>
        </w:rPr>
        <w:t xml:space="preserve"> </w:t>
      </w:r>
      <w:r w:rsidR="000F7C5A" w:rsidRPr="00F34ECF">
        <w:rPr>
          <w:rFonts w:ascii="Times New Roman" w:hAnsi="Times New Roman" w:cs="Times New Roman"/>
          <w:sz w:val="24"/>
          <w:szCs w:val="24"/>
          <w:lang w:val="en-US"/>
        </w:rPr>
        <w:t>imposing a particular functional form of the relationship between those fundamentals and value,</w:t>
      </w:r>
      <w:r w:rsidR="000F7C5A">
        <w:rPr>
          <w:rFonts w:ascii="Times New Roman" w:hAnsi="Times New Roman" w:cs="Times New Roman"/>
          <w:sz w:val="24"/>
          <w:szCs w:val="24"/>
          <w:lang w:val="en-US"/>
        </w:rPr>
        <w:t xml:space="preserve"> </w:t>
      </w:r>
      <w:r w:rsidR="000F7C5A" w:rsidRPr="00F34ECF">
        <w:rPr>
          <w:rFonts w:ascii="Times New Roman" w:hAnsi="Times New Roman" w:cs="Times New Roman"/>
          <w:sz w:val="24"/>
          <w:szCs w:val="24"/>
          <w:lang w:val="en-US"/>
        </w:rPr>
        <w:t xml:space="preserve">assuming this relationship is constant within industry-years, and adopting a particular set of industry peers. </w:t>
      </w:r>
      <w:r w:rsidR="00165598">
        <w:rPr>
          <w:rFonts w:ascii="Times New Roman" w:hAnsi="Times New Roman" w:cs="Times New Roman"/>
          <w:sz w:val="24"/>
          <w:szCs w:val="24"/>
          <w:lang w:val="en-US"/>
        </w:rPr>
        <w:t>That said</w:t>
      </w:r>
      <w:r w:rsidR="000F7C5A">
        <w:rPr>
          <w:rFonts w:ascii="Times New Roman" w:hAnsi="Times New Roman" w:cs="Times New Roman"/>
          <w:sz w:val="24"/>
          <w:szCs w:val="24"/>
          <w:lang w:val="en-US"/>
        </w:rPr>
        <w:t xml:space="preserve">, our </w:t>
      </w:r>
      <w:r w:rsidR="000F7C5A" w:rsidRPr="00F34ECF">
        <w:rPr>
          <w:rFonts w:ascii="Times New Roman" w:hAnsi="Times New Roman" w:cs="Times New Roman"/>
          <w:sz w:val="24"/>
          <w:szCs w:val="24"/>
          <w:lang w:val="en-US"/>
        </w:rPr>
        <w:t>measurement framework allows for flexibility</w:t>
      </w:r>
      <w:r w:rsidR="00F40D63">
        <w:rPr>
          <w:rFonts w:ascii="Times New Roman" w:hAnsi="Times New Roman" w:cs="Times New Roman"/>
          <w:sz w:val="24"/>
          <w:szCs w:val="24"/>
          <w:lang w:val="en-US"/>
        </w:rPr>
        <w:t>/improvements</w:t>
      </w:r>
      <w:r w:rsidR="000F7C5A" w:rsidRPr="00F34ECF">
        <w:rPr>
          <w:rFonts w:ascii="Times New Roman" w:hAnsi="Times New Roman" w:cs="Times New Roman"/>
          <w:sz w:val="24"/>
          <w:szCs w:val="24"/>
          <w:lang w:val="en-US"/>
        </w:rPr>
        <w:t xml:space="preserve"> in these choices.</w:t>
      </w:r>
      <w:r w:rsidR="000F7C5A">
        <w:rPr>
          <w:rFonts w:ascii="Times New Roman" w:hAnsi="Times New Roman" w:cs="Times New Roman"/>
          <w:sz w:val="24"/>
          <w:szCs w:val="24"/>
          <w:lang w:val="en-US"/>
        </w:rPr>
        <w:t xml:space="preserve"> Second, </w:t>
      </w:r>
      <w:r w:rsidR="008A4D66">
        <w:rPr>
          <w:rFonts w:ascii="Times New Roman" w:hAnsi="Times New Roman" w:cs="Times New Roman"/>
          <w:sz w:val="24"/>
          <w:szCs w:val="24"/>
          <w:lang w:val="en-US"/>
        </w:rPr>
        <w:t>annual frequency and limited time-series variation of</w:t>
      </w:r>
      <w:r w:rsidR="000F7C5A" w:rsidRPr="00F34ECF">
        <w:rPr>
          <w:rFonts w:ascii="Times New Roman" w:hAnsi="Times New Roman" w:cs="Times New Roman"/>
          <w:sz w:val="24"/>
          <w:szCs w:val="24"/>
          <w:lang w:val="en-US"/>
        </w:rPr>
        <w:t xml:space="preserve"> </w:t>
      </w:r>
      <w:r w:rsidR="00165598">
        <w:rPr>
          <w:rFonts w:ascii="Times New Roman" w:hAnsi="Times New Roman" w:cs="Times New Roman"/>
          <w:sz w:val="24"/>
          <w:szCs w:val="24"/>
          <w:lang w:val="en-US"/>
        </w:rPr>
        <w:t>our</w:t>
      </w:r>
      <w:r w:rsidR="000F7C5A" w:rsidRPr="009A7BDC">
        <w:rPr>
          <w:rFonts w:ascii="Times New Roman" w:hAnsi="Times New Roman" w:cs="Times New Roman"/>
          <w:sz w:val="24"/>
          <w:szCs w:val="24"/>
          <w:lang w:val="en-US"/>
        </w:rPr>
        <w:t xml:space="preserve"> measure might not </w:t>
      </w:r>
      <w:r w:rsidR="008A4D66">
        <w:rPr>
          <w:rFonts w:ascii="Times New Roman" w:hAnsi="Times New Roman" w:cs="Times New Roman"/>
          <w:sz w:val="24"/>
          <w:szCs w:val="24"/>
          <w:lang w:val="en-US"/>
        </w:rPr>
        <w:t>suit</w:t>
      </w:r>
      <w:r w:rsidR="000F7C5A" w:rsidRPr="00F34ECF">
        <w:rPr>
          <w:rFonts w:ascii="Times New Roman" w:hAnsi="Times New Roman" w:cs="Times New Roman"/>
          <w:sz w:val="24"/>
          <w:szCs w:val="24"/>
          <w:lang w:val="en-US"/>
        </w:rPr>
        <w:t xml:space="preserve"> applications that require high-frequency</w:t>
      </w:r>
      <w:r w:rsidR="00F40D63">
        <w:rPr>
          <w:rFonts w:ascii="Times New Roman" w:hAnsi="Times New Roman" w:cs="Times New Roman"/>
          <w:sz w:val="24"/>
          <w:szCs w:val="24"/>
          <w:lang w:val="en-US"/>
        </w:rPr>
        <w:t xml:space="preserve"> within-firm</w:t>
      </w:r>
      <w:r w:rsidR="000F7C5A" w:rsidRPr="00F34ECF">
        <w:rPr>
          <w:rFonts w:ascii="Times New Roman" w:hAnsi="Times New Roman" w:cs="Times New Roman"/>
          <w:sz w:val="24"/>
          <w:szCs w:val="24"/>
          <w:lang w:val="en-US"/>
        </w:rPr>
        <w:t xml:space="preserve"> measurements. It is, however, possible to generate a version of our measure that is more frequently updated</w:t>
      </w:r>
      <w:r w:rsidR="00EF160D">
        <w:rPr>
          <w:rFonts w:ascii="Times New Roman" w:hAnsi="Times New Roman" w:cs="Times New Roman"/>
          <w:sz w:val="24"/>
          <w:szCs w:val="24"/>
          <w:lang w:val="en-US"/>
        </w:rPr>
        <w:t>, e.g., using</w:t>
      </w:r>
      <w:r w:rsidR="000F7C5A" w:rsidRPr="00F34ECF">
        <w:rPr>
          <w:rFonts w:ascii="Times New Roman" w:hAnsi="Times New Roman" w:cs="Times New Roman"/>
          <w:sz w:val="24"/>
          <w:szCs w:val="24"/>
          <w:lang w:val="en-US"/>
        </w:rPr>
        <w:t xml:space="preserve"> quarterly fundamentals and stock prices</w:t>
      </w:r>
      <w:r w:rsidR="000F7C5A">
        <w:rPr>
          <w:rFonts w:ascii="Times New Roman" w:hAnsi="Times New Roman" w:cs="Times New Roman"/>
          <w:sz w:val="24"/>
          <w:szCs w:val="24"/>
          <w:lang w:val="en-US"/>
        </w:rPr>
        <w:t>.</w:t>
      </w:r>
      <w:bookmarkEnd w:id="1"/>
      <w:r w:rsidR="0001493A">
        <w:rPr>
          <w:rFonts w:ascii="Times New Roman" w:hAnsi="Times New Roman" w:cs="Times New Roman"/>
          <w:sz w:val="24"/>
          <w:szCs w:val="24"/>
        </w:rPr>
        <w:br w:type="page"/>
      </w:r>
    </w:p>
    <w:p w14:paraId="052EC42A" w14:textId="585A0720" w:rsidR="00A57456" w:rsidRPr="00A57456" w:rsidRDefault="00A57456" w:rsidP="001A645C">
      <w:pPr>
        <w:spacing w:after="0"/>
        <w:jc w:val="center"/>
        <w:rPr>
          <w:rFonts w:ascii="Times New Roman" w:hAnsi="Times New Roman" w:cs="Times New Roman"/>
          <w:b/>
          <w:bCs/>
          <w:noProof/>
          <w:sz w:val="24"/>
          <w:szCs w:val="24"/>
          <w:lang w:val="en-US"/>
        </w:rPr>
      </w:pPr>
      <w:r w:rsidRPr="00A57456">
        <w:rPr>
          <w:rFonts w:ascii="Times New Roman" w:hAnsi="Times New Roman" w:cs="Times New Roman"/>
          <w:b/>
          <w:bCs/>
          <w:sz w:val="24"/>
          <w:szCs w:val="24"/>
        </w:rPr>
        <w:lastRenderedPageBreak/>
        <w:t>Appendix</w:t>
      </w:r>
      <w:r w:rsidR="00905397">
        <w:rPr>
          <w:rFonts w:ascii="Times New Roman" w:hAnsi="Times New Roman" w:cs="Times New Roman"/>
          <w:b/>
          <w:bCs/>
          <w:sz w:val="24"/>
          <w:szCs w:val="24"/>
        </w:rPr>
        <w:t xml:space="preserve">: </w:t>
      </w:r>
      <w:r w:rsidR="00905397" w:rsidRPr="00A57456">
        <w:rPr>
          <w:rFonts w:ascii="Times New Roman" w:hAnsi="Times New Roman" w:cs="Times New Roman"/>
          <w:b/>
          <w:bCs/>
          <w:sz w:val="24"/>
          <w:szCs w:val="24"/>
        </w:rPr>
        <w:t>Variables Definitions</w:t>
      </w:r>
    </w:p>
    <w:tbl>
      <w:tblPr>
        <w:tblW w:w="9381" w:type="dxa"/>
        <w:jc w:val="center"/>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1413"/>
        <w:gridCol w:w="7968"/>
      </w:tblGrid>
      <w:tr w:rsidR="00A57456" w:rsidRPr="003564DE" w14:paraId="2B298E42" w14:textId="77777777" w:rsidTr="001A645C">
        <w:trPr>
          <w:trHeight w:val="777"/>
          <w:jc w:val="center"/>
        </w:trPr>
        <w:tc>
          <w:tcPr>
            <w:tcW w:w="1413" w:type="dxa"/>
          </w:tcPr>
          <w:p w14:paraId="04F81036" w14:textId="77777777" w:rsidR="00A57456" w:rsidRPr="003564DE" w:rsidRDefault="00A57456" w:rsidP="005276C1">
            <w:pPr>
              <w:spacing w:after="0" w:line="240" w:lineRule="auto"/>
              <w:rPr>
                <w:rFonts w:ascii="Times New Roman" w:eastAsia="Calibri" w:hAnsi="Times New Roman" w:cs="Times New Roman"/>
                <w:color w:val="000000"/>
                <w:sz w:val="20"/>
                <w:szCs w:val="20"/>
                <w:lang w:val="en-US"/>
              </w:rPr>
            </w:pPr>
            <w:r w:rsidRPr="003564DE">
              <w:rPr>
                <w:rFonts w:ascii="Times New Roman" w:eastAsia="Calibri" w:hAnsi="Times New Roman" w:cs="Times New Roman"/>
                <w:color w:val="000000"/>
                <w:sz w:val="20"/>
                <w:szCs w:val="20"/>
                <w:lang w:val="en-US"/>
              </w:rPr>
              <w:t>VU</w:t>
            </w:r>
          </w:p>
        </w:tc>
        <w:tc>
          <w:tcPr>
            <w:tcW w:w="7968" w:type="dxa"/>
          </w:tcPr>
          <w:p w14:paraId="001E72DF" w14:textId="5375647B" w:rsidR="00A57456" w:rsidRDefault="00A57456" w:rsidP="00A57456">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rPr>
              <w:t>Valuation uncertainty, computed as (Q</w:t>
            </w:r>
            <w:r w:rsidRPr="003564DE">
              <w:rPr>
                <w:rFonts w:ascii="Times New Roman" w:eastAsia="Calibri" w:hAnsi="Times New Roman" w:cs="Times New Roman"/>
                <w:sz w:val="20"/>
                <w:szCs w:val="20"/>
                <w:vertAlign w:val="subscript"/>
              </w:rPr>
              <w:t>75</w:t>
            </w:r>
            <w:r w:rsidRPr="003564DE">
              <w:rPr>
                <w:rFonts w:ascii="Times New Roman" w:eastAsia="Calibri" w:hAnsi="Times New Roman" w:cs="Times New Roman"/>
                <w:sz w:val="20"/>
                <w:szCs w:val="20"/>
              </w:rPr>
              <w:t xml:space="preserve"> – Q</w:t>
            </w:r>
            <w:r w:rsidRPr="003564DE">
              <w:rPr>
                <w:rFonts w:ascii="Times New Roman" w:eastAsia="Calibri" w:hAnsi="Times New Roman" w:cs="Times New Roman"/>
                <w:sz w:val="20"/>
                <w:szCs w:val="20"/>
                <w:vertAlign w:val="subscript"/>
              </w:rPr>
              <w:t>25</w:t>
            </w:r>
            <w:r w:rsidRPr="003564DE">
              <w:rPr>
                <w:rFonts w:ascii="Times New Roman" w:eastAsia="Calibri" w:hAnsi="Times New Roman" w:cs="Times New Roman"/>
                <w:sz w:val="20"/>
                <w:szCs w:val="20"/>
              </w:rPr>
              <w:t>)/((Q</w:t>
            </w:r>
            <w:r w:rsidRPr="003564DE">
              <w:rPr>
                <w:rFonts w:ascii="Times New Roman" w:eastAsia="Calibri" w:hAnsi="Times New Roman" w:cs="Times New Roman"/>
                <w:sz w:val="20"/>
                <w:szCs w:val="20"/>
                <w:vertAlign w:val="subscript"/>
              </w:rPr>
              <w:t>75</w:t>
            </w:r>
            <w:r w:rsidRPr="003564DE">
              <w:rPr>
                <w:rFonts w:ascii="Times New Roman" w:eastAsia="Calibri" w:hAnsi="Times New Roman" w:cs="Times New Roman"/>
                <w:sz w:val="20"/>
                <w:szCs w:val="20"/>
              </w:rPr>
              <w:t xml:space="preserve"> – Q</w:t>
            </w:r>
            <w:r w:rsidRPr="003564DE">
              <w:rPr>
                <w:rFonts w:ascii="Times New Roman" w:eastAsia="Calibri" w:hAnsi="Times New Roman" w:cs="Times New Roman"/>
                <w:sz w:val="20"/>
                <w:szCs w:val="20"/>
                <w:vertAlign w:val="subscript"/>
              </w:rPr>
              <w:t>25</w:t>
            </w:r>
            <w:r w:rsidRPr="003564DE">
              <w:rPr>
                <w:rFonts w:ascii="Times New Roman" w:eastAsia="Calibri" w:hAnsi="Times New Roman" w:cs="Times New Roman"/>
                <w:sz w:val="20"/>
                <w:szCs w:val="20"/>
              </w:rPr>
              <w:t>)/2). Q</w:t>
            </w:r>
            <w:r w:rsidRPr="003564DE">
              <w:rPr>
                <w:rFonts w:ascii="Times New Roman" w:eastAsia="Calibri" w:hAnsi="Times New Roman" w:cs="Times New Roman"/>
                <w:sz w:val="20"/>
                <w:szCs w:val="20"/>
                <w:vertAlign w:val="subscript"/>
              </w:rPr>
              <w:t xml:space="preserve">25 </w:t>
            </w:r>
            <w:r w:rsidRPr="003564DE">
              <w:rPr>
                <w:rFonts w:ascii="Times New Roman" w:eastAsia="Calibri" w:hAnsi="Times New Roman" w:cs="Times New Roman"/>
                <w:sz w:val="20"/>
                <w:szCs w:val="20"/>
              </w:rPr>
              <w:t>and Q</w:t>
            </w:r>
            <w:r w:rsidRPr="003564DE">
              <w:rPr>
                <w:rFonts w:ascii="Times New Roman" w:eastAsia="Calibri" w:hAnsi="Times New Roman" w:cs="Times New Roman"/>
                <w:sz w:val="20"/>
                <w:szCs w:val="20"/>
                <w:vertAlign w:val="subscript"/>
              </w:rPr>
              <w:t xml:space="preserve">75 </w:t>
            </w:r>
            <w:r w:rsidRPr="003564DE">
              <w:rPr>
                <w:rFonts w:ascii="Times New Roman" w:eastAsia="Calibri" w:hAnsi="Times New Roman" w:cs="Times New Roman"/>
                <w:sz w:val="20"/>
                <w:szCs w:val="20"/>
              </w:rPr>
              <w:t xml:space="preserve">denote the exponentiated values of </w:t>
            </w:r>
            <w:r w:rsidRPr="003564DE">
              <w:rPr>
                <w:rFonts w:ascii="Times New Roman" w:eastAsia="Calibri" w:hAnsi="Times New Roman" w:cs="Times New Roman"/>
                <w:i/>
                <w:sz w:val="20"/>
                <w:szCs w:val="20"/>
              </w:rPr>
              <w:t>q</w:t>
            </w:r>
            <w:r w:rsidRPr="003564DE">
              <w:rPr>
                <w:rFonts w:ascii="Times New Roman" w:eastAsia="Calibri" w:hAnsi="Times New Roman" w:cs="Times New Roman"/>
                <w:i/>
                <w:sz w:val="20"/>
                <w:szCs w:val="20"/>
                <w:vertAlign w:val="subscript"/>
              </w:rPr>
              <w:t>25</w:t>
            </w:r>
            <w:r w:rsidRPr="003564DE">
              <w:rPr>
                <w:rFonts w:ascii="Times New Roman" w:eastAsia="Calibri" w:hAnsi="Times New Roman" w:cs="Times New Roman"/>
                <w:sz w:val="20"/>
                <w:szCs w:val="20"/>
                <w:vertAlign w:val="subscript"/>
              </w:rPr>
              <w:t xml:space="preserve"> </w:t>
            </w:r>
            <w:r w:rsidRPr="003564DE">
              <w:rPr>
                <w:rFonts w:ascii="Times New Roman" w:eastAsia="Calibri" w:hAnsi="Times New Roman" w:cs="Times New Roman"/>
                <w:sz w:val="20"/>
                <w:szCs w:val="20"/>
              </w:rPr>
              <w:t xml:space="preserve">and </w:t>
            </w:r>
            <w:r w:rsidRPr="003564DE">
              <w:rPr>
                <w:rFonts w:ascii="Times New Roman" w:eastAsia="Calibri" w:hAnsi="Times New Roman" w:cs="Times New Roman"/>
                <w:i/>
                <w:sz w:val="20"/>
                <w:szCs w:val="20"/>
              </w:rPr>
              <w:t>q</w:t>
            </w:r>
            <w:r w:rsidRPr="003564DE">
              <w:rPr>
                <w:rFonts w:ascii="Times New Roman" w:eastAsia="Calibri" w:hAnsi="Times New Roman" w:cs="Times New Roman"/>
                <w:i/>
                <w:sz w:val="20"/>
                <w:szCs w:val="20"/>
                <w:vertAlign w:val="subscript"/>
              </w:rPr>
              <w:t>75</w:t>
            </w:r>
            <w:r w:rsidRPr="003564DE">
              <w:rPr>
                <w:rFonts w:ascii="Times New Roman" w:eastAsia="Calibri" w:hAnsi="Times New Roman" w:cs="Times New Roman"/>
                <w:sz w:val="20"/>
                <w:szCs w:val="20"/>
              </w:rPr>
              <w:t>, which are the conditional 25</w:t>
            </w:r>
            <w:r w:rsidRPr="003564DE">
              <w:rPr>
                <w:rFonts w:ascii="Times New Roman" w:eastAsia="Calibri" w:hAnsi="Times New Roman" w:cs="Times New Roman"/>
                <w:sz w:val="20"/>
                <w:szCs w:val="20"/>
                <w:vertAlign w:val="superscript"/>
              </w:rPr>
              <w:t>th</w:t>
            </w:r>
            <w:r w:rsidRPr="003564DE">
              <w:rPr>
                <w:rFonts w:ascii="Times New Roman" w:eastAsia="Calibri" w:hAnsi="Times New Roman" w:cs="Times New Roman"/>
                <w:sz w:val="20"/>
                <w:szCs w:val="20"/>
              </w:rPr>
              <w:t xml:space="preserve"> and 75</w:t>
            </w:r>
            <w:r w:rsidRPr="003564DE">
              <w:rPr>
                <w:rFonts w:ascii="Times New Roman" w:eastAsia="Calibri" w:hAnsi="Times New Roman" w:cs="Times New Roman"/>
                <w:sz w:val="20"/>
                <w:szCs w:val="20"/>
                <w:vertAlign w:val="superscript"/>
              </w:rPr>
              <w:t>th</w:t>
            </w:r>
            <w:r w:rsidRPr="003564DE">
              <w:rPr>
                <w:rFonts w:ascii="Times New Roman" w:eastAsia="Calibri" w:hAnsi="Times New Roman" w:cs="Times New Roman"/>
                <w:sz w:val="20"/>
                <w:szCs w:val="20"/>
              </w:rPr>
              <w:t xml:space="preserve"> percentiles of log (modified) market equity, respectively.</w:t>
            </w:r>
          </w:p>
        </w:tc>
      </w:tr>
      <w:tr w:rsidR="00A57456" w:rsidRPr="003564DE" w14:paraId="432EA672" w14:textId="77777777" w:rsidTr="001A645C">
        <w:trPr>
          <w:trHeight w:val="470"/>
          <w:jc w:val="center"/>
        </w:trPr>
        <w:tc>
          <w:tcPr>
            <w:tcW w:w="1413" w:type="dxa"/>
          </w:tcPr>
          <w:p w14:paraId="7BC194F8" w14:textId="77777777" w:rsidR="00A57456" w:rsidRPr="003564DE" w:rsidRDefault="00A57456" w:rsidP="005276C1">
            <w:pPr>
              <w:spacing w:after="0" w:line="240" w:lineRule="auto"/>
              <w:rPr>
                <w:rFonts w:ascii="Times New Roman" w:eastAsia="Calibri" w:hAnsi="Times New Roman" w:cs="Times New Roman"/>
                <w:color w:val="000000"/>
                <w:sz w:val="20"/>
                <w:szCs w:val="20"/>
                <w:lang w:val="en-US"/>
              </w:rPr>
            </w:pPr>
            <w:r w:rsidRPr="003564DE">
              <w:rPr>
                <w:rFonts w:ascii="Times New Roman" w:eastAsia="Calibri" w:hAnsi="Times New Roman" w:cs="Times New Roman"/>
                <w:color w:val="000000"/>
                <w:sz w:val="20"/>
                <w:szCs w:val="20"/>
                <w:lang w:val="en-US"/>
              </w:rPr>
              <w:t>Price-to-value</w:t>
            </w:r>
          </w:p>
          <w:p w14:paraId="4C7CF9E9" w14:textId="77777777" w:rsidR="00A57456" w:rsidRPr="003564DE" w:rsidRDefault="00A57456" w:rsidP="005276C1">
            <w:pPr>
              <w:spacing w:after="0" w:line="240" w:lineRule="auto"/>
              <w:rPr>
                <w:rFonts w:ascii="Times New Roman" w:eastAsia="Calibri" w:hAnsi="Times New Roman" w:cs="Times New Roman"/>
                <w:color w:val="000000"/>
                <w:sz w:val="20"/>
                <w:szCs w:val="20"/>
                <w:lang w:val="en-US"/>
              </w:rPr>
            </w:pPr>
          </w:p>
        </w:tc>
        <w:tc>
          <w:tcPr>
            <w:tcW w:w="7968" w:type="dxa"/>
          </w:tcPr>
          <w:p w14:paraId="2B359F57" w14:textId="0B19C702" w:rsidR="00A57456" w:rsidRPr="003564DE" w:rsidRDefault="00A57456" w:rsidP="00626808">
            <w:pPr>
              <w:spacing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rPr>
              <w:t>Deviation of market value from expected fundamental value</w:t>
            </w:r>
            <w:r w:rsidR="005B4882">
              <w:rPr>
                <w:rFonts w:ascii="Times New Roman" w:eastAsia="Calibri" w:hAnsi="Times New Roman" w:cs="Times New Roman"/>
                <w:sz w:val="20"/>
                <w:szCs w:val="20"/>
              </w:rPr>
              <w:t>, d</w:t>
            </w:r>
            <w:r w:rsidRPr="003564DE">
              <w:rPr>
                <w:rFonts w:ascii="Times New Roman" w:eastAsia="Calibri" w:hAnsi="Times New Roman" w:cs="Times New Roman"/>
                <w:sz w:val="20"/>
                <w:szCs w:val="20"/>
              </w:rPr>
              <w:t>efined as the residual from estimating the valuation model in eq. (</w:t>
            </w:r>
            <w:r>
              <w:rPr>
                <w:rFonts w:ascii="Times New Roman" w:eastAsia="Calibri" w:hAnsi="Times New Roman" w:cs="Times New Roman"/>
                <w:sz w:val="20"/>
                <w:szCs w:val="20"/>
              </w:rPr>
              <w:t>5</w:t>
            </w:r>
            <w:r w:rsidRPr="003564DE">
              <w:rPr>
                <w:rFonts w:ascii="Times New Roman" w:eastAsia="Calibri" w:hAnsi="Times New Roman" w:cs="Times New Roman"/>
                <w:sz w:val="20"/>
                <w:szCs w:val="20"/>
              </w:rPr>
              <w:t>) using OLS regressions by industry-year</w:t>
            </w:r>
            <w:r>
              <w:rPr>
                <w:rFonts w:ascii="Times New Roman" w:eastAsia="Calibri" w:hAnsi="Times New Roman" w:cs="Times New Roman"/>
                <w:sz w:val="20"/>
                <w:szCs w:val="20"/>
              </w:rPr>
              <w:t>.</w:t>
            </w:r>
          </w:p>
        </w:tc>
      </w:tr>
      <w:tr w:rsidR="00A57456" w:rsidRPr="003564DE" w14:paraId="4BDCCA8C" w14:textId="77777777" w:rsidTr="001A645C">
        <w:trPr>
          <w:trHeight w:val="1920"/>
          <w:jc w:val="center"/>
        </w:trPr>
        <w:tc>
          <w:tcPr>
            <w:tcW w:w="1413" w:type="dxa"/>
          </w:tcPr>
          <w:p w14:paraId="6FB43515" w14:textId="77777777" w:rsidR="00A57456" w:rsidRPr="003564DE" w:rsidRDefault="00A57456" w:rsidP="005276C1">
            <w:pPr>
              <w:tabs>
                <w:tab w:val="left" w:pos="1608"/>
                <w:tab w:val="right" w:pos="2331"/>
              </w:tabs>
              <w:spacing w:after="0" w:line="240" w:lineRule="auto"/>
              <w:rPr>
                <w:rFonts w:ascii="Times New Roman" w:eastAsia="Calibri" w:hAnsi="Times New Roman" w:cs="Times New Roman"/>
                <w:color w:val="000000"/>
                <w:sz w:val="20"/>
                <w:szCs w:val="20"/>
                <w:lang w:val="en-US"/>
              </w:rPr>
            </w:pPr>
            <w:r w:rsidRPr="003564DE">
              <w:rPr>
                <w:rFonts w:ascii="Times New Roman" w:eastAsia="Calibri" w:hAnsi="Times New Roman" w:cs="Times New Roman"/>
                <w:color w:val="000000"/>
                <w:sz w:val="20"/>
                <w:szCs w:val="20"/>
                <w:lang w:val="en-US"/>
              </w:rPr>
              <w:t>ME</w:t>
            </w:r>
          </w:p>
          <w:p w14:paraId="6F656661" w14:textId="77777777" w:rsidR="00A57456" w:rsidRPr="003564DE" w:rsidRDefault="00A57456" w:rsidP="005276C1">
            <w:pPr>
              <w:spacing w:after="0" w:line="240" w:lineRule="auto"/>
              <w:rPr>
                <w:rFonts w:ascii="Times New Roman" w:eastAsia="Calibri" w:hAnsi="Times New Roman" w:cs="Times New Roman"/>
                <w:color w:val="000000"/>
                <w:sz w:val="20"/>
                <w:szCs w:val="20"/>
                <w:lang w:val="en-US"/>
              </w:rPr>
            </w:pPr>
          </w:p>
        </w:tc>
        <w:tc>
          <w:tcPr>
            <w:tcW w:w="7968" w:type="dxa"/>
          </w:tcPr>
          <w:p w14:paraId="4A9832AC" w14:textId="5C751E49" w:rsidR="00A57456" w:rsidRPr="003564DE" w:rsidRDefault="00A57456" w:rsidP="005276C1">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lang w:val="en-US"/>
              </w:rPr>
              <w:t xml:space="preserve">Market value of equity as of June 30 from CRSP, computed as the closing stock price (CRSP item </w:t>
            </w:r>
            <w:proofErr w:type="spellStart"/>
            <w:r w:rsidRPr="003564DE">
              <w:rPr>
                <w:rFonts w:ascii="Times New Roman" w:eastAsia="Calibri" w:hAnsi="Times New Roman" w:cs="Times New Roman"/>
                <w:i/>
                <w:sz w:val="20"/>
                <w:szCs w:val="20"/>
                <w:lang w:val="en-US"/>
              </w:rPr>
              <w:t>prc</w:t>
            </w:r>
            <w:proofErr w:type="spellEnd"/>
            <w:r w:rsidRPr="003564DE">
              <w:rPr>
                <w:rFonts w:ascii="Times New Roman" w:eastAsia="Calibri" w:hAnsi="Times New Roman" w:cs="Times New Roman"/>
                <w:sz w:val="20"/>
                <w:szCs w:val="20"/>
                <w:lang w:val="en-US"/>
              </w:rPr>
              <w:t xml:space="preserve">) multiplied by the number of shares outstanding (CRSP item </w:t>
            </w:r>
            <w:proofErr w:type="spellStart"/>
            <w:r w:rsidRPr="003564DE">
              <w:rPr>
                <w:rFonts w:ascii="Times New Roman" w:eastAsia="Calibri" w:hAnsi="Times New Roman" w:cs="Times New Roman"/>
                <w:i/>
                <w:sz w:val="20"/>
                <w:szCs w:val="20"/>
                <w:lang w:val="en-US"/>
              </w:rPr>
              <w:t>shrout</w:t>
            </w:r>
            <w:proofErr w:type="spellEnd"/>
            <w:r w:rsidRPr="003564DE">
              <w:rPr>
                <w:rFonts w:ascii="Times New Roman" w:eastAsia="Calibri" w:hAnsi="Times New Roman" w:cs="Times New Roman"/>
                <w:sz w:val="20"/>
                <w:szCs w:val="20"/>
                <w:lang w:val="en-US"/>
              </w:rPr>
              <w:t>).</w:t>
            </w:r>
            <w:r w:rsidR="005B4882">
              <w:rPr>
                <w:rFonts w:ascii="Times New Roman" w:eastAsia="Calibri" w:hAnsi="Times New Roman" w:cs="Times New Roman"/>
                <w:sz w:val="20"/>
                <w:szCs w:val="20"/>
              </w:rPr>
              <w:t xml:space="preserve"> </w:t>
            </w:r>
            <w:r w:rsidR="005B4882" w:rsidRPr="00A023FA">
              <w:rPr>
                <w:rFonts w:ascii="Times New Roman" w:eastAsia="Calibri" w:hAnsi="Times New Roman" w:cs="Times New Roman"/>
                <w:i/>
                <w:iCs/>
                <w:sz w:val="20"/>
                <w:szCs w:val="20"/>
              </w:rPr>
              <w:t>NB</w:t>
            </w:r>
            <w:r w:rsidR="005B4882">
              <w:rPr>
                <w:rFonts w:ascii="Times New Roman" w:eastAsia="Calibri" w:hAnsi="Times New Roman" w:cs="Times New Roman"/>
                <w:sz w:val="20"/>
                <w:szCs w:val="20"/>
              </w:rPr>
              <w:t xml:space="preserve">: </w:t>
            </w:r>
            <w:r w:rsidRPr="003564DE">
              <w:rPr>
                <w:rFonts w:ascii="Times New Roman" w:eastAsia="Calibri" w:hAnsi="Times New Roman" w:cs="Times New Roman"/>
                <w:sz w:val="20"/>
                <w:szCs w:val="20"/>
              </w:rPr>
              <w:t>When estimating the valuation model in eq. (</w:t>
            </w:r>
            <w:r>
              <w:rPr>
                <w:rFonts w:ascii="Times New Roman" w:eastAsia="Calibri" w:hAnsi="Times New Roman" w:cs="Times New Roman"/>
                <w:sz w:val="20"/>
                <w:szCs w:val="20"/>
              </w:rPr>
              <w:t>5</w:t>
            </w:r>
            <w:r w:rsidRPr="003564DE">
              <w:rPr>
                <w:rFonts w:ascii="Times New Roman" w:eastAsia="Calibri" w:hAnsi="Times New Roman" w:cs="Times New Roman"/>
                <w:sz w:val="20"/>
                <w:szCs w:val="20"/>
              </w:rPr>
              <w:t>)</w:t>
            </w:r>
            <w:r>
              <w:rPr>
                <w:rFonts w:ascii="Times New Roman" w:eastAsia="Calibri" w:hAnsi="Times New Roman" w:cs="Times New Roman"/>
                <w:sz w:val="20"/>
                <w:szCs w:val="20"/>
              </w:rPr>
              <w:t xml:space="preserve">, we modify </w:t>
            </w:r>
            <w:r w:rsidR="005B4882">
              <w:rPr>
                <w:rFonts w:ascii="Times New Roman" w:eastAsia="Calibri" w:hAnsi="Times New Roman" w:cs="Times New Roman"/>
                <w:sz w:val="20"/>
                <w:szCs w:val="20"/>
              </w:rPr>
              <w:t>this</w:t>
            </w:r>
            <w:r>
              <w:rPr>
                <w:rFonts w:ascii="Times New Roman" w:eastAsia="Calibri" w:hAnsi="Times New Roman" w:cs="Times New Roman"/>
                <w:sz w:val="20"/>
                <w:szCs w:val="20"/>
              </w:rPr>
              <w:t xml:space="preserve"> definition</w:t>
            </w:r>
            <w:r w:rsidRPr="003564DE">
              <w:rPr>
                <w:rFonts w:ascii="Times New Roman" w:eastAsia="Calibri" w:hAnsi="Times New Roman" w:cs="Times New Roman"/>
                <w:sz w:val="20"/>
                <w:szCs w:val="20"/>
              </w:rPr>
              <w:t xml:space="preserve"> in two ways</w:t>
            </w:r>
            <w:r w:rsidR="005B4882">
              <w:rPr>
                <w:rFonts w:ascii="Times New Roman" w:eastAsia="Calibri" w:hAnsi="Times New Roman" w:cs="Times New Roman"/>
                <w:sz w:val="20"/>
                <w:szCs w:val="20"/>
              </w:rPr>
              <w:t xml:space="preserve">. First, </w:t>
            </w:r>
            <w:r w:rsidRPr="003564DE">
              <w:rPr>
                <w:rFonts w:ascii="Times New Roman" w:eastAsia="Calibri" w:hAnsi="Times New Roman" w:cs="Times New Roman"/>
                <w:sz w:val="20"/>
                <w:szCs w:val="20"/>
              </w:rPr>
              <w:t xml:space="preserve">we use the fully-diluted number of shares outstanding, defined as the number of shares outstanding as of June 30 from CRSP (item </w:t>
            </w:r>
            <w:proofErr w:type="spellStart"/>
            <w:r w:rsidRPr="003564DE">
              <w:rPr>
                <w:rFonts w:ascii="Times New Roman" w:eastAsia="Calibri" w:hAnsi="Times New Roman" w:cs="Times New Roman"/>
                <w:i/>
                <w:sz w:val="20"/>
                <w:szCs w:val="20"/>
              </w:rPr>
              <w:t>shrout</w:t>
            </w:r>
            <w:proofErr w:type="spellEnd"/>
            <w:r w:rsidRPr="003564DE">
              <w:rPr>
                <w:rFonts w:ascii="Times New Roman" w:eastAsia="Calibri" w:hAnsi="Times New Roman" w:cs="Times New Roman"/>
                <w:sz w:val="20"/>
                <w:szCs w:val="20"/>
              </w:rPr>
              <w:t xml:space="preserve">) divided by the ratio of primary shares (item </w:t>
            </w:r>
            <w:proofErr w:type="spellStart"/>
            <w:r w:rsidRPr="003564DE">
              <w:rPr>
                <w:rFonts w:ascii="Times New Roman" w:eastAsia="Calibri" w:hAnsi="Times New Roman" w:cs="Times New Roman"/>
                <w:i/>
                <w:sz w:val="20"/>
                <w:szCs w:val="20"/>
              </w:rPr>
              <w:t>cshpri</w:t>
            </w:r>
            <w:proofErr w:type="spellEnd"/>
            <w:r w:rsidRPr="003564DE">
              <w:rPr>
                <w:rFonts w:ascii="Times New Roman" w:eastAsia="Calibri" w:hAnsi="Times New Roman" w:cs="Times New Roman"/>
                <w:sz w:val="20"/>
                <w:szCs w:val="20"/>
              </w:rPr>
              <w:t xml:space="preserve">) to fully-diluted shares (item </w:t>
            </w:r>
            <w:proofErr w:type="spellStart"/>
            <w:r w:rsidRPr="003564DE">
              <w:rPr>
                <w:rFonts w:ascii="Times New Roman" w:eastAsia="Calibri" w:hAnsi="Times New Roman" w:cs="Times New Roman"/>
                <w:i/>
                <w:sz w:val="20"/>
                <w:szCs w:val="20"/>
              </w:rPr>
              <w:t>cshfd</w:t>
            </w:r>
            <w:proofErr w:type="spellEnd"/>
            <w:r w:rsidRPr="003564DE">
              <w:rPr>
                <w:rFonts w:ascii="Times New Roman" w:eastAsia="Calibri" w:hAnsi="Times New Roman" w:cs="Times New Roman"/>
                <w:sz w:val="20"/>
                <w:szCs w:val="20"/>
              </w:rPr>
              <w:t xml:space="preserve">) as of fiscal-year end from </w:t>
            </w:r>
            <w:proofErr w:type="spellStart"/>
            <w:r w:rsidRPr="003564DE">
              <w:rPr>
                <w:rFonts w:ascii="Times New Roman" w:eastAsia="Calibri" w:hAnsi="Times New Roman" w:cs="Times New Roman"/>
                <w:sz w:val="20"/>
                <w:szCs w:val="20"/>
              </w:rPr>
              <w:t>Compustat</w:t>
            </w:r>
            <w:proofErr w:type="spellEnd"/>
            <w:r w:rsidRPr="003564DE">
              <w:rPr>
                <w:rFonts w:ascii="Times New Roman" w:eastAsia="Calibri" w:hAnsi="Times New Roman" w:cs="Times New Roman"/>
                <w:sz w:val="20"/>
                <w:szCs w:val="20"/>
              </w:rPr>
              <w:t>. The ratio is capped at 0.5 from below and at 1.0 from above.</w:t>
            </w:r>
            <w:r w:rsidR="005B4882">
              <w:rPr>
                <w:rFonts w:ascii="Times New Roman" w:eastAsia="Calibri" w:hAnsi="Times New Roman" w:cs="Times New Roman"/>
                <w:sz w:val="20"/>
                <w:szCs w:val="20"/>
              </w:rPr>
              <w:t xml:space="preserve"> Second,</w:t>
            </w:r>
            <w:r w:rsidRPr="003564DE">
              <w:rPr>
                <w:rFonts w:ascii="Times New Roman" w:eastAsia="Calibri" w:hAnsi="Times New Roman" w:cs="Times New Roman"/>
                <w:sz w:val="20"/>
                <w:szCs w:val="20"/>
              </w:rPr>
              <w:t xml:space="preserve"> we add back the dollar value of dividends paid in the period between the fiscal year-end and June 30 (computed using CRSP items </w:t>
            </w:r>
            <w:r w:rsidRPr="003564DE">
              <w:rPr>
                <w:rFonts w:ascii="Times New Roman" w:eastAsia="Calibri" w:hAnsi="Times New Roman" w:cs="Times New Roman"/>
                <w:i/>
                <w:sz w:val="20"/>
                <w:szCs w:val="20"/>
              </w:rPr>
              <w:t>ret</w:t>
            </w:r>
            <w:r w:rsidRPr="003564DE">
              <w:rPr>
                <w:rFonts w:ascii="Times New Roman" w:eastAsia="Calibri" w:hAnsi="Times New Roman" w:cs="Times New Roman"/>
                <w:sz w:val="20"/>
                <w:szCs w:val="20"/>
              </w:rPr>
              <w:t xml:space="preserve"> and </w:t>
            </w:r>
            <w:proofErr w:type="spellStart"/>
            <w:r w:rsidRPr="003564DE">
              <w:rPr>
                <w:rFonts w:ascii="Times New Roman" w:eastAsia="Calibri" w:hAnsi="Times New Roman" w:cs="Times New Roman"/>
                <w:sz w:val="20"/>
                <w:szCs w:val="20"/>
              </w:rPr>
              <w:t>r</w:t>
            </w:r>
            <w:r w:rsidRPr="003564DE">
              <w:rPr>
                <w:rFonts w:ascii="Times New Roman" w:eastAsia="Calibri" w:hAnsi="Times New Roman" w:cs="Times New Roman"/>
                <w:i/>
                <w:sz w:val="20"/>
                <w:szCs w:val="20"/>
              </w:rPr>
              <w:t>etx</w:t>
            </w:r>
            <w:proofErr w:type="spellEnd"/>
            <w:r w:rsidRPr="003564DE">
              <w:rPr>
                <w:rFonts w:ascii="Times New Roman" w:eastAsia="Calibri" w:hAnsi="Times New Roman" w:cs="Times New Roman"/>
                <w:sz w:val="20"/>
                <w:szCs w:val="20"/>
              </w:rPr>
              <w:t>).</w:t>
            </w:r>
          </w:p>
        </w:tc>
      </w:tr>
      <w:tr w:rsidR="00A57456" w:rsidRPr="003564DE" w14:paraId="34BF6791" w14:textId="77777777" w:rsidTr="001A645C">
        <w:trPr>
          <w:trHeight w:val="564"/>
          <w:jc w:val="center"/>
        </w:trPr>
        <w:tc>
          <w:tcPr>
            <w:tcW w:w="1413" w:type="dxa"/>
          </w:tcPr>
          <w:p w14:paraId="7053436F" w14:textId="77777777" w:rsidR="00A57456" w:rsidRPr="00C808CF" w:rsidRDefault="00A57456" w:rsidP="005276C1">
            <w:pPr>
              <w:tabs>
                <w:tab w:val="right" w:pos="2331"/>
              </w:tabs>
              <w:spacing w:after="0" w:line="240" w:lineRule="auto"/>
              <w:rPr>
                <w:rFonts w:ascii="Times New Roman" w:eastAsia="Calibri" w:hAnsi="Times New Roman" w:cs="Times New Roman"/>
                <w:sz w:val="20"/>
                <w:szCs w:val="20"/>
                <w:lang w:val="en-US"/>
              </w:rPr>
            </w:pPr>
            <w:r w:rsidRPr="003564DE">
              <w:rPr>
                <w:rFonts w:ascii="Times New Roman" w:eastAsia="Calibri" w:hAnsi="Times New Roman" w:cs="Times New Roman"/>
                <w:sz w:val="20"/>
                <w:szCs w:val="20"/>
                <w:lang w:val="en-US"/>
              </w:rPr>
              <w:t>BE</w:t>
            </w:r>
            <w:r w:rsidRPr="003564DE">
              <w:rPr>
                <w:rFonts w:ascii="Times New Roman" w:eastAsia="Calibri" w:hAnsi="Times New Roman" w:cs="Times New Roman"/>
                <w:sz w:val="20"/>
                <w:szCs w:val="20"/>
                <w:lang w:val="en-US"/>
              </w:rPr>
              <w:tab/>
            </w:r>
          </w:p>
        </w:tc>
        <w:tc>
          <w:tcPr>
            <w:tcW w:w="7968" w:type="dxa"/>
          </w:tcPr>
          <w:p w14:paraId="7FDBF7D3" w14:textId="5303A27C" w:rsidR="00A57456" w:rsidRPr="00A57456" w:rsidRDefault="00A57456" w:rsidP="005276C1">
            <w:pPr>
              <w:spacing w:after="0" w:line="240" w:lineRule="auto"/>
              <w:jc w:val="both"/>
              <w:rPr>
                <w:rFonts w:ascii="Times New Roman" w:eastAsia="Calibri" w:hAnsi="Times New Roman" w:cs="Times New Roman"/>
                <w:color w:val="000000"/>
                <w:sz w:val="20"/>
                <w:szCs w:val="20"/>
                <w:lang w:val="en-US"/>
              </w:rPr>
            </w:pPr>
            <w:r w:rsidRPr="003564DE">
              <w:rPr>
                <w:rFonts w:ascii="Times New Roman" w:eastAsia="Calibri" w:hAnsi="Times New Roman" w:cs="Times New Roman"/>
                <w:sz w:val="20"/>
                <w:szCs w:val="20"/>
                <w:lang w:val="en-US"/>
              </w:rPr>
              <w:t>Book value of common equity (</w:t>
            </w:r>
            <w:proofErr w:type="spellStart"/>
            <w:r w:rsidRPr="003564DE">
              <w:rPr>
                <w:rFonts w:ascii="Times New Roman" w:eastAsia="Calibri" w:hAnsi="Times New Roman" w:cs="Times New Roman"/>
                <w:sz w:val="20"/>
                <w:szCs w:val="20"/>
                <w:lang w:val="en-US"/>
              </w:rPr>
              <w:t>Compustat</w:t>
            </w:r>
            <w:proofErr w:type="spellEnd"/>
            <w:r w:rsidRPr="003564DE">
              <w:rPr>
                <w:rFonts w:ascii="Times New Roman" w:eastAsia="Calibri" w:hAnsi="Times New Roman" w:cs="Times New Roman"/>
                <w:sz w:val="20"/>
                <w:szCs w:val="20"/>
                <w:lang w:val="en-US"/>
              </w:rPr>
              <w:t xml:space="preserve"> item </w:t>
            </w:r>
            <w:proofErr w:type="spellStart"/>
            <w:r w:rsidRPr="003564DE">
              <w:rPr>
                <w:rFonts w:ascii="Times New Roman" w:eastAsia="Calibri" w:hAnsi="Times New Roman" w:cs="Times New Roman"/>
                <w:i/>
                <w:sz w:val="20"/>
                <w:szCs w:val="20"/>
                <w:lang w:val="en-US"/>
              </w:rPr>
              <w:t>ceq</w:t>
            </w:r>
            <w:proofErr w:type="spellEnd"/>
            <w:r w:rsidRPr="003564DE">
              <w:rPr>
                <w:rFonts w:ascii="Times New Roman" w:eastAsia="Calibri" w:hAnsi="Times New Roman" w:cs="Times New Roman"/>
                <w:sz w:val="20"/>
                <w:szCs w:val="20"/>
                <w:lang w:val="en-US"/>
              </w:rPr>
              <w:t>) plus balance sheet deferred taxes (</w:t>
            </w:r>
            <w:proofErr w:type="spellStart"/>
            <w:r w:rsidRPr="003564DE">
              <w:rPr>
                <w:rFonts w:ascii="Times New Roman" w:eastAsia="Calibri" w:hAnsi="Times New Roman" w:cs="Times New Roman"/>
                <w:sz w:val="20"/>
                <w:szCs w:val="20"/>
                <w:lang w:val="en-US"/>
              </w:rPr>
              <w:t>Compustat</w:t>
            </w:r>
            <w:proofErr w:type="spellEnd"/>
            <w:r w:rsidRPr="003564DE">
              <w:rPr>
                <w:rFonts w:ascii="Times New Roman" w:eastAsia="Calibri" w:hAnsi="Times New Roman" w:cs="Times New Roman"/>
                <w:sz w:val="20"/>
                <w:szCs w:val="20"/>
                <w:lang w:val="en-US"/>
              </w:rPr>
              <w:t xml:space="preserve"> item </w:t>
            </w:r>
            <w:proofErr w:type="spellStart"/>
            <w:r w:rsidRPr="003564DE">
              <w:rPr>
                <w:rFonts w:ascii="Times New Roman" w:eastAsia="Calibri" w:hAnsi="Times New Roman" w:cs="Times New Roman"/>
                <w:i/>
                <w:sz w:val="20"/>
                <w:szCs w:val="20"/>
                <w:lang w:val="en-US"/>
              </w:rPr>
              <w:t>txdb</w:t>
            </w:r>
            <w:proofErr w:type="spellEnd"/>
            <w:r w:rsidRPr="003564DE">
              <w:rPr>
                <w:rFonts w:ascii="Times New Roman" w:eastAsia="Calibri" w:hAnsi="Times New Roman" w:cs="Times New Roman"/>
                <w:sz w:val="20"/>
                <w:szCs w:val="20"/>
                <w:lang w:val="en-US"/>
              </w:rPr>
              <w:t>) as of fiscal year-end. Observations with negative BE are excluded.</w:t>
            </w:r>
          </w:p>
        </w:tc>
      </w:tr>
      <w:tr w:rsidR="00A023FA" w:rsidRPr="003564DE" w14:paraId="0E81D338" w14:textId="77777777" w:rsidTr="001A645C">
        <w:trPr>
          <w:trHeight w:val="2752"/>
          <w:jc w:val="center"/>
        </w:trPr>
        <w:tc>
          <w:tcPr>
            <w:tcW w:w="1413" w:type="dxa"/>
          </w:tcPr>
          <w:p w14:paraId="2DF500B7" w14:textId="77777777" w:rsidR="00A57456" w:rsidRPr="003564DE" w:rsidRDefault="00A57456" w:rsidP="005276C1">
            <w:pPr>
              <w:spacing w:after="0" w:line="240" w:lineRule="auto"/>
              <w:rPr>
                <w:rFonts w:ascii="Times New Roman" w:eastAsia="Calibri" w:hAnsi="Times New Roman" w:cs="Times New Roman"/>
                <w:sz w:val="20"/>
                <w:szCs w:val="20"/>
                <w:lang w:val="en-US"/>
              </w:rPr>
            </w:pPr>
            <w:r w:rsidRPr="003564DE">
              <w:rPr>
                <w:rFonts w:ascii="Times New Roman" w:eastAsia="Calibri" w:hAnsi="Times New Roman" w:cs="Times New Roman"/>
                <w:sz w:val="20"/>
                <w:szCs w:val="20"/>
                <w:lang w:val="en-US"/>
              </w:rPr>
              <w:t>RD</w:t>
            </w:r>
          </w:p>
          <w:p w14:paraId="2B293A8F" w14:textId="77777777" w:rsidR="00A57456" w:rsidRDefault="00A57456" w:rsidP="005276C1">
            <w:pPr>
              <w:spacing w:after="0" w:line="240" w:lineRule="auto"/>
              <w:rPr>
                <w:rFonts w:ascii="Times New Roman" w:eastAsia="Calibri" w:hAnsi="Times New Roman" w:cs="Times New Roman"/>
                <w:color w:val="000000"/>
                <w:sz w:val="20"/>
                <w:szCs w:val="20"/>
                <w:lang w:val="en-US"/>
              </w:rPr>
            </w:pPr>
          </w:p>
          <w:p w14:paraId="67B83DC3" w14:textId="77777777" w:rsidR="00A57456" w:rsidRDefault="00A57456" w:rsidP="005276C1">
            <w:pPr>
              <w:spacing w:after="0" w:line="240" w:lineRule="auto"/>
              <w:rPr>
                <w:rFonts w:ascii="Times New Roman" w:eastAsia="Calibri" w:hAnsi="Times New Roman" w:cs="Times New Roman"/>
                <w:color w:val="000000"/>
                <w:sz w:val="20"/>
                <w:szCs w:val="20"/>
                <w:lang w:val="en-US"/>
              </w:rPr>
            </w:pPr>
          </w:p>
          <w:p w14:paraId="22265C6D" w14:textId="77777777" w:rsidR="00A57456" w:rsidRDefault="00A57456" w:rsidP="005276C1">
            <w:pPr>
              <w:spacing w:after="0" w:line="240" w:lineRule="auto"/>
              <w:rPr>
                <w:rFonts w:ascii="Times New Roman" w:eastAsia="Calibri" w:hAnsi="Times New Roman" w:cs="Times New Roman"/>
                <w:color w:val="000000"/>
                <w:sz w:val="20"/>
                <w:szCs w:val="20"/>
                <w:lang w:val="en-US"/>
              </w:rPr>
            </w:pPr>
          </w:p>
          <w:p w14:paraId="34B47B5E" w14:textId="77777777" w:rsidR="00A57456" w:rsidRDefault="00A57456" w:rsidP="005276C1">
            <w:pPr>
              <w:spacing w:after="0" w:line="240" w:lineRule="auto"/>
              <w:rPr>
                <w:rFonts w:ascii="Times New Roman" w:eastAsia="Calibri" w:hAnsi="Times New Roman" w:cs="Times New Roman"/>
                <w:color w:val="000000"/>
                <w:sz w:val="20"/>
                <w:szCs w:val="20"/>
                <w:lang w:val="en-US"/>
              </w:rPr>
            </w:pPr>
          </w:p>
          <w:p w14:paraId="1F088E0F" w14:textId="77777777" w:rsidR="00A023FA" w:rsidRDefault="00A023FA" w:rsidP="005276C1">
            <w:pPr>
              <w:spacing w:after="0" w:line="240" w:lineRule="auto"/>
              <w:rPr>
                <w:rFonts w:ascii="Times New Roman" w:eastAsia="Calibri" w:hAnsi="Times New Roman" w:cs="Times New Roman"/>
                <w:color w:val="000000"/>
                <w:sz w:val="20"/>
                <w:szCs w:val="20"/>
                <w:lang w:val="en-US"/>
              </w:rPr>
            </w:pPr>
          </w:p>
          <w:p w14:paraId="63693334" w14:textId="77777777" w:rsidR="00A57456" w:rsidRPr="003564DE" w:rsidRDefault="00A57456" w:rsidP="005276C1">
            <w:pPr>
              <w:spacing w:after="0" w:line="240" w:lineRule="auto"/>
              <w:rPr>
                <w:rFonts w:ascii="Times New Roman" w:eastAsia="Calibri" w:hAnsi="Times New Roman" w:cs="Times New Roman"/>
                <w:color w:val="000000"/>
                <w:sz w:val="20"/>
                <w:szCs w:val="20"/>
                <w:lang w:val="en-US"/>
              </w:rPr>
            </w:pPr>
            <w:r w:rsidRPr="003564DE">
              <w:rPr>
                <w:rFonts w:ascii="Times New Roman" w:eastAsia="Calibri" w:hAnsi="Times New Roman" w:cs="Times New Roman"/>
                <w:sz w:val="20"/>
                <w:szCs w:val="20"/>
                <w:lang w:val="en-US"/>
              </w:rPr>
              <w:t>EA</w:t>
            </w:r>
            <w:r>
              <w:rPr>
                <w:rFonts w:ascii="Times New Roman" w:eastAsia="Calibri" w:hAnsi="Times New Roman" w:cs="Times New Roman"/>
                <w:sz w:val="20"/>
                <w:szCs w:val="20"/>
                <w:lang w:val="en-US"/>
              </w:rPr>
              <w:t>R</w:t>
            </w:r>
            <w:r w:rsidRPr="003564DE">
              <w:rPr>
                <w:rFonts w:ascii="Times New Roman" w:eastAsia="Calibri" w:hAnsi="Times New Roman" w:cs="Times New Roman"/>
                <w:sz w:val="20"/>
                <w:szCs w:val="20"/>
                <w:lang w:val="en-US"/>
              </w:rPr>
              <w:t>N</w:t>
            </w:r>
          </w:p>
        </w:tc>
        <w:tc>
          <w:tcPr>
            <w:tcW w:w="7968" w:type="dxa"/>
          </w:tcPr>
          <w:p w14:paraId="70442358" w14:textId="71F69D1A" w:rsidR="005B4882" w:rsidRPr="003564DE" w:rsidRDefault="00A57456" w:rsidP="002202E9">
            <w:pPr>
              <w:spacing w:line="240" w:lineRule="auto"/>
              <w:jc w:val="both"/>
              <w:rPr>
                <w:rFonts w:ascii="Times New Roman" w:eastAsia="Calibri" w:hAnsi="Times New Roman" w:cs="Times New Roman"/>
                <w:sz w:val="20"/>
                <w:szCs w:val="20"/>
                <w:lang w:val="en-US"/>
              </w:rPr>
            </w:pPr>
            <w:r w:rsidRPr="003564DE">
              <w:rPr>
                <w:rFonts w:ascii="Times New Roman" w:eastAsia="Calibri" w:hAnsi="Times New Roman" w:cs="Times New Roman"/>
                <w:sz w:val="20"/>
                <w:szCs w:val="20"/>
                <w:lang w:val="en-US"/>
              </w:rPr>
              <w:t xml:space="preserve">Capitalized value of R&amp;D expenditures (based on </w:t>
            </w:r>
            <w:proofErr w:type="spellStart"/>
            <w:r w:rsidRPr="003564DE">
              <w:rPr>
                <w:rFonts w:ascii="Times New Roman" w:eastAsia="Calibri" w:hAnsi="Times New Roman" w:cs="Times New Roman"/>
                <w:sz w:val="20"/>
                <w:szCs w:val="20"/>
                <w:lang w:val="en-US"/>
              </w:rPr>
              <w:t>Compustat</w:t>
            </w:r>
            <w:proofErr w:type="spellEnd"/>
            <w:r w:rsidRPr="003564DE">
              <w:rPr>
                <w:rFonts w:ascii="Times New Roman" w:eastAsia="Calibri" w:hAnsi="Times New Roman" w:cs="Times New Roman"/>
                <w:sz w:val="20"/>
                <w:szCs w:val="20"/>
                <w:lang w:val="en-US"/>
              </w:rPr>
              <w:t xml:space="preserve"> item </w:t>
            </w:r>
            <w:proofErr w:type="spellStart"/>
            <w:r w:rsidRPr="003564DE">
              <w:rPr>
                <w:rFonts w:ascii="Times New Roman" w:eastAsia="Calibri" w:hAnsi="Times New Roman" w:cs="Times New Roman"/>
                <w:i/>
                <w:sz w:val="20"/>
                <w:szCs w:val="20"/>
                <w:lang w:val="en-US"/>
              </w:rPr>
              <w:t>xrd</w:t>
            </w:r>
            <w:proofErr w:type="spellEnd"/>
            <w:r w:rsidRPr="003564DE">
              <w:rPr>
                <w:rFonts w:ascii="Times New Roman" w:eastAsia="Calibri" w:hAnsi="Times New Roman" w:cs="Times New Roman"/>
                <w:color w:val="000000"/>
                <w:sz w:val="20"/>
                <w:szCs w:val="20"/>
              </w:rPr>
              <w:t xml:space="preserve">) </w:t>
            </w:r>
            <w:r>
              <w:rPr>
                <w:rFonts w:ascii="Times New Roman" w:eastAsia="Calibri" w:hAnsi="Times New Roman" w:cs="Times New Roman"/>
                <w:sz w:val="20"/>
                <w:szCs w:val="20"/>
                <w:lang w:val="en-US"/>
              </w:rPr>
              <w:t>as of the fiscal year-end, assuming</w:t>
            </w:r>
            <w:r w:rsidRPr="003564DE">
              <w:rPr>
                <w:rFonts w:ascii="Times New Roman" w:eastAsia="Calibri" w:hAnsi="Times New Roman" w:cs="Times New Roman"/>
                <w:sz w:val="20"/>
                <w:szCs w:val="20"/>
                <w:lang w:val="en-US"/>
              </w:rPr>
              <w:t xml:space="preserve"> a 5-year useful life and straight-line amortization of 20% (Chan, </w:t>
            </w:r>
            <w:proofErr w:type="spellStart"/>
            <w:r w:rsidRPr="003564DE">
              <w:rPr>
                <w:rFonts w:ascii="Times New Roman" w:eastAsia="Calibri" w:hAnsi="Times New Roman" w:cs="Times New Roman"/>
                <w:sz w:val="20"/>
                <w:szCs w:val="20"/>
                <w:lang w:val="en-US"/>
              </w:rPr>
              <w:t>Lakonishok</w:t>
            </w:r>
            <w:proofErr w:type="spellEnd"/>
            <w:r w:rsidRPr="003564DE">
              <w:rPr>
                <w:rFonts w:ascii="Times New Roman" w:eastAsia="Calibri" w:hAnsi="Times New Roman" w:cs="Times New Roman"/>
                <w:sz w:val="20"/>
                <w:szCs w:val="20"/>
                <w:lang w:val="en-US"/>
              </w:rPr>
              <w:t xml:space="preserve">, and </w:t>
            </w:r>
            <w:proofErr w:type="spellStart"/>
            <w:r w:rsidRPr="003564DE">
              <w:rPr>
                <w:rFonts w:ascii="Times New Roman" w:eastAsia="Calibri" w:hAnsi="Times New Roman" w:cs="Times New Roman"/>
                <w:sz w:val="20"/>
                <w:szCs w:val="20"/>
                <w:lang w:val="en-US"/>
              </w:rPr>
              <w:t>Sougiannis</w:t>
            </w:r>
            <w:proofErr w:type="spellEnd"/>
            <w:r w:rsidRPr="003564DE">
              <w:rPr>
                <w:rFonts w:ascii="Times New Roman" w:eastAsia="Calibri" w:hAnsi="Times New Roman" w:cs="Times New Roman"/>
                <w:sz w:val="20"/>
                <w:szCs w:val="20"/>
                <w:lang w:val="en-US"/>
              </w:rPr>
              <w:t xml:space="preserve"> (2001))</w:t>
            </w:r>
            <w:r w:rsidR="00A023FA">
              <w:rPr>
                <w:rFonts w:ascii="Times New Roman" w:eastAsia="Calibri" w:hAnsi="Times New Roman" w:cs="Times New Roman"/>
                <w:sz w:val="20"/>
                <w:szCs w:val="20"/>
                <w:lang w:val="en-US"/>
              </w:rPr>
              <w:t>. Specifically,</w:t>
            </w:r>
            <w:r w:rsidRPr="003564DE">
              <w:rPr>
                <w:rFonts w:ascii="Times New Roman" w:eastAsia="Calibri" w:hAnsi="Times New Roman" w:cs="Times New Roman"/>
                <w:sz w:val="20"/>
                <w:szCs w:val="20"/>
                <w:lang w:val="en-US"/>
              </w:rPr>
              <w:t xml:space="preserve"> RD = </w:t>
            </w:r>
            <w:proofErr w:type="spellStart"/>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w:t>
            </w:r>
            <w:proofErr w:type="spellEnd"/>
            <w:r w:rsidRPr="003564DE">
              <w:rPr>
                <w:rFonts w:ascii="Times New Roman" w:eastAsia="Calibri" w:hAnsi="Times New Roman" w:cs="Times New Roman"/>
                <w:color w:val="000000"/>
                <w:sz w:val="20"/>
                <w:szCs w:val="20"/>
              </w:rPr>
              <w:t xml:space="preserve"> + 0.8×</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t-1</w:t>
            </w:r>
            <w:r w:rsidRPr="003564DE">
              <w:rPr>
                <w:rFonts w:ascii="Times New Roman" w:eastAsia="Calibri" w:hAnsi="Times New Roman" w:cs="Times New Roman"/>
                <w:color w:val="000000"/>
                <w:sz w:val="20"/>
                <w:szCs w:val="20"/>
              </w:rPr>
              <w:t xml:space="preserve"> + 0.6×</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t-2</w:t>
            </w:r>
            <w:r w:rsidRPr="003564DE">
              <w:rPr>
                <w:rFonts w:ascii="Times New Roman" w:eastAsia="Calibri" w:hAnsi="Times New Roman" w:cs="Times New Roman"/>
                <w:color w:val="000000"/>
                <w:sz w:val="20"/>
                <w:szCs w:val="20"/>
              </w:rPr>
              <w:t xml:space="preserve"> + 0.4×</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t-3</w:t>
            </w:r>
            <w:r w:rsidRPr="003564DE">
              <w:rPr>
                <w:rFonts w:ascii="Times New Roman" w:eastAsia="Calibri" w:hAnsi="Times New Roman" w:cs="Times New Roman"/>
                <w:color w:val="000000"/>
                <w:sz w:val="20"/>
                <w:szCs w:val="20"/>
              </w:rPr>
              <w:t xml:space="preserve"> + 0.2×</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t-4</w:t>
            </w:r>
            <w:r w:rsidRPr="003564DE">
              <w:rPr>
                <w:rFonts w:ascii="Times New Roman" w:eastAsia="Calibri" w:hAnsi="Times New Roman" w:cs="Times New Roman"/>
                <w:sz w:val="20"/>
                <w:szCs w:val="20"/>
                <w:lang w:val="en-US"/>
              </w:rPr>
              <w:t xml:space="preserve">. </w:t>
            </w:r>
            <w:r w:rsidRPr="003C6AD9">
              <w:rPr>
                <w:rFonts w:ascii="Times New Roman" w:eastAsia="Calibri" w:hAnsi="Times New Roman" w:cs="Times New Roman"/>
                <w:i/>
                <w:iCs/>
                <w:sz w:val="20"/>
                <w:szCs w:val="20"/>
                <w:lang w:val="en-US"/>
              </w:rPr>
              <w:t>N</w:t>
            </w:r>
            <w:r w:rsidR="005B4882" w:rsidRPr="003C6AD9">
              <w:rPr>
                <w:rFonts w:ascii="Times New Roman" w:eastAsia="Calibri" w:hAnsi="Times New Roman" w:cs="Times New Roman"/>
                <w:i/>
                <w:iCs/>
                <w:sz w:val="20"/>
                <w:szCs w:val="20"/>
                <w:lang w:val="en-US"/>
              </w:rPr>
              <w:t>B</w:t>
            </w:r>
            <w:r>
              <w:rPr>
                <w:rFonts w:ascii="Times New Roman" w:eastAsia="Calibri" w:hAnsi="Times New Roman" w:cs="Times New Roman"/>
                <w:sz w:val="20"/>
                <w:szCs w:val="20"/>
                <w:lang w:val="en-US"/>
              </w:rPr>
              <w:t xml:space="preserve">: Missing values of </w:t>
            </w:r>
            <w:proofErr w:type="spellStart"/>
            <w:r w:rsidRPr="00444EC0">
              <w:rPr>
                <w:rFonts w:ascii="Times New Roman" w:eastAsia="Calibri" w:hAnsi="Times New Roman" w:cs="Times New Roman"/>
                <w:i/>
                <w:sz w:val="20"/>
                <w:szCs w:val="20"/>
                <w:lang w:val="en-US"/>
              </w:rPr>
              <w:t>xrd</w:t>
            </w:r>
            <w:proofErr w:type="spellEnd"/>
            <w:r>
              <w:rPr>
                <w:rFonts w:ascii="Times New Roman" w:eastAsia="Calibri" w:hAnsi="Times New Roman" w:cs="Times New Roman"/>
                <w:sz w:val="20"/>
                <w:szCs w:val="20"/>
                <w:lang w:val="en-US"/>
              </w:rPr>
              <w:t xml:space="preserve"> are set to zero. For newly listed firms without sufficient reporting history, RD is imputed as current </w:t>
            </w:r>
            <w:proofErr w:type="spellStart"/>
            <w:r w:rsidRPr="00444EC0">
              <w:rPr>
                <w:rFonts w:ascii="Times New Roman" w:eastAsia="Calibri" w:hAnsi="Times New Roman" w:cs="Times New Roman"/>
                <w:i/>
                <w:sz w:val="20"/>
                <w:szCs w:val="20"/>
                <w:lang w:val="en-US"/>
              </w:rPr>
              <w:t>xrd</w:t>
            </w:r>
            <w:proofErr w:type="spellEnd"/>
            <w:r w:rsidR="00B31D84">
              <w:rPr>
                <w:rFonts w:ascii="Times New Roman" w:eastAsia="Calibri" w:hAnsi="Times New Roman" w:cs="Times New Roman"/>
                <w:sz w:val="20"/>
                <w:szCs w:val="20"/>
                <w:lang w:val="en-US"/>
              </w:rPr>
              <w:t xml:space="preserve"> times</w:t>
            </w:r>
            <w:r>
              <w:rPr>
                <w:rFonts w:ascii="Times New Roman" w:eastAsia="Calibri" w:hAnsi="Times New Roman" w:cs="Times New Roman"/>
                <w:sz w:val="20"/>
                <w:szCs w:val="20"/>
                <w:lang w:val="en-US"/>
              </w:rPr>
              <w:t xml:space="preserve"> the </w:t>
            </w:r>
            <w:r w:rsidR="00B31D84">
              <w:rPr>
                <w:rFonts w:ascii="Times New Roman" w:eastAsia="Calibri" w:hAnsi="Times New Roman" w:cs="Times New Roman"/>
                <w:sz w:val="20"/>
                <w:szCs w:val="20"/>
                <w:lang w:val="en-US"/>
              </w:rPr>
              <w:t>mean</w:t>
            </w:r>
            <w:r>
              <w:rPr>
                <w:rFonts w:ascii="Times New Roman" w:eastAsia="Calibri" w:hAnsi="Times New Roman" w:cs="Times New Roman"/>
                <w:sz w:val="20"/>
                <w:szCs w:val="20"/>
                <w:lang w:val="en-US"/>
              </w:rPr>
              <w:t xml:space="preserve"> ratio of RD to current </w:t>
            </w:r>
            <w:proofErr w:type="spellStart"/>
            <w:r w:rsidRPr="00444EC0">
              <w:rPr>
                <w:rFonts w:ascii="Times New Roman" w:eastAsia="Calibri" w:hAnsi="Times New Roman" w:cs="Times New Roman"/>
                <w:i/>
                <w:sz w:val="20"/>
                <w:szCs w:val="20"/>
                <w:lang w:val="en-US"/>
              </w:rPr>
              <w:t>xrd</w:t>
            </w:r>
            <w:proofErr w:type="spellEnd"/>
            <w:r>
              <w:rPr>
                <w:rFonts w:ascii="Times New Roman" w:eastAsia="Calibri" w:hAnsi="Times New Roman" w:cs="Times New Roman"/>
                <w:sz w:val="20"/>
                <w:szCs w:val="20"/>
                <w:lang w:val="en-US"/>
              </w:rPr>
              <w:t xml:space="preserve"> in the same industry-year.</w:t>
            </w:r>
          </w:p>
          <w:p w14:paraId="2CD8A6C0" w14:textId="70F9C3FB" w:rsidR="00A57456" w:rsidRPr="00C808CF" w:rsidRDefault="00A57456" w:rsidP="001A645C">
            <w:pPr>
              <w:spacing w:line="240" w:lineRule="auto"/>
              <w:jc w:val="both"/>
              <w:rPr>
                <w:rFonts w:ascii="Times New Roman" w:eastAsia="Calibri" w:hAnsi="Times New Roman" w:cs="Times New Roman"/>
                <w:sz w:val="20"/>
                <w:szCs w:val="20"/>
                <w:lang w:val="en-US"/>
              </w:rPr>
            </w:pPr>
            <w:r w:rsidRPr="003564DE">
              <w:rPr>
                <w:rFonts w:ascii="Times New Roman" w:eastAsia="Calibri" w:hAnsi="Times New Roman" w:cs="Times New Roman"/>
                <w:sz w:val="20"/>
                <w:szCs w:val="20"/>
                <w:lang w:val="en-US"/>
              </w:rPr>
              <w:t>Adjusted ear</w:t>
            </w:r>
            <w:r>
              <w:rPr>
                <w:rFonts w:ascii="Times New Roman" w:eastAsia="Calibri" w:hAnsi="Times New Roman" w:cs="Times New Roman"/>
                <w:sz w:val="20"/>
                <w:szCs w:val="20"/>
                <w:lang w:val="en-US"/>
              </w:rPr>
              <w:t>nings as of the fiscal-year end,</w:t>
            </w:r>
            <w:r w:rsidRPr="003564DE">
              <w:rPr>
                <w:rFonts w:ascii="Times New Roman" w:eastAsia="Calibri" w:hAnsi="Times New Roman" w:cs="Times New Roman"/>
                <w:sz w:val="20"/>
                <w:szCs w:val="20"/>
                <w:lang w:val="en-US"/>
              </w:rPr>
              <w:t xml:space="preserve"> defined as income before extraordinary items attributable to common shareholders (</w:t>
            </w:r>
            <w:proofErr w:type="spellStart"/>
            <w:r w:rsidRPr="003564DE">
              <w:rPr>
                <w:rFonts w:ascii="Times New Roman" w:eastAsia="Calibri" w:hAnsi="Times New Roman" w:cs="Times New Roman"/>
                <w:sz w:val="20"/>
                <w:szCs w:val="20"/>
                <w:lang w:val="en-US"/>
              </w:rPr>
              <w:t>Compustat</w:t>
            </w:r>
            <w:proofErr w:type="spellEnd"/>
            <w:r w:rsidRPr="003564DE">
              <w:rPr>
                <w:rFonts w:ascii="Times New Roman" w:eastAsia="Calibri" w:hAnsi="Times New Roman" w:cs="Times New Roman"/>
                <w:sz w:val="20"/>
                <w:szCs w:val="20"/>
                <w:lang w:val="en-US"/>
              </w:rPr>
              <w:t xml:space="preserve"> item </w:t>
            </w:r>
            <w:proofErr w:type="spellStart"/>
            <w:r w:rsidRPr="003564DE">
              <w:rPr>
                <w:rFonts w:ascii="Times New Roman" w:eastAsia="Calibri" w:hAnsi="Times New Roman" w:cs="Times New Roman"/>
                <w:i/>
                <w:sz w:val="20"/>
                <w:szCs w:val="20"/>
                <w:lang w:val="en-US"/>
              </w:rPr>
              <w:t>ibcom</w:t>
            </w:r>
            <w:proofErr w:type="spellEnd"/>
            <w:r w:rsidRPr="003564DE">
              <w:rPr>
                <w:rFonts w:ascii="Times New Roman" w:eastAsia="Calibri" w:hAnsi="Times New Roman" w:cs="Times New Roman"/>
                <w:sz w:val="20"/>
                <w:szCs w:val="20"/>
                <w:lang w:val="en-US"/>
              </w:rPr>
              <w:t>) minus special items (</w:t>
            </w:r>
            <w:proofErr w:type="spellStart"/>
            <w:r w:rsidRPr="003564DE">
              <w:rPr>
                <w:rFonts w:ascii="Times New Roman" w:eastAsia="Calibri" w:hAnsi="Times New Roman" w:cs="Times New Roman"/>
                <w:sz w:val="20"/>
                <w:szCs w:val="20"/>
                <w:lang w:val="en-US"/>
              </w:rPr>
              <w:t>Compustat</w:t>
            </w:r>
            <w:proofErr w:type="spellEnd"/>
            <w:r w:rsidRPr="003564DE">
              <w:rPr>
                <w:rFonts w:ascii="Times New Roman" w:eastAsia="Calibri" w:hAnsi="Times New Roman" w:cs="Times New Roman"/>
                <w:sz w:val="20"/>
                <w:szCs w:val="20"/>
                <w:lang w:val="en-US"/>
              </w:rPr>
              <w:t xml:space="preserve"> item </w:t>
            </w:r>
            <w:proofErr w:type="spellStart"/>
            <w:r w:rsidRPr="003564DE">
              <w:rPr>
                <w:rFonts w:ascii="Times New Roman" w:eastAsia="Calibri" w:hAnsi="Times New Roman" w:cs="Times New Roman"/>
                <w:i/>
                <w:sz w:val="20"/>
                <w:szCs w:val="20"/>
                <w:lang w:val="en-US"/>
              </w:rPr>
              <w:t>spi</w:t>
            </w:r>
            <w:proofErr w:type="spellEnd"/>
            <w:r w:rsidRPr="003564DE">
              <w:rPr>
                <w:rFonts w:ascii="Times New Roman" w:eastAsia="Calibri" w:hAnsi="Times New Roman" w:cs="Times New Roman"/>
                <w:sz w:val="20"/>
                <w:szCs w:val="20"/>
                <w:lang w:val="en-US"/>
              </w:rPr>
              <w:t>) plus R&amp;D expenditure (</w:t>
            </w:r>
            <w:proofErr w:type="spellStart"/>
            <w:r w:rsidRPr="003564DE">
              <w:rPr>
                <w:rFonts w:ascii="Times New Roman" w:eastAsia="Calibri" w:hAnsi="Times New Roman" w:cs="Times New Roman"/>
                <w:sz w:val="20"/>
                <w:szCs w:val="20"/>
                <w:lang w:val="en-US"/>
              </w:rPr>
              <w:t>Compustat</w:t>
            </w:r>
            <w:proofErr w:type="spellEnd"/>
            <w:r w:rsidRPr="003564DE">
              <w:rPr>
                <w:rFonts w:ascii="Times New Roman" w:eastAsia="Calibri" w:hAnsi="Times New Roman" w:cs="Times New Roman"/>
                <w:sz w:val="20"/>
                <w:szCs w:val="20"/>
                <w:lang w:val="en-US"/>
              </w:rPr>
              <w:t xml:space="preserve"> item </w:t>
            </w:r>
            <w:proofErr w:type="spellStart"/>
            <w:r w:rsidRPr="003564DE">
              <w:rPr>
                <w:rFonts w:ascii="Times New Roman" w:eastAsia="Calibri" w:hAnsi="Times New Roman" w:cs="Times New Roman"/>
                <w:i/>
                <w:sz w:val="20"/>
                <w:szCs w:val="20"/>
                <w:lang w:val="en-US"/>
              </w:rPr>
              <w:t>xrd</w:t>
            </w:r>
            <w:proofErr w:type="spellEnd"/>
            <w:r w:rsidRPr="003564DE">
              <w:rPr>
                <w:rFonts w:ascii="Times New Roman" w:eastAsia="Calibri" w:hAnsi="Times New Roman" w:cs="Times New Roman"/>
                <w:sz w:val="20"/>
                <w:szCs w:val="20"/>
                <w:lang w:val="en-US"/>
              </w:rPr>
              <w:t xml:space="preserve">) minus R&amp;D amortization. R&amp;D amortization </w:t>
            </w:r>
            <w:r w:rsidR="00A023FA">
              <w:rPr>
                <w:rFonts w:ascii="Times New Roman" w:eastAsia="Calibri" w:hAnsi="Times New Roman" w:cs="Times New Roman"/>
                <w:sz w:val="20"/>
                <w:szCs w:val="20"/>
                <w:lang w:val="en-US"/>
              </w:rPr>
              <w:t>=</w:t>
            </w:r>
            <w:r w:rsidRPr="003564DE">
              <w:rPr>
                <w:rFonts w:ascii="Times New Roman" w:eastAsia="Calibri" w:hAnsi="Times New Roman" w:cs="Times New Roman"/>
                <w:sz w:val="20"/>
                <w:szCs w:val="20"/>
                <w:lang w:val="en-US"/>
              </w:rPr>
              <w:t xml:space="preserve"> 0.2</w:t>
            </w:r>
            <w:r w:rsidRPr="003564DE">
              <w:rPr>
                <w:rFonts w:ascii="Times New Roman" w:eastAsia="Calibri" w:hAnsi="Times New Roman" w:cs="Times New Roman"/>
                <w:color w:val="000000"/>
                <w:sz w:val="20"/>
                <w:szCs w:val="20"/>
              </w:rPr>
              <w:t>×(</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w:t>
            </w:r>
            <w:r w:rsidRPr="003564DE">
              <w:rPr>
                <w:rFonts w:ascii="Times New Roman" w:eastAsia="Calibri" w:hAnsi="Times New Roman" w:cs="Times New Roman"/>
                <w:color w:val="000000"/>
                <w:sz w:val="20"/>
                <w:szCs w:val="20"/>
                <w:vertAlign w:val="subscript"/>
              </w:rPr>
              <w:t>1</w:t>
            </w:r>
            <w:r w:rsidRPr="003564DE">
              <w:rPr>
                <w:rFonts w:ascii="Times New Roman" w:eastAsia="Calibri" w:hAnsi="Times New Roman" w:cs="Times New Roman"/>
                <w:color w:val="000000"/>
                <w:sz w:val="20"/>
                <w:szCs w:val="20"/>
              </w:rPr>
              <w:t xml:space="preserve"> + </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t-2</w:t>
            </w:r>
            <w:r w:rsidRPr="003564DE">
              <w:rPr>
                <w:rFonts w:ascii="Times New Roman" w:eastAsia="Calibri" w:hAnsi="Times New Roman" w:cs="Times New Roman"/>
                <w:color w:val="000000"/>
                <w:sz w:val="20"/>
                <w:szCs w:val="20"/>
              </w:rPr>
              <w:t xml:space="preserve"> + </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t-3</w:t>
            </w:r>
            <w:r w:rsidRPr="003564DE">
              <w:rPr>
                <w:rFonts w:ascii="Times New Roman" w:eastAsia="Calibri" w:hAnsi="Times New Roman" w:cs="Times New Roman"/>
                <w:color w:val="000000"/>
                <w:sz w:val="20"/>
                <w:szCs w:val="20"/>
              </w:rPr>
              <w:t xml:space="preserve"> + </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t-4</w:t>
            </w:r>
            <w:r w:rsidRPr="003564DE">
              <w:rPr>
                <w:rFonts w:ascii="Times New Roman" w:eastAsia="Calibri" w:hAnsi="Times New Roman" w:cs="Times New Roman"/>
                <w:color w:val="000000"/>
                <w:sz w:val="20"/>
                <w:szCs w:val="20"/>
              </w:rPr>
              <w:t xml:space="preserve">+ </w:t>
            </w:r>
            <w:r w:rsidRPr="003564DE">
              <w:rPr>
                <w:rFonts w:ascii="Times New Roman" w:eastAsia="Calibri" w:hAnsi="Times New Roman" w:cs="Times New Roman"/>
                <w:i/>
                <w:color w:val="000000"/>
                <w:sz w:val="20"/>
                <w:szCs w:val="20"/>
              </w:rPr>
              <w:t>xrd</w:t>
            </w:r>
            <w:r w:rsidRPr="003564DE">
              <w:rPr>
                <w:rFonts w:ascii="Times New Roman" w:eastAsia="Calibri" w:hAnsi="Times New Roman" w:cs="Times New Roman"/>
                <w:i/>
                <w:color w:val="000000"/>
                <w:sz w:val="20"/>
                <w:szCs w:val="20"/>
                <w:vertAlign w:val="subscript"/>
              </w:rPr>
              <w:t>t-5</w:t>
            </w:r>
            <w:r w:rsidRPr="003564DE">
              <w:rPr>
                <w:rFonts w:ascii="Times New Roman" w:eastAsia="Calibri" w:hAnsi="Times New Roman" w:cs="Times New Roman"/>
                <w:sz w:val="20"/>
                <w:szCs w:val="20"/>
                <w:lang w:val="en-US"/>
              </w:rPr>
              <w:t xml:space="preserve">). </w:t>
            </w:r>
            <w:r w:rsidRPr="0094109C">
              <w:rPr>
                <w:rFonts w:ascii="Times New Roman" w:eastAsia="Calibri" w:hAnsi="Times New Roman" w:cs="Times New Roman"/>
                <w:i/>
                <w:iCs/>
                <w:sz w:val="20"/>
                <w:szCs w:val="20"/>
                <w:lang w:val="en-US"/>
              </w:rPr>
              <w:t>N</w:t>
            </w:r>
            <w:r w:rsidR="005B4882" w:rsidRPr="0094109C">
              <w:rPr>
                <w:rFonts w:ascii="Times New Roman" w:eastAsia="Calibri" w:hAnsi="Times New Roman" w:cs="Times New Roman"/>
                <w:i/>
                <w:iCs/>
                <w:sz w:val="20"/>
                <w:szCs w:val="20"/>
                <w:lang w:val="en-US"/>
              </w:rPr>
              <w:t>B</w:t>
            </w:r>
            <w:r>
              <w:rPr>
                <w:rFonts w:ascii="Times New Roman" w:eastAsia="Calibri" w:hAnsi="Times New Roman" w:cs="Times New Roman"/>
                <w:sz w:val="20"/>
                <w:szCs w:val="20"/>
                <w:lang w:val="en-US"/>
              </w:rPr>
              <w:t xml:space="preserve">: Missing values of </w:t>
            </w:r>
            <w:proofErr w:type="spellStart"/>
            <w:r>
              <w:rPr>
                <w:rFonts w:ascii="Times New Roman" w:eastAsia="Calibri" w:hAnsi="Times New Roman" w:cs="Times New Roman"/>
                <w:i/>
                <w:sz w:val="20"/>
                <w:szCs w:val="20"/>
                <w:lang w:val="en-US"/>
              </w:rPr>
              <w:t>xrd</w:t>
            </w:r>
            <w:proofErr w:type="spellEnd"/>
            <w:r>
              <w:rPr>
                <w:rFonts w:ascii="Times New Roman" w:eastAsia="Calibri" w:hAnsi="Times New Roman" w:cs="Times New Roman"/>
                <w:i/>
                <w:sz w:val="20"/>
                <w:szCs w:val="20"/>
                <w:lang w:val="en-US"/>
              </w:rPr>
              <w:t xml:space="preserve"> </w:t>
            </w:r>
            <w:r>
              <w:rPr>
                <w:rFonts w:ascii="Times New Roman" w:eastAsia="Calibri" w:hAnsi="Times New Roman" w:cs="Times New Roman"/>
                <w:sz w:val="20"/>
                <w:szCs w:val="20"/>
                <w:lang w:val="en-US"/>
              </w:rPr>
              <w:t>are set to zero.</w:t>
            </w:r>
            <w:r w:rsidRPr="003564DE">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 xml:space="preserve">For newly listed firms without sufficient reporting history, R&amp;D amortization is imputed as </w:t>
            </w:r>
            <w:r w:rsidR="00A023FA">
              <w:rPr>
                <w:rFonts w:ascii="Times New Roman" w:eastAsia="Calibri" w:hAnsi="Times New Roman" w:cs="Times New Roman"/>
                <w:sz w:val="20"/>
                <w:szCs w:val="20"/>
                <w:lang w:val="en-US"/>
              </w:rPr>
              <w:t xml:space="preserve">RD times </w:t>
            </w:r>
            <w:r>
              <w:rPr>
                <w:rFonts w:ascii="Times New Roman" w:eastAsia="Calibri" w:hAnsi="Times New Roman" w:cs="Times New Roman"/>
                <w:sz w:val="20"/>
                <w:szCs w:val="20"/>
                <w:lang w:val="en-US"/>
              </w:rPr>
              <w:t xml:space="preserve">the </w:t>
            </w:r>
            <w:r w:rsidR="00A023FA">
              <w:rPr>
                <w:rFonts w:ascii="Times New Roman" w:eastAsia="Calibri" w:hAnsi="Times New Roman" w:cs="Times New Roman"/>
                <w:sz w:val="20"/>
                <w:szCs w:val="20"/>
                <w:lang w:val="en-US"/>
              </w:rPr>
              <w:t>mean ratio of</w:t>
            </w:r>
            <w:r>
              <w:rPr>
                <w:rFonts w:ascii="Times New Roman" w:eastAsia="Calibri" w:hAnsi="Times New Roman" w:cs="Times New Roman"/>
                <w:sz w:val="20"/>
                <w:szCs w:val="20"/>
                <w:lang w:val="en-US"/>
              </w:rPr>
              <w:t xml:space="preserve"> current R&amp;D amortization</w:t>
            </w:r>
            <w:r w:rsidR="00A023FA">
              <w:rPr>
                <w:rFonts w:ascii="Times New Roman" w:eastAsia="Calibri" w:hAnsi="Times New Roman" w:cs="Times New Roman"/>
                <w:sz w:val="20"/>
                <w:szCs w:val="20"/>
                <w:lang w:val="en-US"/>
              </w:rPr>
              <w:t xml:space="preserve"> to RD</w:t>
            </w:r>
            <w:r>
              <w:rPr>
                <w:rFonts w:ascii="Times New Roman" w:eastAsia="Calibri" w:hAnsi="Times New Roman" w:cs="Times New Roman"/>
                <w:sz w:val="20"/>
                <w:szCs w:val="20"/>
                <w:lang w:val="en-US"/>
              </w:rPr>
              <w:t xml:space="preserve"> in the same industry-year.</w:t>
            </w:r>
          </w:p>
        </w:tc>
      </w:tr>
      <w:tr w:rsidR="00A57456" w:rsidRPr="003564DE" w14:paraId="7EDB902C" w14:textId="77777777" w:rsidTr="001A645C">
        <w:trPr>
          <w:trHeight w:val="468"/>
          <w:jc w:val="center"/>
        </w:trPr>
        <w:tc>
          <w:tcPr>
            <w:tcW w:w="1413" w:type="dxa"/>
          </w:tcPr>
          <w:p w14:paraId="2590B90D" w14:textId="77777777" w:rsidR="00A57456" w:rsidRPr="003564DE" w:rsidRDefault="00A57456" w:rsidP="005276C1">
            <w:pPr>
              <w:spacing w:after="0" w:line="240" w:lineRule="auto"/>
              <w:rPr>
                <w:rFonts w:ascii="Times New Roman" w:eastAsia="Calibri" w:hAnsi="Times New Roman" w:cs="Times New Roman"/>
                <w:color w:val="000000"/>
                <w:sz w:val="20"/>
                <w:szCs w:val="20"/>
                <w:lang w:val="en-US"/>
              </w:rPr>
            </w:pPr>
            <w:r>
              <w:rPr>
                <w:rFonts w:ascii="Times New Roman" w:eastAsia="Calibri" w:hAnsi="Times New Roman" w:cs="Times New Roman"/>
                <w:color w:val="000000"/>
                <w:sz w:val="20"/>
                <w:szCs w:val="20"/>
                <w:lang w:val="en-US"/>
              </w:rPr>
              <w:t>LEV</w:t>
            </w:r>
          </w:p>
        </w:tc>
        <w:tc>
          <w:tcPr>
            <w:tcW w:w="7968" w:type="dxa"/>
          </w:tcPr>
          <w:p w14:paraId="3C17F9EB" w14:textId="77777777" w:rsidR="00A57456" w:rsidRPr="00C808CF" w:rsidRDefault="00A57456" w:rsidP="004B1862">
            <w:pPr>
              <w:spacing w:line="240" w:lineRule="auto"/>
              <w:jc w:val="both"/>
              <w:rPr>
                <w:rFonts w:ascii="Times New Roman" w:eastAsia="Calibri" w:hAnsi="Times New Roman" w:cs="Times New Roman"/>
                <w:sz w:val="20"/>
                <w:szCs w:val="20"/>
                <w:lang w:val="en-US"/>
              </w:rPr>
            </w:pPr>
            <w:r w:rsidRPr="003564DE">
              <w:rPr>
                <w:rFonts w:ascii="Times New Roman" w:eastAsia="Calibri" w:hAnsi="Times New Roman" w:cs="Times New Roman"/>
                <w:color w:val="000000"/>
                <w:sz w:val="20"/>
                <w:szCs w:val="20"/>
                <w:lang w:val="en-US"/>
              </w:rPr>
              <w:t>Book leverage, defined as long-term debt (</w:t>
            </w:r>
            <w:proofErr w:type="spellStart"/>
            <w:r w:rsidRPr="003564DE">
              <w:rPr>
                <w:rFonts w:ascii="Times New Roman" w:eastAsia="Calibri" w:hAnsi="Times New Roman" w:cs="Times New Roman"/>
                <w:color w:val="000000"/>
                <w:sz w:val="20"/>
                <w:szCs w:val="20"/>
                <w:lang w:val="en-US"/>
              </w:rPr>
              <w:t>Com</w:t>
            </w:r>
            <w:r>
              <w:rPr>
                <w:rFonts w:ascii="Times New Roman" w:eastAsia="Calibri" w:hAnsi="Times New Roman" w:cs="Times New Roman"/>
                <w:color w:val="000000"/>
                <w:sz w:val="20"/>
                <w:szCs w:val="20"/>
                <w:lang w:val="en-US"/>
              </w:rPr>
              <w:t>p</w:t>
            </w:r>
            <w:r w:rsidRPr="003564DE">
              <w:rPr>
                <w:rFonts w:ascii="Times New Roman" w:eastAsia="Calibri" w:hAnsi="Times New Roman" w:cs="Times New Roman"/>
                <w:color w:val="000000"/>
                <w:sz w:val="20"/>
                <w:szCs w:val="20"/>
                <w:lang w:val="en-US"/>
              </w:rPr>
              <w:t>ustat</w:t>
            </w:r>
            <w:proofErr w:type="spellEnd"/>
            <w:r w:rsidRPr="003564DE">
              <w:rPr>
                <w:rFonts w:ascii="Times New Roman" w:eastAsia="Calibri" w:hAnsi="Times New Roman" w:cs="Times New Roman"/>
                <w:color w:val="000000"/>
                <w:sz w:val="20"/>
                <w:szCs w:val="20"/>
                <w:lang w:val="en-US"/>
              </w:rPr>
              <w:t xml:space="preserve"> item </w:t>
            </w:r>
            <w:proofErr w:type="spellStart"/>
            <w:r w:rsidRPr="003564DE">
              <w:rPr>
                <w:rFonts w:ascii="Times New Roman" w:eastAsia="Calibri" w:hAnsi="Times New Roman" w:cs="Times New Roman"/>
                <w:i/>
                <w:color w:val="000000"/>
                <w:sz w:val="20"/>
                <w:szCs w:val="20"/>
                <w:lang w:val="en-US"/>
              </w:rPr>
              <w:t>dltt</w:t>
            </w:r>
            <w:proofErr w:type="spellEnd"/>
            <w:r w:rsidRPr="003564DE">
              <w:rPr>
                <w:rFonts w:ascii="Times New Roman" w:eastAsia="Calibri" w:hAnsi="Times New Roman" w:cs="Times New Roman"/>
                <w:color w:val="000000"/>
                <w:sz w:val="20"/>
                <w:szCs w:val="20"/>
                <w:lang w:val="en-US"/>
              </w:rPr>
              <w:t>) plus debt in short-term liabilities (</w:t>
            </w:r>
            <w:proofErr w:type="spellStart"/>
            <w:r w:rsidRPr="003564DE">
              <w:rPr>
                <w:rFonts w:ascii="Times New Roman" w:eastAsia="Calibri" w:hAnsi="Times New Roman" w:cs="Times New Roman"/>
                <w:color w:val="000000"/>
                <w:sz w:val="20"/>
                <w:szCs w:val="20"/>
                <w:lang w:val="en-US"/>
              </w:rPr>
              <w:t>Compustat</w:t>
            </w:r>
            <w:proofErr w:type="spellEnd"/>
            <w:r w:rsidRPr="003564DE">
              <w:rPr>
                <w:rFonts w:ascii="Times New Roman" w:eastAsia="Calibri" w:hAnsi="Times New Roman" w:cs="Times New Roman"/>
                <w:color w:val="000000"/>
                <w:sz w:val="20"/>
                <w:szCs w:val="20"/>
                <w:lang w:val="en-US"/>
              </w:rPr>
              <w:t xml:space="preserve"> item </w:t>
            </w:r>
            <w:proofErr w:type="spellStart"/>
            <w:r w:rsidRPr="003564DE">
              <w:rPr>
                <w:rFonts w:ascii="Times New Roman" w:eastAsia="Calibri" w:hAnsi="Times New Roman" w:cs="Times New Roman"/>
                <w:i/>
                <w:color w:val="000000"/>
                <w:sz w:val="20"/>
                <w:szCs w:val="20"/>
                <w:lang w:val="en-US"/>
              </w:rPr>
              <w:t>dlc</w:t>
            </w:r>
            <w:proofErr w:type="spellEnd"/>
            <w:r w:rsidRPr="003564DE">
              <w:rPr>
                <w:rFonts w:ascii="Times New Roman" w:eastAsia="Calibri" w:hAnsi="Times New Roman" w:cs="Times New Roman"/>
                <w:color w:val="000000"/>
                <w:sz w:val="20"/>
                <w:szCs w:val="20"/>
                <w:lang w:val="en-US"/>
              </w:rPr>
              <w:t>) divided by total assets (</w:t>
            </w:r>
            <w:proofErr w:type="spellStart"/>
            <w:r w:rsidRPr="003564DE">
              <w:rPr>
                <w:rFonts w:ascii="Times New Roman" w:eastAsia="Calibri" w:hAnsi="Times New Roman" w:cs="Times New Roman"/>
                <w:color w:val="000000"/>
                <w:sz w:val="20"/>
                <w:szCs w:val="20"/>
                <w:lang w:val="en-US"/>
              </w:rPr>
              <w:t>Com</w:t>
            </w:r>
            <w:r>
              <w:rPr>
                <w:rFonts w:ascii="Times New Roman" w:eastAsia="Calibri" w:hAnsi="Times New Roman" w:cs="Times New Roman"/>
                <w:color w:val="000000"/>
                <w:sz w:val="20"/>
                <w:szCs w:val="20"/>
                <w:lang w:val="en-US"/>
              </w:rPr>
              <w:t>p</w:t>
            </w:r>
            <w:r w:rsidRPr="003564DE">
              <w:rPr>
                <w:rFonts w:ascii="Times New Roman" w:eastAsia="Calibri" w:hAnsi="Times New Roman" w:cs="Times New Roman"/>
                <w:color w:val="000000"/>
                <w:sz w:val="20"/>
                <w:szCs w:val="20"/>
                <w:lang w:val="en-US"/>
              </w:rPr>
              <w:t>ustat</w:t>
            </w:r>
            <w:proofErr w:type="spellEnd"/>
            <w:r w:rsidRPr="003564DE">
              <w:rPr>
                <w:rFonts w:ascii="Times New Roman" w:eastAsia="Calibri" w:hAnsi="Times New Roman" w:cs="Times New Roman"/>
                <w:color w:val="000000"/>
                <w:sz w:val="20"/>
                <w:szCs w:val="20"/>
                <w:lang w:val="en-US"/>
              </w:rPr>
              <w:t xml:space="preserve"> item </w:t>
            </w:r>
            <w:r w:rsidRPr="003564DE">
              <w:rPr>
                <w:rFonts w:ascii="Times New Roman" w:eastAsia="Calibri" w:hAnsi="Times New Roman" w:cs="Times New Roman"/>
                <w:i/>
                <w:color w:val="000000"/>
                <w:sz w:val="20"/>
                <w:szCs w:val="20"/>
                <w:lang w:val="en-US"/>
              </w:rPr>
              <w:t>at</w:t>
            </w:r>
            <w:r w:rsidRPr="003564DE">
              <w:rPr>
                <w:rFonts w:ascii="Times New Roman" w:eastAsia="Calibri" w:hAnsi="Times New Roman" w:cs="Times New Roman"/>
                <w:color w:val="000000"/>
                <w:sz w:val="20"/>
                <w:szCs w:val="20"/>
                <w:lang w:val="en-US"/>
              </w:rPr>
              <w:t>), all as of the fiscal year-end.</w:t>
            </w:r>
          </w:p>
        </w:tc>
      </w:tr>
      <w:tr w:rsidR="00A57456" w:rsidRPr="003564DE" w14:paraId="0F8093EC" w14:textId="77777777" w:rsidTr="001A645C">
        <w:trPr>
          <w:trHeight w:val="361"/>
          <w:jc w:val="center"/>
        </w:trPr>
        <w:tc>
          <w:tcPr>
            <w:tcW w:w="1413" w:type="dxa"/>
          </w:tcPr>
          <w:p w14:paraId="2E7B957F" w14:textId="717F8F6E" w:rsidR="00A57456" w:rsidRPr="003564DE" w:rsidRDefault="00A57456" w:rsidP="005276C1">
            <w:pPr>
              <w:spacing w:after="0" w:line="240" w:lineRule="auto"/>
              <w:rPr>
                <w:rFonts w:ascii="Times New Roman" w:eastAsia="Calibri" w:hAnsi="Times New Roman" w:cs="Times New Roman"/>
                <w:color w:val="000000"/>
                <w:sz w:val="20"/>
                <w:szCs w:val="20"/>
                <w:lang w:val="en-US"/>
              </w:rPr>
            </w:pPr>
            <w:r w:rsidRPr="00836A99">
              <w:rPr>
                <w:rFonts w:ascii="Times New Roman" w:eastAsia="Calibri" w:hAnsi="Times New Roman" w:cs="Times New Roman"/>
                <w:i/>
                <w:iCs/>
                <w:sz w:val="20"/>
                <w:szCs w:val="20"/>
              </w:rPr>
              <w:t>m</w:t>
            </w:r>
            <w:r w:rsidRPr="00836A99">
              <w:rPr>
                <w:rFonts w:ascii="Times New Roman" w:eastAsia="Calibri" w:hAnsi="Times New Roman" w:cs="Times New Roman"/>
                <w:i/>
                <w:iCs/>
                <w:color w:val="000000"/>
                <w:sz w:val="20"/>
                <w:szCs w:val="20"/>
                <w:lang w:val="en-US"/>
              </w:rPr>
              <w:t xml:space="preserve"> </w:t>
            </w:r>
          </w:p>
        </w:tc>
        <w:tc>
          <w:tcPr>
            <w:tcW w:w="7968" w:type="dxa"/>
          </w:tcPr>
          <w:p w14:paraId="03528337" w14:textId="098C2F6F" w:rsidR="00A57456" w:rsidRPr="003564DE" w:rsidRDefault="00A57456" w:rsidP="005276C1">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rPr>
              <w:t>Natural logarithm of (modified) ME as defined above.</w:t>
            </w:r>
          </w:p>
        </w:tc>
      </w:tr>
      <w:tr w:rsidR="00A57456" w:rsidRPr="003564DE" w14:paraId="49B86055" w14:textId="77777777" w:rsidTr="001A645C">
        <w:trPr>
          <w:trHeight w:val="333"/>
          <w:jc w:val="center"/>
        </w:trPr>
        <w:tc>
          <w:tcPr>
            <w:tcW w:w="1413" w:type="dxa"/>
          </w:tcPr>
          <w:p w14:paraId="66DE7202" w14:textId="53D65669" w:rsidR="00A57456" w:rsidRPr="00B31D84" w:rsidRDefault="00A57456" w:rsidP="005276C1">
            <w:pPr>
              <w:spacing w:after="0" w:line="240" w:lineRule="auto"/>
              <w:rPr>
                <w:rFonts w:ascii="Times New Roman" w:eastAsia="Calibri" w:hAnsi="Times New Roman" w:cs="Times New Roman"/>
                <w:i/>
                <w:iCs/>
                <w:sz w:val="20"/>
                <w:szCs w:val="20"/>
              </w:rPr>
            </w:pPr>
            <w:r w:rsidRPr="00836A99">
              <w:rPr>
                <w:rFonts w:ascii="Times New Roman" w:eastAsia="Calibri" w:hAnsi="Times New Roman" w:cs="Times New Roman"/>
                <w:i/>
                <w:iCs/>
                <w:sz w:val="20"/>
                <w:szCs w:val="20"/>
              </w:rPr>
              <w:t>b</w:t>
            </w:r>
          </w:p>
        </w:tc>
        <w:tc>
          <w:tcPr>
            <w:tcW w:w="7968" w:type="dxa"/>
          </w:tcPr>
          <w:p w14:paraId="74DC7D1B" w14:textId="655EB4DA" w:rsidR="00A57456" w:rsidRPr="003564DE" w:rsidRDefault="00A57456" w:rsidP="005276C1">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rPr>
              <w:t>Natural logarithm of BE as defined above.</w:t>
            </w:r>
          </w:p>
        </w:tc>
      </w:tr>
      <w:tr w:rsidR="00A57456" w:rsidRPr="003564DE" w14:paraId="567931F9" w14:textId="77777777" w:rsidTr="001A645C">
        <w:trPr>
          <w:trHeight w:val="352"/>
          <w:jc w:val="center"/>
        </w:trPr>
        <w:tc>
          <w:tcPr>
            <w:tcW w:w="1413" w:type="dxa"/>
          </w:tcPr>
          <w:p w14:paraId="5E615947" w14:textId="4F1BFB66" w:rsidR="00A57456" w:rsidRPr="004B1862" w:rsidRDefault="00A57456" w:rsidP="005276C1">
            <w:pPr>
              <w:spacing w:after="0" w:line="240" w:lineRule="auto"/>
              <w:rPr>
                <w:rFonts w:ascii="Times New Roman" w:eastAsia="Calibri" w:hAnsi="Times New Roman" w:cs="Times New Roman"/>
                <w:i/>
                <w:iCs/>
                <w:sz w:val="20"/>
                <w:szCs w:val="20"/>
              </w:rPr>
            </w:pPr>
            <w:r w:rsidRPr="00836A99">
              <w:rPr>
                <w:rFonts w:ascii="Times New Roman" w:eastAsia="Calibri" w:hAnsi="Times New Roman" w:cs="Times New Roman"/>
                <w:i/>
                <w:iCs/>
                <w:sz w:val="20"/>
                <w:szCs w:val="20"/>
              </w:rPr>
              <w:t>|earn|</w:t>
            </w:r>
          </w:p>
        </w:tc>
        <w:tc>
          <w:tcPr>
            <w:tcW w:w="7968" w:type="dxa"/>
          </w:tcPr>
          <w:p w14:paraId="4EC42982" w14:textId="6E2F8519" w:rsidR="00A57456" w:rsidRPr="003564DE" w:rsidRDefault="00A57456" w:rsidP="005276C1">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rPr>
              <w:t>Natural logarithm of the absolute value of EARN as defined above.</w:t>
            </w:r>
          </w:p>
        </w:tc>
      </w:tr>
      <w:tr w:rsidR="00A57456" w:rsidRPr="003564DE" w14:paraId="166EC8BB" w14:textId="77777777" w:rsidTr="001A645C">
        <w:trPr>
          <w:trHeight w:val="319"/>
          <w:jc w:val="center"/>
        </w:trPr>
        <w:tc>
          <w:tcPr>
            <w:tcW w:w="1413" w:type="dxa"/>
          </w:tcPr>
          <w:p w14:paraId="5CDC0507" w14:textId="45F06948" w:rsidR="00A57456" w:rsidRPr="004B1862" w:rsidRDefault="00A57456" w:rsidP="005276C1">
            <w:pPr>
              <w:spacing w:after="0" w:line="240" w:lineRule="auto"/>
              <w:rPr>
                <w:rFonts w:ascii="Times New Roman" w:eastAsia="Calibri" w:hAnsi="Times New Roman" w:cs="Times New Roman"/>
                <w:i/>
                <w:iCs/>
                <w:color w:val="000000"/>
                <w:sz w:val="20"/>
                <w:szCs w:val="20"/>
                <w:lang w:val="en-US"/>
              </w:rPr>
            </w:pPr>
            <w:proofErr w:type="spellStart"/>
            <w:r w:rsidRPr="00836A99">
              <w:rPr>
                <w:rFonts w:ascii="Times New Roman" w:eastAsia="Calibri" w:hAnsi="Times New Roman" w:cs="Times New Roman"/>
                <w:i/>
                <w:iCs/>
                <w:sz w:val="20"/>
                <w:szCs w:val="20"/>
              </w:rPr>
              <w:t>rd</w:t>
            </w:r>
            <w:proofErr w:type="spellEnd"/>
          </w:p>
        </w:tc>
        <w:tc>
          <w:tcPr>
            <w:tcW w:w="7968" w:type="dxa"/>
          </w:tcPr>
          <w:p w14:paraId="7FB9D008" w14:textId="77777777" w:rsidR="00A57456" w:rsidRPr="003564DE" w:rsidRDefault="00A57456" w:rsidP="001A645C">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lang w:val="en-US"/>
              </w:rPr>
              <w:t>Natural logarithm of</w:t>
            </w:r>
            <w:r>
              <w:rPr>
                <w:rFonts w:ascii="Times New Roman" w:eastAsia="Calibri" w:hAnsi="Times New Roman" w:cs="Times New Roman"/>
                <w:sz w:val="20"/>
                <w:szCs w:val="20"/>
                <w:lang w:val="en-US"/>
              </w:rPr>
              <w:t xml:space="preserve"> 1+</w:t>
            </w:r>
            <w:r w:rsidRPr="003564DE">
              <w:rPr>
                <w:rFonts w:ascii="Times New Roman" w:eastAsia="Calibri" w:hAnsi="Times New Roman" w:cs="Times New Roman"/>
                <w:sz w:val="20"/>
                <w:szCs w:val="20"/>
                <w:lang w:val="en-US"/>
              </w:rPr>
              <w:t xml:space="preserve"> RD as defined above</w:t>
            </w:r>
            <w:r w:rsidRPr="003564DE">
              <w:rPr>
                <w:rFonts w:ascii="Times New Roman" w:eastAsia="Calibri" w:hAnsi="Times New Roman" w:cs="Times New Roman"/>
                <w:sz w:val="20"/>
                <w:szCs w:val="20"/>
              </w:rPr>
              <w:t>.</w:t>
            </w:r>
          </w:p>
        </w:tc>
      </w:tr>
      <w:tr w:rsidR="00F52598" w:rsidRPr="003564DE" w14:paraId="706B8575" w14:textId="77777777" w:rsidTr="00AF05AE">
        <w:trPr>
          <w:trHeight w:val="469"/>
          <w:jc w:val="center"/>
        </w:trPr>
        <w:tc>
          <w:tcPr>
            <w:tcW w:w="1413" w:type="dxa"/>
          </w:tcPr>
          <w:p w14:paraId="0A7995A4" w14:textId="77777777" w:rsidR="00A57456" w:rsidRDefault="00A57456" w:rsidP="005276C1">
            <w:pPr>
              <w:spacing w:after="0" w:line="240" w:lineRule="auto"/>
              <w:rPr>
                <w:rFonts w:ascii="Times New Roman" w:eastAsia="Calibri" w:hAnsi="Times New Roman" w:cs="Times New Roman"/>
                <w:b/>
                <w:bCs/>
                <w:i/>
                <w:color w:val="000000"/>
                <w:sz w:val="20"/>
                <w:szCs w:val="20"/>
                <w:lang w:val="en-US"/>
              </w:rPr>
            </w:pPr>
            <w:r w:rsidRPr="00186620">
              <w:rPr>
                <w:rFonts w:ascii="Times New Roman" w:eastAsia="Times New Roman" w:hAnsi="Times New Roman" w:cs="Times New Roman"/>
                <w:color w:val="000000"/>
                <w:sz w:val="20"/>
                <w:szCs w:val="20"/>
                <w:lang w:eastAsia="en-GB"/>
              </w:rPr>
              <w:t>IQR</w:t>
            </w:r>
            <w:r>
              <w:rPr>
                <w:rFonts w:ascii="Times New Roman" w:eastAsia="Times New Roman" w:hAnsi="Times New Roman" w:cs="Times New Roman"/>
                <w:color w:val="000000"/>
                <w:sz w:val="20"/>
                <w:szCs w:val="20"/>
                <w:lang w:eastAsia="en-GB"/>
              </w:rPr>
              <w:t>(</w:t>
            </w:r>
            <w:r w:rsidRPr="00B31F09">
              <w:rPr>
                <w:rFonts w:ascii="Times New Roman" w:eastAsia="Times New Roman" w:hAnsi="Times New Roman" w:cs="Times New Roman"/>
                <w:color w:val="000000"/>
                <w:sz w:val="20"/>
                <w:szCs w:val="20"/>
                <w:lang w:eastAsia="en-GB"/>
              </w:rPr>
              <w:t>P/B</w:t>
            </w:r>
            <w:r>
              <w:rPr>
                <w:rFonts w:ascii="Times New Roman" w:eastAsia="Times New Roman" w:hAnsi="Times New Roman" w:cs="Times New Roman"/>
                <w:color w:val="000000"/>
                <w:sz w:val="20"/>
                <w:szCs w:val="20"/>
                <w:lang w:eastAsia="en-GB"/>
              </w:rPr>
              <w:t>)</w:t>
            </w:r>
          </w:p>
          <w:p w14:paraId="756E6EA5" w14:textId="77777777" w:rsidR="00A57456" w:rsidRPr="00836A99" w:rsidRDefault="00A57456" w:rsidP="005276C1">
            <w:pPr>
              <w:spacing w:after="0" w:line="240" w:lineRule="auto"/>
              <w:rPr>
                <w:rFonts w:ascii="Times New Roman" w:eastAsia="Calibri" w:hAnsi="Times New Roman" w:cs="Times New Roman"/>
                <w:i/>
                <w:iCs/>
                <w:sz w:val="20"/>
                <w:szCs w:val="20"/>
              </w:rPr>
            </w:pPr>
          </w:p>
        </w:tc>
        <w:tc>
          <w:tcPr>
            <w:tcW w:w="7968" w:type="dxa"/>
          </w:tcPr>
          <w:p w14:paraId="5CFCFC65" w14:textId="3C3C9717" w:rsidR="00A57456" w:rsidRPr="003564DE" w:rsidRDefault="00A57456" w:rsidP="00794A32">
            <w:pPr>
              <w:spacing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Interquartile range of the price-to-book multiple in a given Fama-French 12 industry-year. Price is ME as defined above. Book is BE as defined above.</w:t>
            </w:r>
          </w:p>
        </w:tc>
      </w:tr>
      <w:tr w:rsidR="00A57456" w:rsidRPr="003564DE" w14:paraId="1F91697E" w14:textId="77777777" w:rsidTr="001A645C">
        <w:trPr>
          <w:trHeight w:val="1425"/>
          <w:jc w:val="center"/>
        </w:trPr>
        <w:tc>
          <w:tcPr>
            <w:tcW w:w="1413" w:type="dxa"/>
          </w:tcPr>
          <w:p w14:paraId="275F4F21" w14:textId="77777777" w:rsidR="00A57456" w:rsidRDefault="00A57456" w:rsidP="005276C1">
            <w:pPr>
              <w:spacing w:after="0" w:line="240" w:lineRule="auto"/>
              <w:rPr>
                <w:rFonts w:ascii="Times New Roman" w:eastAsia="Times New Roman" w:hAnsi="Times New Roman" w:cs="Times New Roman"/>
                <w:color w:val="000000"/>
                <w:sz w:val="20"/>
                <w:szCs w:val="20"/>
                <w:lang w:eastAsia="en-GB"/>
              </w:rPr>
            </w:pPr>
            <w:r w:rsidRPr="00186620">
              <w:rPr>
                <w:rFonts w:ascii="Times New Roman" w:eastAsia="Times New Roman" w:hAnsi="Times New Roman" w:cs="Times New Roman"/>
                <w:color w:val="000000"/>
                <w:sz w:val="20"/>
                <w:szCs w:val="20"/>
                <w:lang w:eastAsia="en-GB"/>
              </w:rPr>
              <w:t>IQR</w:t>
            </w:r>
            <w:r>
              <w:rPr>
                <w:rFonts w:ascii="Times New Roman" w:eastAsia="Times New Roman" w:hAnsi="Times New Roman" w:cs="Times New Roman"/>
                <w:color w:val="000000"/>
                <w:sz w:val="20"/>
                <w:szCs w:val="20"/>
                <w:lang w:eastAsia="en-GB"/>
              </w:rPr>
              <w:t>(</w:t>
            </w:r>
            <w:r w:rsidRPr="00B31F09">
              <w:rPr>
                <w:rFonts w:ascii="Times New Roman" w:eastAsia="Times New Roman" w:hAnsi="Times New Roman" w:cs="Times New Roman"/>
                <w:color w:val="000000"/>
                <w:sz w:val="20"/>
                <w:szCs w:val="20"/>
                <w:lang w:eastAsia="en-GB"/>
              </w:rPr>
              <w:t>EV/</w:t>
            </w:r>
          </w:p>
          <w:p w14:paraId="67EBC061" w14:textId="4AF4AB60" w:rsidR="00A57456" w:rsidRDefault="00A57456" w:rsidP="005276C1">
            <w:pPr>
              <w:spacing w:after="0" w:line="240" w:lineRule="auto"/>
              <w:rPr>
                <w:rFonts w:ascii="Times New Roman" w:eastAsia="Calibri" w:hAnsi="Times New Roman" w:cs="Times New Roman"/>
                <w:b/>
                <w:bCs/>
                <w:i/>
                <w:color w:val="000000"/>
                <w:sz w:val="20"/>
                <w:szCs w:val="20"/>
                <w:lang w:val="en-US"/>
              </w:rPr>
            </w:pPr>
            <w:r w:rsidRPr="00B31F09">
              <w:rPr>
                <w:rFonts w:ascii="Times New Roman" w:eastAsia="Times New Roman" w:hAnsi="Times New Roman" w:cs="Times New Roman"/>
                <w:color w:val="000000"/>
                <w:sz w:val="20"/>
                <w:szCs w:val="20"/>
                <w:lang w:eastAsia="en-GB"/>
              </w:rPr>
              <w:t>EBITDA</w:t>
            </w:r>
            <w:r>
              <w:rPr>
                <w:rFonts w:ascii="Times New Roman" w:eastAsia="Times New Roman" w:hAnsi="Times New Roman" w:cs="Times New Roman"/>
                <w:color w:val="000000"/>
                <w:sz w:val="20"/>
                <w:szCs w:val="20"/>
                <w:lang w:eastAsia="en-GB"/>
              </w:rPr>
              <w:t>)</w:t>
            </w:r>
          </w:p>
          <w:p w14:paraId="5A403236" w14:textId="77777777" w:rsidR="00A57456" w:rsidRPr="00836A99" w:rsidRDefault="00A57456" w:rsidP="005276C1">
            <w:pPr>
              <w:spacing w:after="0" w:line="240" w:lineRule="auto"/>
              <w:rPr>
                <w:rFonts w:ascii="Times New Roman" w:eastAsia="Calibri" w:hAnsi="Times New Roman" w:cs="Times New Roman"/>
                <w:i/>
                <w:iCs/>
                <w:sz w:val="20"/>
                <w:szCs w:val="20"/>
              </w:rPr>
            </w:pPr>
          </w:p>
        </w:tc>
        <w:tc>
          <w:tcPr>
            <w:tcW w:w="7968" w:type="dxa"/>
          </w:tcPr>
          <w:p w14:paraId="6BD32DD0" w14:textId="33C6FD41" w:rsidR="00A023FA" w:rsidRPr="003564DE" w:rsidRDefault="00A57456" w:rsidP="00794A32">
            <w:pPr>
              <w:spacing w:after="0"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Interquartile range of the enterprise value to EBITDA multiple in a given Fama-French 12 industry-year. Enterprise value is ME defined above plus short-term debt (</w:t>
            </w:r>
            <w:proofErr w:type="spellStart"/>
            <w:r>
              <w:rPr>
                <w:rFonts w:ascii="Times New Roman" w:eastAsia="Calibri" w:hAnsi="Times New Roman" w:cs="Times New Roman"/>
                <w:sz w:val="20"/>
                <w:szCs w:val="20"/>
                <w:lang w:val="en-US"/>
              </w:rPr>
              <w:t>Compustat</w:t>
            </w:r>
            <w:proofErr w:type="spellEnd"/>
            <w:r>
              <w:rPr>
                <w:rFonts w:ascii="Times New Roman" w:eastAsia="Calibri" w:hAnsi="Times New Roman" w:cs="Times New Roman"/>
                <w:sz w:val="20"/>
                <w:szCs w:val="20"/>
                <w:lang w:val="en-US"/>
              </w:rPr>
              <w:t xml:space="preserve"> item </w:t>
            </w:r>
            <w:proofErr w:type="spellStart"/>
            <w:r w:rsidRPr="00EF17B1">
              <w:rPr>
                <w:rFonts w:ascii="Times New Roman" w:eastAsia="Calibri" w:hAnsi="Times New Roman" w:cs="Times New Roman"/>
                <w:i/>
                <w:iCs/>
                <w:sz w:val="20"/>
                <w:szCs w:val="20"/>
                <w:lang w:val="en-US"/>
              </w:rPr>
              <w:t>dlc</w:t>
            </w:r>
            <w:proofErr w:type="spellEnd"/>
            <w:r>
              <w:rPr>
                <w:rFonts w:ascii="Times New Roman" w:eastAsia="Calibri" w:hAnsi="Times New Roman" w:cs="Times New Roman"/>
                <w:sz w:val="20"/>
                <w:szCs w:val="20"/>
                <w:lang w:val="en-US"/>
              </w:rPr>
              <w:t>) plus long-term debt (</w:t>
            </w:r>
            <w:proofErr w:type="spellStart"/>
            <w:r>
              <w:rPr>
                <w:rFonts w:ascii="Times New Roman" w:eastAsia="Calibri" w:hAnsi="Times New Roman" w:cs="Times New Roman"/>
                <w:sz w:val="20"/>
                <w:szCs w:val="20"/>
                <w:lang w:val="en-US"/>
              </w:rPr>
              <w:t>Compustat</w:t>
            </w:r>
            <w:proofErr w:type="spellEnd"/>
            <w:r>
              <w:rPr>
                <w:rFonts w:ascii="Times New Roman" w:eastAsia="Calibri" w:hAnsi="Times New Roman" w:cs="Times New Roman"/>
                <w:sz w:val="20"/>
                <w:szCs w:val="20"/>
                <w:lang w:val="en-US"/>
              </w:rPr>
              <w:t xml:space="preserve"> item </w:t>
            </w:r>
            <w:proofErr w:type="spellStart"/>
            <w:r w:rsidRPr="00490EBB">
              <w:rPr>
                <w:rFonts w:ascii="Times New Roman" w:eastAsia="Calibri" w:hAnsi="Times New Roman" w:cs="Times New Roman"/>
                <w:i/>
                <w:iCs/>
                <w:sz w:val="20"/>
                <w:szCs w:val="20"/>
                <w:lang w:val="en-US"/>
              </w:rPr>
              <w:t>dltt</w:t>
            </w:r>
            <w:proofErr w:type="spellEnd"/>
            <w:r>
              <w:rPr>
                <w:rFonts w:ascii="Times New Roman" w:eastAsia="Calibri" w:hAnsi="Times New Roman" w:cs="Times New Roman"/>
                <w:sz w:val="20"/>
                <w:szCs w:val="20"/>
                <w:lang w:val="en-US"/>
              </w:rPr>
              <w:t>) plus preferred stock (</w:t>
            </w:r>
            <w:proofErr w:type="spellStart"/>
            <w:r>
              <w:rPr>
                <w:rFonts w:ascii="Times New Roman" w:eastAsia="Calibri" w:hAnsi="Times New Roman" w:cs="Times New Roman"/>
                <w:sz w:val="20"/>
                <w:szCs w:val="20"/>
                <w:lang w:val="en-US"/>
              </w:rPr>
              <w:t>Compustat</w:t>
            </w:r>
            <w:proofErr w:type="spellEnd"/>
            <w:r>
              <w:rPr>
                <w:rFonts w:ascii="Times New Roman" w:eastAsia="Calibri" w:hAnsi="Times New Roman" w:cs="Times New Roman"/>
                <w:sz w:val="20"/>
                <w:szCs w:val="20"/>
                <w:lang w:val="en-US"/>
              </w:rPr>
              <w:t xml:space="preserve"> item </w:t>
            </w:r>
            <w:proofErr w:type="spellStart"/>
            <w:r w:rsidRPr="003F6A48">
              <w:rPr>
                <w:rFonts w:ascii="Times New Roman" w:eastAsia="Calibri" w:hAnsi="Times New Roman" w:cs="Times New Roman"/>
                <w:i/>
                <w:iCs/>
                <w:sz w:val="20"/>
                <w:szCs w:val="20"/>
                <w:lang w:val="en-US"/>
              </w:rPr>
              <w:t>pstk</w:t>
            </w:r>
            <w:proofErr w:type="spellEnd"/>
            <w:r>
              <w:rPr>
                <w:rFonts w:ascii="Times New Roman" w:eastAsia="Calibri" w:hAnsi="Times New Roman" w:cs="Times New Roman"/>
                <w:sz w:val="20"/>
                <w:szCs w:val="20"/>
                <w:lang w:val="en-US"/>
              </w:rPr>
              <w:t>) minus preferred stock in treasury (</w:t>
            </w:r>
            <w:proofErr w:type="spellStart"/>
            <w:r>
              <w:rPr>
                <w:rFonts w:ascii="Times New Roman" w:eastAsia="Calibri" w:hAnsi="Times New Roman" w:cs="Times New Roman"/>
                <w:sz w:val="20"/>
                <w:szCs w:val="20"/>
                <w:lang w:val="en-US"/>
              </w:rPr>
              <w:t>Compustat</w:t>
            </w:r>
            <w:proofErr w:type="spellEnd"/>
            <w:r>
              <w:rPr>
                <w:rFonts w:ascii="Times New Roman" w:eastAsia="Calibri" w:hAnsi="Times New Roman" w:cs="Times New Roman"/>
                <w:sz w:val="20"/>
                <w:szCs w:val="20"/>
                <w:lang w:val="en-US"/>
              </w:rPr>
              <w:t xml:space="preserve"> item </w:t>
            </w:r>
            <w:proofErr w:type="spellStart"/>
            <w:r w:rsidRPr="00E37E48">
              <w:rPr>
                <w:rFonts w:ascii="Times New Roman" w:eastAsia="Calibri" w:hAnsi="Times New Roman" w:cs="Times New Roman"/>
                <w:i/>
                <w:iCs/>
                <w:sz w:val="20"/>
                <w:szCs w:val="20"/>
                <w:lang w:val="en-US"/>
              </w:rPr>
              <w:t>tstkp</w:t>
            </w:r>
            <w:proofErr w:type="spellEnd"/>
            <w:r>
              <w:rPr>
                <w:rFonts w:ascii="Times New Roman" w:eastAsia="Calibri" w:hAnsi="Times New Roman" w:cs="Times New Roman"/>
                <w:sz w:val="20"/>
                <w:szCs w:val="20"/>
                <w:lang w:val="en-US"/>
              </w:rPr>
              <w:t>) plus preferred dividends in arrears (</w:t>
            </w:r>
            <w:proofErr w:type="spellStart"/>
            <w:r>
              <w:rPr>
                <w:rFonts w:ascii="Times New Roman" w:eastAsia="Calibri" w:hAnsi="Times New Roman" w:cs="Times New Roman"/>
                <w:sz w:val="20"/>
                <w:szCs w:val="20"/>
                <w:lang w:val="en-US"/>
              </w:rPr>
              <w:t>Compustat</w:t>
            </w:r>
            <w:proofErr w:type="spellEnd"/>
            <w:r>
              <w:rPr>
                <w:rFonts w:ascii="Times New Roman" w:eastAsia="Calibri" w:hAnsi="Times New Roman" w:cs="Times New Roman"/>
                <w:sz w:val="20"/>
                <w:szCs w:val="20"/>
                <w:lang w:val="en-US"/>
              </w:rPr>
              <w:t xml:space="preserve"> item </w:t>
            </w:r>
            <w:proofErr w:type="spellStart"/>
            <w:r w:rsidRPr="00A20E7D">
              <w:rPr>
                <w:rFonts w:ascii="Times New Roman" w:eastAsia="Calibri" w:hAnsi="Times New Roman" w:cs="Times New Roman"/>
                <w:i/>
                <w:iCs/>
                <w:sz w:val="20"/>
                <w:szCs w:val="20"/>
              </w:rPr>
              <w:t>dvpa</w:t>
            </w:r>
            <w:proofErr w:type="spellEnd"/>
            <w:r>
              <w:rPr>
                <w:rFonts w:ascii="Times New Roman" w:eastAsia="Calibri" w:hAnsi="Times New Roman" w:cs="Times New Roman"/>
                <w:sz w:val="20"/>
                <w:szCs w:val="20"/>
              </w:rPr>
              <w:t>)</w:t>
            </w:r>
            <w:r>
              <w:rPr>
                <w:rFonts w:ascii="Times New Roman" w:eastAsia="Calibri" w:hAnsi="Times New Roman" w:cs="Times New Roman"/>
                <w:sz w:val="20"/>
                <w:szCs w:val="20"/>
                <w:lang w:val="en-US"/>
              </w:rPr>
              <w:t>. EBITDA is operating income before depreciation (</w:t>
            </w:r>
            <w:proofErr w:type="spellStart"/>
            <w:r>
              <w:rPr>
                <w:rFonts w:ascii="Times New Roman" w:eastAsia="Calibri" w:hAnsi="Times New Roman" w:cs="Times New Roman"/>
                <w:sz w:val="20"/>
                <w:szCs w:val="20"/>
                <w:lang w:val="en-US"/>
              </w:rPr>
              <w:t>Compustat</w:t>
            </w:r>
            <w:proofErr w:type="spellEnd"/>
            <w:r>
              <w:rPr>
                <w:rFonts w:ascii="Times New Roman" w:eastAsia="Calibri" w:hAnsi="Times New Roman" w:cs="Times New Roman"/>
                <w:sz w:val="20"/>
                <w:szCs w:val="20"/>
                <w:lang w:val="en-US"/>
              </w:rPr>
              <w:t xml:space="preserve"> item </w:t>
            </w:r>
            <w:proofErr w:type="spellStart"/>
            <w:r w:rsidRPr="005F5275">
              <w:rPr>
                <w:rFonts w:ascii="Times New Roman" w:eastAsia="Calibri" w:hAnsi="Times New Roman" w:cs="Times New Roman"/>
                <w:i/>
                <w:iCs/>
                <w:sz w:val="20"/>
                <w:szCs w:val="20"/>
                <w:lang w:val="en-US"/>
              </w:rPr>
              <w:t>oibdp</w:t>
            </w:r>
            <w:proofErr w:type="spellEnd"/>
            <w:r>
              <w:rPr>
                <w:rFonts w:ascii="Times New Roman" w:eastAsia="Calibri" w:hAnsi="Times New Roman" w:cs="Times New Roman"/>
                <w:sz w:val="20"/>
                <w:szCs w:val="20"/>
                <w:lang w:val="en-US"/>
              </w:rPr>
              <w:t>). Only firms with positive EBITDA are considered.</w:t>
            </w:r>
          </w:p>
        </w:tc>
      </w:tr>
      <w:tr w:rsidR="00A57456" w:rsidRPr="003564DE" w14:paraId="5FA36DA1" w14:textId="77777777" w:rsidTr="001A645C">
        <w:trPr>
          <w:trHeight w:val="709"/>
          <w:jc w:val="center"/>
        </w:trPr>
        <w:tc>
          <w:tcPr>
            <w:tcW w:w="1413" w:type="dxa"/>
          </w:tcPr>
          <w:p w14:paraId="243ACE70" w14:textId="77777777" w:rsidR="00A57456" w:rsidRDefault="00A57456" w:rsidP="005276C1">
            <w:pPr>
              <w:spacing w:after="0" w:line="240" w:lineRule="auto"/>
              <w:rPr>
                <w:rFonts w:ascii="Times New Roman" w:eastAsia="Calibri" w:hAnsi="Times New Roman" w:cs="Times New Roman"/>
                <w:b/>
                <w:bCs/>
                <w:i/>
                <w:color w:val="000000"/>
                <w:sz w:val="20"/>
                <w:szCs w:val="20"/>
                <w:lang w:val="en-US"/>
              </w:rPr>
            </w:pPr>
            <w:r w:rsidRPr="00186620">
              <w:rPr>
                <w:rFonts w:ascii="Times New Roman" w:eastAsia="Times New Roman" w:hAnsi="Times New Roman" w:cs="Times New Roman"/>
                <w:color w:val="000000"/>
                <w:sz w:val="20"/>
                <w:szCs w:val="20"/>
                <w:lang w:eastAsia="en-GB"/>
              </w:rPr>
              <w:t>IQR</w:t>
            </w:r>
            <w:r>
              <w:rPr>
                <w:rFonts w:ascii="Times New Roman" w:eastAsia="Times New Roman" w:hAnsi="Times New Roman" w:cs="Times New Roman"/>
                <w:color w:val="000000"/>
                <w:sz w:val="20"/>
                <w:szCs w:val="20"/>
                <w:lang w:eastAsia="en-GB"/>
              </w:rPr>
              <w:t>(</w:t>
            </w:r>
            <w:r w:rsidRPr="00B31F09">
              <w:rPr>
                <w:rFonts w:ascii="Times New Roman" w:eastAsia="Times New Roman" w:hAnsi="Times New Roman" w:cs="Times New Roman"/>
                <w:color w:val="000000"/>
                <w:sz w:val="20"/>
                <w:szCs w:val="20"/>
                <w:lang w:eastAsia="en-GB"/>
              </w:rPr>
              <w:t>P/E</w:t>
            </w:r>
            <w:r>
              <w:rPr>
                <w:rFonts w:ascii="Times New Roman" w:eastAsia="Times New Roman" w:hAnsi="Times New Roman" w:cs="Times New Roman"/>
                <w:color w:val="000000"/>
                <w:sz w:val="20"/>
                <w:szCs w:val="20"/>
                <w:lang w:eastAsia="en-GB"/>
              </w:rPr>
              <w:t>)</w:t>
            </w:r>
          </w:p>
          <w:p w14:paraId="7F0E5382" w14:textId="77777777" w:rsidR="00A57456" w:rsidRPr="00836A99" w:rsidRDefault="00A57456" w:rsidP="005276C1">
            <w:pPr>
              <w:spacing w:after="0" w:line="240" w:lineRule="auto"/>
              <w:rPr>
                <w:rFonts w:ascii="Times New Roman" w:eastAsia="Calibri" w:hAnsi="Times New Roman" w:cs="Times New Roman"/>
                <w:i/>
                <w:iCs/>
                <w:sz w:val="20"/>
                <w:szCs w:val="20"/>
              </w:rPr>
            </w:pPr>
          </w:p>
        </w:tc>
        <w:tc>
          <w:tcPr>
            <w:tcW w:w="7968" w:type="dxa"/>
          </w:tcPr>
          <w:p w14:paraId="6DA14A11" w14:textId="5185F20A" w:rsidR="00A57456" w:rsidRPr="003564DE" w:rsidRDefault="00A57456" w:rsidP="001A645C">
            <w:pPr>
              <w:spacing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Interquartile range of the price-to-earnings multiple in a given Fama-French 12 industry-year. Price is ME as defined above. Earnings are defined as income before extraordinary items (</w:t>
            </w:r>
            <w:proofErr w:type="spellStart"/>
            <w:r>
              <w:rPr>
                <w:rFonts w:ascii="Times New Roman" w:eastAsia="Calibri" w:hAnsi="Times New Roman" w:cs="Times New Roman"/>
                <w:sz w:val="20"/>
                <w:szCs w:val="20"/>
                <w:lang w:val="en-US"/>
              </w:rPr>
              <w:t>Compusat</w:t>
            </w:r>
            <w:proofErr w:type="spellEnd"/>
            <w:r>
              <w:rPr>
                <w:rFonts w:ascii="Times New Roman" w:eastAsia="Calibri" w:hAnsi="Times New Roman" w:cs="Times New Roman"/>
                <w:sz w:val="20"/>
                <w:szCs w:val="20"/>
                <w:lang w:val="en-US"/>
              </w:rPr>
              <w:t xml:space="preserve"> item </w:t>
            </w:r>
            <w:proofErr w:type="spellStart"/>
            <w:r w:rsidRPr="00C42E85">
              <w:rPr>
                <w:rFonts w:ascii="Times New Roman" w:eastAsia="Calibri" w:hAnsi="Times New Roman" w:cs="Times New Roman"/>
                <w:i/>
                <w:iCs/>
                <w:sz w:val="20"/>
                <w:szCs w:val="20"/>
                <w:lang w:val="en-US"/>
              </w:rPr>
              <w:t>ib</w:t>
            </w:r>
            <w:proofErr w:type="spellEnd"/>
            <w:r>
              <w:rPr>
                <w:rFonts w:ascii="Times New Roman" w:eastAsia="Calibri" w:hAnsi="Times New Roman" w:cs="Times New Roman"/>
                <w:sz w:val="20"/>
                <w:szCs w:val="20"/>
                <w:lang w:val="en-US"/>
              </w:rPr>
              <w:t>). Only firms with positive earnings are considered.</w:t>
            </w:r>
          </w:p>
        </w:tc>
      </w:tr>
      <w:tr w:rsidR="00A57456" w:rsidRPr="003564DE" w14:paraId="46489B1C" w14:textId="77777777" w:rsidTr="001A645C">
        <w:trPr>
          <w:trHeight w:val="993"/>
          <w:jc w:val="center"/>
        </w:trPr>
        <w:tc>
          <w:tcPr>
            <w:tcW w:w="1413" w:type="dxa"/>
          </w:tcPr>
          <w:p w14:paraId="1BB19248" w14:textId="7144537F" w:rsidR="00A57456" w:rsidRDefault="00A57456" w:rsidP="005276C1">
            <w:pPr>
              <w:spacing w:after="0" w:line="240" w:lineRule="auto"/>
              <w:rPr>
                <w:rFonts w:ascii="Times New Roman" w:eastAsia="Calibri" w:hAnsi="Times New Roman" w:cs="Times New Roman"/>
                <w:b/>
                <w:bCs/>
                <w:i/>
                <w:color w:val="000000"/>
                <w:sz w:val="20"/>
                <w:szCs w:val="20"/>
                <w:lang w:val="en-US"/>
              </w:rPr>
            </w:pPr>
            <w:r w:rsidRPr="00186620">
              <w:rPr>
                <w:rFonts w:ascii="Times New Roman" w:eastAsia="Times New Roman" w:hAnsi="Times New Roman" w:cs="Times New Roman"/>
                <w:color w:val="000000"/>
                <w:sz w:val="20"/>
                <w:szCs w:val="20"/>
                <w:lang w:eastAsia="en-GB"/>
              </w:rPr>
              <w:t>IQR</w:t>
            </w:r>
            <w:r>
              <w:rPr>
                <w:rFonts w:ascii="Times New Roman" w:eastAsia="Times New Roman" w:hAnsi="Times New Roman" w:cs="Times New Roman"/>
                <w:color w:val="000000"/>
                <w:sz w:val="20"/>
                <w:szCs w:val="20"/>
                <w:lang w:eastAsia="en-GB"/>
              </w:rPr>
              <w:t xml:space="preserve">(Forward </w:t>
            </w:r>
            <w:r w:rsidRPr="00B31F09">
              <w:rPr>
                <w:rFonts w:ascii="Times New Roman" w:eastAsia="Times New Roman" w:hAnsi="Times New Roman" w:cs="Times New Roman"/>
                <w:color w:val="000000"/>
                <w:sz w:val="20"/>
                <w:szCs w:val="20"/>
                <w:lang w:eastAsia="en-GB"/>
              </w:rPr>
              <w:t>P/E</w:t>
            </w:r>
            <w:r>
              <w:rPr>
                <w:rFonts w:ascii="Times New Roman" w:eastAsia="Times New Roman" w:hAnsi="Times New Roman" w:cs="Times New Roman"/>
                <w:color w:val="000000"/>
                <w:sz w:val="20"/>
                <w:szCs w:val="20"/>
                <w:lang w:eastAsia="en-GB"/>
              </w:rPr>
              <w:t>)</w:t>
            </w:r>
            <w:r w:rsidRPr="00D7227D">
              <w:rPr>
                <w:rFonts w:ascii="Times New Roman" w:eastAsia="Calibri" w:hAnsi="Times New Roman" w:cs="Times New Roman"/>
                <w:b/>
                <w:bCs/>
                <w:i/>
                <w:color w:val="000000"/>
                <w:sz w:val="20"/>
                <w:szCs w:val="20"/>
                <w:lang w:val="en-US"/>
              </w:rPr>
              <w:t xml:space="preserve"> </w:t>
            </w:r>
          </w:p>
          <w:p w14:paraId="06459100" w14:textId="77777777" w:rsidR="00A57456" w:rsidRPr="00836A99" w:rsidRDefault="00A57456" w:rsidP="005276C1">
            <w:pPr>
              <w:spacing w:after="0" w:line="240" w:lineRule="auto"/>
              <w:rPr>
                <w:rFonts w:ascii="Times New Roman" w:eastAsia="Calibri" w:hAnsi="Times New Roman" w:cs="Times New Roman"/>
                <w:i/>
                <w:iCs/>
                <w:sz w:val="20"/>
                <w:szCs w:val="20"/>
              </w:rPr>
            </w:pPr>
          </w:p>
        </w:tc>
        <w:tc>
          <w:tcPr>
            <w:tcW w:w="7968" w:type="dxa"/>
          </w:tcPr>
          <w:p w14:paraId="4BCE5967" w14:textId="32EFC105" w:rsidR="00A57456" w:rsidRPr="003564DE" w:rsidRDefault="00A57456" w:rsidP="005276C1">
            <w:pPr>
              <w:spacing w:after="0"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Interquartile range of the price-to-forward earnings multiple in a given Fama-French 12 industry-year</w:t>
            </w:r>
            <w:r w:rsidRPr="00EF17B1">
              <w:rPr>
                <w:rFonts w:ascii="Times New Roman" w:eastAsia="Calibri" w:hAnsi="Times New Roman" w:cs="Times New Roman"/>
                <w:sz w:val="20"/>
                <w:szCs w:val="20"/>
                <w:lang w:val="en-US"/>
              </w:rPr>
              <w:t>.</w:t>
            </w:r>
            <w:r>
              <w:rPr>
                <w:rFonts w:ascii="Times New Roman" w:eastAsia="Calibri" w:hAnsi="Times New Roman" w:cs="Times New Roman"/>
                <w:sz w:val="20"/>
                <w:szCs w:val="20"/>
                <w:lang w:val="en-US"/>
              </w:rPr>
              <w:t xml:space="preserve"> </w:t>
            </w:r>
            <w:r w:rsidRPr="00EF17B1">
              <w:rPr>
                <w:rFonts w:ascii="Times New Roman" w:eastAsia="Calibri" w:hAnsi="Times New Roman" w:cs="Times New Roman"/>
                <w:sz w:val="20"/>
                <w:szCs w:val="20"/>
                <w:lang w:val="en-US"/>
              </w:rPr>
              <w:t xml:space="preserve">Forward earnings </w:t>
            </w:r>
            <w:r>
              <w:rPr>
                <w:rFonts w:ascii="Times New Roman" w:eastAsia="Calibri" w:hAnsi="Times New Roman" w:cs="Times New Roman"/>
                <w:sz w:val="20"/>
                <w:szCs w:val="20"/>
                <w:lang w:val="en-US"/>
              </w:rPr>
              <w:t>are</w:t>
            </w:r>
            <w:r w:rsidRPr="00EF17B1">
              <w:rPr>
                <w:rFonts w:ascii="Times New Roman" w:eastAsia="Calibri" w:hAnsi="Times New Roman" w:cs="Times New Roman"/>
                <w:sz w:val="20"/>
                <w:szCs w:val="20"/>
                <w:lang w:val="en-US"/>
              </w:rPr>
              <w:t xml:space="preserve"> defined as the most recent consensus EPS forecast from the I/B/E/S unadjusted summary file. Price is</w:t>
            </w:r>
            <w:r>
              <w:rPr>
                <w:rFonts w:ascii="Times New Roman" w:eastAsia="Calibri" w:hAnsi="Times New Roman" w:cs="Times New Roman"/>
                <w:sz w:val="20"/>
                <w:szCs w:val="20"/>
                <w:lang w:val="en-US"/>
              </w:rPr>
              <w:t xml:space="preserve"> the closing stock price (CRSP item </w:t>
            </w:r>
            <w:proofErr w:type="spellStart"/>
            <w:r w:rsidRPr="00EF17B1">
              <w:rPr>
                <w:rFonts w:ascii="Times New Roman" w:eastAsia="Calibri" w:hAnsi="Times New Roman" w:cs="Times New Roman"/>
                <w:i/>
                <w:iCs/>
                <w:sz w:val="20"/>
                <w:szCs w:val="20"/>
                <w:lang w:val="en-US"/>
              </w:rPr>
              <w:t>prc</w:t>
            </w:r>
            <w:proofErr w:type="spellEnd"/>
            <w:r>
              <w:rPr>
                <w:rFonts w:ascii="Times New Roman" w:eastAsia="Calibri" w:hAnsi="Times New Roman" w:cs="Times New Roman"/>
                <w:sz w:val="20"/>
                <w:szCs w:val="20"/>
                <w:lang w:val="en-US"/>
              </w:rPr>
              <w:t>)</w:t>
            </w:r>
            <w:r w:rsidRPr="00EF17B1">
              <w:rPr>
                <w:rFonts w:ascii="Times New Roman" w:eastAsia="Calibri" w:hAnsi="Times New Roman" w:cs="Times New Roman"/>
                <w:sz w:val="20"/>
                <w:szCs w:val="20"/>
                <w:lang w:val="en-US"/>
              </w:rPr>
              <w:t xml:space="preserve"> as of the analyst forecast date</w:t>
            </w:r>
            <w:r>
              <w:rPr>
                <w:rFonts w:ascii="Times New Roman" w:eastAsia="Calibri" w:hAnsi="Times New Roman" w:cs="Times New Roman"/>
                <w:sz w:val="20"/>
                <w:szCs w:val="20"/>
                <w:lang w:val="en-US"/>
              </w:rPr>
              <w:t>.</w:t>
            </w:r>
            <w:r w:rsidRPr="00EF17B1">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Only firms with positive forward earnings are considered.</w:t>
            </w:r>
          </w:p>
        </w:tc>
      </w:tr>
      <w:tr w:rsidR="00A57456" w:rsidRPr="003564DE" w14:paraId="576F91F0" w14:textId="77777777" w:rsidTr="00562AEB">
        <w:trPr>
          <w:trHeight w:val="567"/>
          <w:jc w:val="center"/>
        </w:trPr>
        <w:tc>
          <w:tcPr>
            <w:tcW w:w="1413" w:type="dxa"/>
          </w:tcPr>
          <w:p w14:paraId="3C26BB15" w14:textId="375DBBC7" w:rsidR="00A57456" w:rsidRPr="00836A99" w:rsidRDefault="00A57456" w:rsidP="005276C1">
            <w:pPr>
              <w:spacing w:after="0" w:line="240" w:lineRule="auto"/>
              <w:rPr>
                <w:rFonts w:ascii="Times New Roman" w:eastAsia="Calibri" w:hAnsi="Times New Roman" w:cs="Times New Roman"/>
                <w:i/>
                <w:iCs/>
                <w:sz w:val="20"/>
                <w:szCs w:val="20"/>
              </w:rPr>
            </w:pPr>
            <w:r w:rsidRPr="00282BCE">
              <w:rPr>
                <w:rFonts w:ascii="Times New Roman" w:eastAsia="Times New Roman" w:hAnsi="Times New Roman" w:cs="Times New Roman"/>
                <w:color w:val="000000"/>
                <w:sz w:val="20"/>
                <w:szCs w:val="20"/>
                <w:lang w:eastAsia="en-CA"/>
              </w:rPr>
              <w:lastRenderedPageBreak/>
              <w:t>σ</w:t>
            </w:r>
            <w:r>
              <w:rPr>
                <w:rFonts w:ascii="Times New Roman" w:eastAsia="Times New Roman" w:hAnsi="Times New Roman" w:cs="Times New Roman"/>
                <w:color w:val="000000"/>
                <w:sz w:val="20"/>
                <w:szCs w:val="20"/>
                <w:lang w:eastAsia="en-GB"/>
              </w:rPr>
              <w:t>(ROA)</w:t>
            </w:r>
            <w:r>
              <w:rPr>
                <w:rFonts w:ascii="Times New Roman" w:eastAsia="Times New Roman" w:hAnsi="Times New Roman" w:cs="Times New Roman"/>
                <w:color w:val="000000"/>
                <w:sz w:val="20"/>
                <w:szCs w:val="20"/>
                <w:vertAlign w:val="superscript"/>
                <w:lang w:eastAsia="en-GB"/>
              </w:rPr>
              <w:t>PRE / POST</w:t>
            </w:r>
          </w:p>
        </w:tc>
        <w:tc>
          <w:tcPr>
            <w:tcW w:w="7968" w:type="dxa"/>
          </w:tcPr>
          <w:p w14:paraId="28657613" w14:textId="4CABCE49" w:rsidR="00A6228C" w:rsidRPr="002202E9" w:rsidRDefault="00A57456" w:rsidP="005276C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Standard deviation of </w:t>
            </w:r>
            <w:r w:rsidR="001A645C">
              <w:rPr>
                <w:rFonts w:ascii="Times New Roman" w:hAnsi="Times New Roman" w:cs="Times New Roman"/>
                <w:sz w:val="20"/>
                <w:szCs w:val="20"/>
              </w:rPr>
              <w:t>ROA</w:t>
            </w:r>
            <w:r>
              <w:rPr>
                <w:rFonts w:ascii="Times New Roman" w:hAnsi="Times New Roman" w:cs="Times New Roman"/>
                <w:sz w:val="20"/>
                <w:szCs w:val="20"/>
              </w:rPr>
              <w:t xml:space="preserve"> </w:t>
            </w:r>
            <w:r w:rsidR="00562AEB">
              <w:rPr>
                <w:rFonts w:ascii="Times New Roman" w:hAnsi="Times New Roman" w:cs="Times New Roman"/>
                <w:sz w:val="20"/>
                <w:szCs w:val="20"/>
              </w:rPr>
              <w:t xml:space="preserve">over the years </w:t>
            </w:r>
            <w:r w:rsidR="00562AEB" w:rsidRPr="00562AEB">
              <w:rPr>
                <w:rFonts w:ascii="Times New Roman" w:hAnsi="Times New Roman" w:cs="Times New Roman"/>
                <w:i/>
                <w:iCs/>
                <w:sz w:val="20"/>
                <w:szCs w:val="20"/>
              </w:rPr>
              <w:t>t</w:t>
            </w:r>
            <w:r w:rsidR="00562AEB">
              <w:rPr>
                <w:rFonts w:ascii="Times New Roman" w:hAnsi="Times New Roman" w:cs="Times New Roman"/>
                <w:sz w:val="20"/>
                <w:szCs w:val="20"/>
              </w:rPr>
              <w:t xml:space="preserve"> to </w:t>
            </w:r>
            <w:r w:rsidR="00562AEB" w:rsidRPr="00562AEB">
              <w:rPr>
                <w:rFonts w:ascii="Times New Roman" w:hAnsi="Times New Roman" w:cs="Times New Roman"/>
                <w:i/>
                <w:iCs/>
                <w:sz w:val="20"/>
                <w:szCs w:val="20"/>
              </w:rPr>
              <w:t>t</w:t>
            </w:r>
            <w:r w:rsidR="00562AEB">
              <w:rPr>
                <w:rFonts w:ascii="Times New Roman" w:hAnsi="Times New Roman" w:cs="Times New Roman"/>
                <w:sz w:val="20"/>
                <w:szCs w:val="20"/>
              </w:rPr>
              <w:t>–4 (</w:t>
            </w:r>
            <w:r w:rsidR="00562AEB" w:rsidRPr="00E73923">
              <w:rPr>
                <w:rFonts w:ascii="Times New Roman" w:hAnsi="Times New Roman" w:cs="Times New Roman"/>
                <w:sz w:val="20"/>
                <w:szCs w:val="20"/>
                <w:vertAlign w:val="superscript"/>
              </w:rPr>
              <w:t>PRE</w:t>
            </w:r>
            <w:r w:rsidR="00562AEB">
              <w:rPr>
                <w:rFonts w:ascii="Times New Roman" w:hAnsi="Times New Roman" w:cs="Times New Roman"/>
                <w:sz w:val="20"/>
                <w:szCs w:val="20"/>
              </w:rPr>
              <w:t xml:space="preserve">) or </w:t>
            </w:r>
            <w:r w:rsidR="00562AEB" w:rsidRPr="00562AEB">
              <w:rPr>
                <w:rFonts w:ascii="Times New Roman" w:hAnsi="Times New Roman" w:cs="Times New Roman"/>
                <w:i/>
                <w:iCs/>
                <w:sz w:val="20"/>
                <w:szCs w:val="20"/>
              </w:rPr>
              <w:t>t</w:t>
            </w:r>
            <w:r w:rsidR="00562AEB">
              <w:rPr>
                <w:rFonts w:ascii="Times New Roman" w:hAnsi="Times New Roman" w:cs="Times New Roman"/>
                <w:sz w:val="20"/>
                <w:szCs w:val="20"/>
              </w:rPr>
              <w:t xml:space="preserve">+1 to </w:t>
            </w:r>
            <w:r w:rsidR="00562AEB" w:rsidRPr="00562AEB">
              <w:rPr>
                <w:rFonts w:ascii="Times New Roman" w:hAnsi="Times New Roman" w:cs="Times New Roman"/>
                <w:i/>
                <w:iCs/>
                <w:sz w:val="20"/>
                <w:szCs w:val="20"/>
              </w:rPr>
              <w:t>t</w:t>
            </w:r>
            <w:r w:rsidR="00562AEB">
              <w:rPr>
                <w:rFonts w:ascii="Times New Roman" w:hAnsi="Times New Roman" w:cs="Times New Roman"/>
                <w:sz w:val="20"/>
                <w:szCs w:val="20"/>
              </w:rPr>
              <w:t>+5 (</w:t>
            </w:r>
            <w:r w:rsidR="00562AEB" w:rsidRPr="00E73923">
              <w:rPr>
                <w:rFonts w:ascii="Times New Roman" w:hAnsi="Times New Roman" w:cs="Times New Roman"/>
                <w:sz w:val="20"/>
                <w:szCs w:val="20"/>
                <w:vertAlign w:val="superscript"/>
              </w:rPr>
              <w:t>POST</w:t>
            </w:r>
            <w:r w:rsidR="00562AEB">
              <w:rPr>
                <w:rFonts w:ascii="Times New Roman" w:hAnsi="Times New Roman" w:cs="Times New Roman"/>
                <w:sz w:val="20"/>
                <w:szCs w:val="20"/>
              </w:rPr>
              <w:t>)</w:t>
            </w:r>
            <w:r>
              <w:rPr>
                <w:rFonts w:ascii="Times New Roman" w:hAnsi="Times New Roman" w:cs="Times New Roman"/>
                <w:sz w:val="20"/>
                <w:szCs w:val="20"/>
              </w:rPr>
              <w:t xml:space="preserve">. </w:t>
            </w:r>
            <w:r w:rsidR="001A645C">
              <w:rPr>
                <w:rFonts w:ascii="Times New Roman" w:hAnsi="Times New Roman" w:cs="Times New Roman"/>
                <w:sz w:val="20"/>
                <w:szCs w:val="20"/>
              </w:rPr>
              <w:t>ROA</w:t>
            </w:r>
            <w:r>
              <w:rPr>
                <w:rFonts w:ascii="Times New Roman" w:hAnsi="Times New Roman" w:cs="Times New Roman"/>
                <w:sz w:val="20"/>
                <w:szCs w:val="20"/>
              </w:rPr>
              <w:t xml:space="preserve"> is income before extraordinary items (</w:t>
            </w:r>
            <w:proofErr w:type="spellStart"/>
            <w:r>
              <w:rPr>
                <w:rFonts w:ascii="Times New Roman" w:hAnsi="Times New Roman" w:cs="Times New Roman"/>
                <w:sz w:val="20"/>
                <w:szCs w:val="20"/>
              </w:rPr>
              <w:t>Compustat</w:t>
            </w:r>
            <w:proofErr w:type="spellEnd"/>
            <w:r>
              <w:rPr>
                <w:rFonts w:ascii="Times New Roman" w:hAnsi="Times New Roman" w:cs="Times New Roman"/>
                <w:sz w:val="20"/>
                <w:szCs w:val="20"/>
              </w:rPr>
              <w:t xml:space="preserve"> item </w:t>
            </w:r>
            <w:proofErr w:type="spellStart"/>
            <w:r>
              <w:rPr>
                <w:rFonts w:ascii="Times New Roman" w:hAnsi="Times New Roman" w:cs="Times New Roman"/>
                <w:i/>
                <w:iCs/>
                <w:sz w:val="20"/>
                <w:szCs w:val="20"/>
              </w:rPr>
              <w:t>ib</w:t>
            </w:r>
            <w:proofErr w:type="spellEnd"/>
            <w:r>
              <w:rPr>
                <w:rFonts w:ascii="Times New Roman" w:hAnsi="Times New Roman" w:cs="Times New Roman"/>
                <w:sz w:val="20"/>
                <w:szCs w:val="20"/>
              </w:rPr>
              <w:t xml:space="preserve">) </w:t>
            </w:r>
            <w:r w:rsidR="001A645C">
              <w:rPr>
                <w:rFonts w:ascii="Times New Roman" w:hAnsi="Times New Roman" w:cs="Times New Roman"/>
                <w:sz w:val="20"/>
                <w:szCs w:val="20"/>
              </w:rPr>
              <w:t xml:space="preserve">scaled </w:t>
            </w:r>
            <w:r>
              <w:rPr>
                <w:rFonts w:ascii="Times New Roman" w:hAnsi="Times New Roman" w:cs="Times New Roman"/>
                <w:sz w:val="20"/>
                <w:szCs w:val="20"/>
              </w:rPr>
              <w:t>by average total assets (</w:t>
            </w:r>
            <w:proofErr w:type="spellStart"/>
            <w:r>
              <w:rPr>
                <w:rFonts w:ascii="Times New Roman" w:hAnsi="Times New Roman" w:cs="Times New Roman"/>
                <w:sz w:val="20"/>
                <w:szCs w:val="20"/>
              </w:rPr>
              <w:t>Compustat</w:t>
            </w:r>
            <w:proofErr w:type="spellEnd"/>
            <w:r>
              <w:rPr>
                <w:rFonts w:ascii="Times New Roman" w:hAnsi="Times New Roman" w:cs="Times New Roman"/>
                <w:sz w:val="20"/>
                <w:szCs w:val="20"/>
              </w:rPr>
              <w:t xml:space="preserve"> item </w:t>
            </w:r>
            <w:r w:rsidRPr="00936459">
              <w:rPr>
                <w:rFonts w:ascii="Times New Roman" w:hAnsi="Times New Roman" w:cs="Times New Roman"/>
                <w:i/>
                <w:iCs/>
                <w:sz w:val="20"/>
                <w:szCs w:val="20"/>
              </w:rPr>
              <w:t>at</w:t>
            </w:r>
            <w:r>
              <w:rPr>
                <w:rFonts w:ascii="Times New Roman" w:hAnsi="Times New Roman" w:cs="Times New Roman"/>
                <w:sz w:val="20"/>
                <w:szCs w:val="20"/>
              </w:rPr>
              <w:t>).</w:t>
            </w:r>
          </w:p>
        </w:tc>
      </w:tr>
      <w:tr w:rsidR="00A57456" w:rsidRPr="003564DE" w14:paraId="51C1F52B" w14:textId="77777777" w:rsidTr="001A645C">
        <w:trPr>
          <w:trHeight w:val="579"/>
          <w:jc w:val="center"/>
        </w:trPr>
        <w:tc>
          <w:tcPr>
            <w:tcW w:w="1413" w:type="dxa"/>
          </w:tcPr>
          <w:p w14:paraId="7272164D" w14:textId="355CA724" w:rsidR="00A57456" w:rsidRPr="001A645C" w:rsidRDefault="00A57456" w:rsidP="005276C1">
            <w:pPr>
              <w:spacing w:after="0" w:line="240" w:lineRule="auto"/>
              <w:rPr>
                <w:rFonts w:ascii="Times New Roman" w:eastAsia="Calibri" w:hAnsi="Times New Roman" w:cs="Times New Roman"/>
                <w:sz w:val="20"/>
                <w:szCs w:val="20"/>
              </w:rPr>
            </w:pPr>
            <w:r w:rsidRPr="003F26A3">
              <w:rPr>
                <w:rFonts w:ascii="Times New Roman" w:eastAsia="Times New Roman" w:hAnsi="Times New Roman" w:cs="Times New Roman"/>
                <w:color w:val="000000"/>
                <w:sz w:val="20"/>
                <w:szCs w:val="20"/>
                <w:lang w:eastAsia="en-GB"/>
              </w:rPr>
              <w:t>β</w:t>
            </w:r>
            <w:r>
              <w:rPr>
                <w:rFonts w:ascii="Times New Roman" w:eastAsia="Times New Roman" w:hAnsi="Times New Roman" w:cs="Times New Roman"/>
                <w:color w:val="000000"/>
                <w:sz w:val="20"/>
                <w:szCs w:val="20"/>
                <w:lang w:eastAsia="en-GB"/>
              </w:rPr>
              <w:t xml:space="preserve"> [</w:t>
            </w:r>
            <w:r w:rsidRPr="0007172E">
              <w:rPr>
                <w:rFonts w:ascii="Times New Roman" w:eastAsia="Times New Roman" w:hAnsi="Times New Roman" w:cs="Times New Roman"/>
                <w:color w:val="000000"/>
                <w:sz w:val="20"/>
                <w:szCs w:val="20"/>
                <w:lang w:eastAsia="en-GB"/>
              </w:rPr>
              <w:t>AR(1)</w:t>
            </w:r>
            <w:r>
              <w:rPr>
                <w:rFonts w:ascii="Times New Roman" w:eastAsia="Times New Roman" w:hAnsi="Times New Roman" w:cs="Times New Roman"/>
                <w:color w:val="000000"/>
                <w:sz w:val="20"/>
                <w:szCs w:val="20"/>
                <w:lang w:eastAsia="en-GB"/>
              </w:rPr>
              <w:t>]</w:t>
            </w:r>
          </w:p>
        </w:tc>
        <w:tc>
          <w:tcPr>
            <w:tcW w:w="7968" w:type="dxa"/>
          </w:tcPr>
          <w:p w14:paraId="167641AB" w14:textId="1A2073C9" w:rsidR="00A57456" w:rsidRPr="002202E9" w:rsidRDefault="00F52598" w:rsidP="002202E9">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AR(1) </w:t>
            </w:r>
            <w:r w:rsidR="00A57456">
              <w:rPr>
                <w:rFonts w:ascii="Times New Roman" w:hAnsi="Times New Roman" w:cs="Times New Roman"/>
                <w:sz w:val="20"/>
                <w:szCs w:val="20"/>
              </w:rPr>
              <w:t xml:space="preserve">coefficient from a regression of return on assets on </w:t>
            </w:r>
            <w:r w:rsidR="00D44B4D">
              <w:rPr>
                <w:rFonts w:ascii="Times New Roman" w:hAnsi="Times New Roman" w:cs="Times New Roman"/>
                <w:sz w:val="20"/>
                <w:szCs w:val="20"/>
              </w:rPr>
              <w:t>its lag</w:t>
            </w:r>
            <w:r w:rsidR="009D22F6">
              <w:rPr>
                <w:rFonts w:ascii="Times New Roman" w:hAnsi="Times New Roman" w:cs="Times New Roman"/>
                <w:sz w:val="20"/>
                <w:szCs w:val="20"/>
              </w:rPr>
              <w:t>,</w:t>
            </w:r>
            <w:r w:rsidR="00A57456">
              <w:rPr>
                <w:rFonts w:ascii="Times New Roman" w:hAnsi="Times New Roman" w:cs="Times New Roman"/>
                <w:sz w:val="20"/>
                <w:szCs w:val="20"/>
              </w:rPr>
              <w:t xml:space="preserve"> </w:t>
            </w:r>
            <w:r w:rsidR="00A57456" w:rsidRPr="00DE3257">
              <w:rPr>
                <w:rFonts w:ascii="Times New Roman" w:hAnsi="Times New Roman" w:cs="Times New Roman"/>
                <w:sz w:val="20"/>
                <w:szCs w:val="20"/>
              </w:rPr>
              <w:t>estimated</w:t>
            </w:r>
            <w:r w:rsidR="005F43F7">
              <w:rPr>
                <w:rFonts w:ascii="Times New Roman" w:hAnsi="Times New Roman" w:cs="Times New Roman"/>
                <w:sz w:val="20"/>
                <w:szCs w:val="20"/>
              </w:rPr>
              <w:t xml:space="preserve"> firm-by-firm</w:t>
            </w:r>
            <w:r w:rsidR="00A57456" w:rsidRPr="00DE3257">
              <w:rPr>
                <w:rFonts w:ascii="Times New Roman" w:hAnsi="Times New Roman" w:cs="Times New Roman"/>
                <w:sz w:val="20"/>
                <w:szCs w:val="20"/>
              </w:rPr>
              <w:t xml:space="preserve"> </w:t>
            </w:r>
            <w:r w:rsidR="00A57456">
              <w:rPr>
                <w:rFonts w:ascii="Times New Roman" w:hAnsi="Times New Roman" w:cs="Times New Roman"/>
                <w:sz w:val="20"/>
                <w:szCs w:val="20"/>
              </w:rPr>
              <w:t xml:space="preserve">over the most recent </w:t>
            </w:r>
            <w:r w:rsidR="00D44B4D">
              <w:rPr>
                <w:rFonts w:ascii="Times New Roman" w:hAnsi="Times New Roman" w:cs="Times New Roman"/>
                <w:sz w:val="20"/>
                <w:szCs w:val="20"/>
              </w:rPr>
              <w:t>10</w:t>
            </w:r>
            <w:r w:rsidR="00A57456">
              <w:rPr>
                <w:rFonts w:ascii="Times New Roman" w:hAnsi="Times New Roman" w:cs="Times New Roman"/>
                <w:sz w:val="20"/>
                <w:szCs w:val="20"/>
              </w:rPr>
              <w:t xml:space="preserve"> years (mi</w:t>
            </w:r>
            <w:r w:rsidR="00D44B4D">
              <w:rPr>
                <w:rFonts w:ascii="Times New Roman" w:hAnsi="Times New Roman" w:cs="Times New Roman"/>
                <w:sz w:val="20"/>
                <w:szCs w:val="20"/>
              </w:rPr>
              <w:t>n.</w:t>
            </w:r>
            <w:r w:rsidR="00A57456">
              <w:rPr>
                <w:rFonts w:ascii="Times New Roman" w:hAnsi="Times New Roman" w:cs="Times New Roman"/>
                <w:sz w:val="20"/>
                <w:szCs w:val="20"/>
              </w:rPr>
              <w:t xml:space="preserve"> of </w:t>
            </w:r>
            <w:r w:rsidR="00D44B4D">
              <w:rPr>
                <w:rFonts w:ascii="Times New Roman" w:hAnsi="Times New Roman" w:cs="Times New Roman"/>
                <w:sz w:val="20"/>
                <w:szCs w:val="20"/>
              </w:rPr>
              <w:t>8</w:t>
            </w:r>
            <w:r>
              <w:rPr>
                <w:rFonts w:ascii="Times New Roman" w:hAnsi="Times New Roman" w:cs="Times New Roman"/>
                <w:sz w:val="20"/>
                <w:szCs w:val="20"/>
              </w:rPr>
              <w:t xml:space="preserve"> obs.</w:t>
            </w:r>
            <w:r w:rsidR="00A57456">
              <w:rPr>
                <w:rFonts w:ascii="Times New Roman" w:hAnsi="Times New Roman" w:cs="Times New Roman"/>
                <w:sz w:val="20"/>
                <w:szCs w:val="20"/>
              </w:rPr>
              <w:t xml:space="preserve">) Return on assets is </w:t>
            </w:r>
            <w:r w:rsidR="00D44B4D">
              <w:rPr>
                <w:rFonts w:ascii="Times New Roman" w:hAnsi="Times New Roman" w:cs="Times New Roman"/>
                <w:sz w:val="20"/>
                <w:szCs w:val="20"/>
              </w:rPr>
              <w:t xml:space="preserve">defined </w:t>
            </w:r>
            <w:r w:rsidR="005F43F7">
              <w:rPr>
                <w:rFonts w:ascii="Times New Roman" w:hAnsi="Times New Roman" w:cs="Times New Roman"/>
                <w:sz w:val="20"/>
                <w:szCs w:val="20"/>
              </w:rPr>
              <w:t>as in</w:t>
            </w:r>
            <w:r w:rsidR="00A57456">
              <w:rPr>
                <w:rFonts w:ascii="Times New Roman" w:hAnsi="Times New Roman" w:cs="Times New Roman"/>
                <w:sz w:val="20"/>
                <w:szCs w:val="20"/>
              </w:rPr>
              <w:t xml:space="preserve"> </w:t>
            </w:r>
            <w:r w:rsidR="00A57456" w:rsidRPr="00282BCE">
              <w:rPr>
                <w:rFonts w:ascii="Times New Roman" w:eastAsia="Times New Roman" w:hAnsi="Times New Roman" w:cs="Times New Roman"/>
                <w:color w:val="000000"/>
                <w:sz w:val="20"/>
                <w:szCs w:val="20"/>
                <w:lang w:eastAsia="en-CA"/>
              </w:rPr>
              <w:t>σ</w:t>
            </w:r>
            <w:r w:rsidR="00A57456">
              <w:rPr>
                <w:rFonts w:ascii="Times New Roman" w:eastAsia="Times New Roman" w:hAnsi="Times New Roman" w:cs="Times New Roman"/>
                <w:color w:val="000000"/>
                <w:sz w:val="20"/>
                <w:szCs w:val="20"/>
                <w:lang w:eastAsia="en-GB"/>
              </w:rPr>
              <w:t>(ROA)</w:t>
            </w:r>
            <w:r w:rsidR="00A57456">
              <w:rPr>
                <w:rFonts w:ascii="Times New Roman" w:eastAsia="Times New Roman" w:hAnsi="Times New Roman" w:cs="Times New Roman"/>
                <w:color w:val="000000"/>
                <w:sz w:val="20"/>
                <w:szCs w:val="20"/>
                <w:vertAlign w:val="superscript"/>
                <w:lang w:eastAsia="en-GB"/>
              </w:rPr>
              <w:t>PRE / POST</w:t>
            </w:r>
            <w:r w:rsidR="00A57456">
              <w:rPr>
                <w:rFonts w:ascii="Times New Roman" w:eastAsia="Times New Roman" w:hAnsi="Times New Roman" w:cs="Times New Roman"/>
                <w:color w:val="000000"/>
                <w:sz w:val="20"/>
                <w:szCs w:val="20"/>
                <w:lang w:eastAsia="en-GB"/>
              </w:rPr>
              <w:t xml:space="preserve"> above.</w:t>
            </w:r>
          </w:p>
        </w:tc>
      </w:tr>
      <w:tr w:rsidR="00A57456" w:rsidRPr="003564DE" w14:paraId="1BF6DFD1" w14:textId="77777777" w:rsidTr="001A645C">
        <w:trPr>
          <w:trHeight w:val="305"/>
          <w:jc w:val="center"/>
        </w:trPr>
        <w:tc>
          <w:tcPr>
            <w:tcW w:w="1413" w:type="dxa"/>
          </w:tcPr>
          <w:p w14:paraId="7BA9A554" w14:textId="6949ECC1" w:rsidR="00A57456" w:rsidRPr="00836A99" w:rsidRDefault="00A57456" w:rsidP="005276C1">
            <w:pPr>
              <w:spacing w:after="0" w:line="240" w:lineRule="auto"/>
              <w:rPr>
                <w:rFonts w:ascii="Times New Roman" w:eastAsia="Calibri" w:hAnsi="Times New Roman" w:cs="Times New Roman"/>
                <w:i/>
                <w:iCs/>
                <w:sz w:val="20"/>
                <w:szCs w:val="20"/>
              </w:rPr>
            </w:pPr>
            <w:r w:rsidRPr="003F26A3">
              <w:rPr>
                <w:rFonts w:ascii="Times New Roman" w:eastAsia="Times New Roman" w:hAnsi="Times New Roman" w:cs="Times New Roman"/>
                <w:color w:val="000000"/>
                <w:sz w:val="20"/>
                <w:szCs w:val="20"/>
                <w:lang w:eastAsia="en-GB"/>
              </w:rPr>
              <w:t>R2</w:t>
            </w:r>
            <w:r>
              <w:rPr>
                <w:rFonts w:ascii="Times New Roman" w:eastAsia="Times New Roman" w:hAnsi="Times New Roman" w:cs="Times New Roman"/>
                <w:color w:val="000000"/>
                <w:sz w:val="20"/>
                <w:szCs w:val="20"/>
                <w:lang w:eastAsia="en-GB"/>
              </w:rPr>
              <w:t xml:space="preserve"> [</w:t>
            </w:r>
            <w:r w:rsidRPr="0007172E">
              <w:rPr>
                <w:rFonts w:ascii="Times New Roman" w:eastAsia="Times New Roman" w:hAnsi="Times New Roman" w:cs="Times New Roman"/>
                <w:color w:val="000000"/>
                <w:sz w:val="20"/>
                <w:szCs w:val="20"/>
                <w:lang w:eastAsia="en-GB"/>
              </w:rPr>
              <w:t>AR(1)</w:t>
            </w:r>
            <w:r>
              <w:rPr>
                <w:rFonts w:ascii="Times New Roman" w:eastAsia="Times New Roman" w:hAnsi="Times New Roman" w:cs="Times New Roman"/>
                <w:color w:val="000000"/>
                <w:sz w:val="20"/>
                <w:szCs w:val="20"/>
                <w:lang w:eastAsia="en-GB"/>
              </w:rPr>
              <w:t>]</w:t>
            </w:r>
          </w:p>
        </w:tc>
        <w:tc>
          <w:tcPr>
            <w:tcW w:w="7968" w:type="dxa"/>
          </w:tcPr>
          <w:p w14:paraId="336A9C31" w14:textId="1126E3AB" w:rsidR="00A57456" w:rsidRPr="001A645C" w:rsidRDefault="00B81A13" w:rsidP="001A645C">
            <w:pPr>
              <w:spacing w:line="240" w:lineRule="auto"/>
              <w:rPr>
                <w:rFonts w:ascii="Times New Roman" w:eastAsia="Calibri" w:hAnsi="Times New Roman" w:cs="Times New Roman"/>
                <w:b/>
                <w:bCs/>
                <w:i/>
                <w:color w:val="000000"/>
                <w:sz w:val="20"/>
                <w:szCs w:val="20"/>
                <w:lang w:val="en-US"/>
              </w:rPr>
            </w:pPr>
            <w:r>
              <w:rPr>
                <w:rFonts w:ascii="Times New Roman" w:hAnsi="Times New Roman" w:cs="Times New Roman"/>
                <w:sz w:val="20"/>
                <w:szCs w:val="20"/>
              </w:rPr>
              <w:t xml:space="preserve">Similar to </w:t>
            </w:r>
            <w:r w:rsidRPr="003F26A3">
              <w:rPr>
                <w:rFonts w:ascii="Times New Roman" w:eastAsia="Times New Roman" w:hAnsi="Times New Roman" w:cs="Times New Roman"/>
                <w:color w:val="000000"/>
                <w:sz w:val="20"/>
                <w:szCs w:val="20"/>
                <w:lang w:eastAsia="en-GB"/>
              </w:rPr>
              <w:t>β</w:t>
            </w:r>
            <w:r>
              <w:rPr>
                <w:rFonts w:ascii="Times New Roman" w:eastAsia="Times New Roman" w:hAnsi="Times New Roman" w:cs="Times New Roman"/>
                <w:color w:val="000000"/>
                <w:sz w:val="20"/>
                <w:szCs w:val="20"/>
                <w:lang w:eastAsia="en-GB"/>
              </w:rPr>
              <w:t xml:space="preserve"> [</w:t>
            </w:r>
            <w:r w:rsidRPr="0007172E">
              <w:rPr>
                <w:rFonts w:ascii="Times New Roman" w:eastAsia="Times New Roman" w:hAnsi="Times New Roman" w:cs="Times New Roman"/>
                <w:color w:val="000000"/>
                <w:sz w:val="20"/>
                <w:szCs w:val="20"/>
                <w:lang w:eastAsia="en-GB"/>
              </w:rPr>
              <w:t>AR(1)</w:t>
            </w:r>
            <w:r>
              <w:rPr>
                <w:rFonts w:ascii="Times New Roman" w:eastAsia="Times New Roman" w:hAnsi="Times New Roman" w:cs="Times New Roman"/>
                <w:color w:val="000000"/>
                <w:sz w:val="20"/>
                <w:szCs w:val="20"/>
                <w:lang w:eastAsia="en-GB"/>
              </w:rPr>
              <w:t>] above, except</w:t>
            </w:r>
            <w:r w:rsidR="00D45604">
              <w:rPr>
                <w:rFonts w:ascii="Times New Roman" w:eastAsia="Times New Roman" w:hAnsi="Times New Roman" w:cs="Times New Roman"/>
                <w:color w:val="000000"/>
                <w:sz w:val="20"/>
                <w:szCs w:val="20"/>
                <w:lang w:eastAsia="en-GB"/>
              </w:rPr>
              <w:t xml:space="preserve"> that</w:t>
            </w:r>
            <w:r>
              <w:rPr>
                <w:rFonts w:ascii="Times New Roman" w:eastAsia="Times New Roman" w:hAnsi="Times New Roman" w:cs="Times New Roman"/>
                <w:color w:val="000000"/>
                <w:sz w:val="20"/>
                <w:szCs w:val="20"/>
                <w:lang w:eastAsia="en-GB"/>
              </w:rPr>
              <w:t xml:space="preserve"> the R2 coefficient</w:t>
            </w:r>
            <w:r w:rsidR="00AF05AE">
              <w:rPr>
                <w:rFonts w:ascii="Times New Roman" w:eastAsia="Times New Roman" w:hAnsi="Times New Roman" w:cs="Times New Roman"/>
                <w:color w:val="000000"/>
                <w:sz w:val="20"/>
                <w:szCs w:val="20"/>
                <w:lang w:eastAsia="en-GB"/>
              </w:rPr>
              <w:t xml:space="preserve"> from the same regression</w:t>
            </w:r>
            <w:r>
              <w:rPr>
                <w:rFonts w:ascii="Times New Roman" w:eastAsia="Times New Roman" w:hAnsi="Times New Roman" w:cs="Times New Roman"/>
                <w:color w:val="000000"/>
                <w:sz w:val="20"/>
                <w:szCs w:val="20"/>
                <w:lang w:eastAsia="en-GB"/>
              </w:rPr>
              <w:t xml:space="preserve"> is used.</w:t>
            </w:r>
          </w:p>
        </w:tc>
      </w:tr>
      <w:tr w:rsidR="00A57456" w:rsidRPr="003564DE" w14:paraId="3049812A" w14:textId="77777777" w:rsidTr="001A645C">
        <w:trPr>
          <w:trHeight w:val="363"/>
          <w:jc w:val="center"/>
        </w:trPr>
        <w:tc>
          <w:tcPr>
            <w:tcW w:w="1413" w:type="dxa"/>
          </w:tcPr>
          <w:p w14:paraId="68F50A7F" w14:textId="77777777" w:rsidR="00A57456" w:rsidRDefault="00A57456" w:rsidP="005276C1">
            <w:pPr>
              <w:spacing w:after="0" w:line="240" w:lineRule="auto"/>
              <w:rPr>
                <w:rFonts w:ascii="Times New Roman" w:eastAsia="Times New Roman" w:hAnsi="Times New Roman" w:cs="Times New Roman"/>
                <w:color w:val="000000"/>
                <w:sz w:val="20"/>
                <w:szCs w:val="20"/>
                <w:vertAlign w:val="superscript"/>
                <w:lang w:eastAsia="en-GB"/>
              </w:rPr>
            </w:pPr>
            <w:r w:rsidRPr="003F26A3">
              <w:rPr>
                <w:rFonts w:ascii="Times New Roman" w:eastAsia="Times New Roman" w:hAnsi="Times New Roman" w:cs="Times New Roman"/>
                <w:color w:val="000000"/>
                <w:sz w:val="20"/>
                <w:szCs w:val="20"/>
                <w:lang w:eastAsia="en-GB"/>
              </w:rPr>
              <w:t>|ACC|</w:t>
            </w:r>
          </w:p>
          <w:p w14:paraId="1BA0A579" w14:textId="77777777" w:rsidR="00A57456" w:rsidRDefault="00A57456" w:rsidP="005276C1">
            <w:pPr>
              <w:spacing w:after="0" w:line="240" w:lineRule="auto"/>
              <w:rPr>
                <w:rFonts w:ascii="Times New Roman" w:eastAsia="Calibri" w:hAnsi="Times New Roman" w:cs="Times New Roman"/>
                <w:i/>
                <w:iCs/>
                <w:sz w:val="20"/>
                <w:szCs w:val="20"/>
              </w:rPr>
            </w:pPr>
          </w:p>
          <w:p w14:paraId="7CF8C5AE" w14:textId="77777777" w:rsidR="00A57456" w:rsidRPr="00FF7ABB" w:rsidRDefault="00A57456" w:rsidP="005276C1">
            <w:pPr>
              <w:rPr>
                <w:rFonts w:ascii="Times New Roman" w:eastAsia="Calibri" w:hAnsi="Times New Roman" w:cs="Times New Roman"/>
                <w:sz w:val="20"/>
                <w:szCs w:val="20"/>
              </w:rPr>
            </w:pPr>
          </w:p>
          <w:p w14:paraId="6EC4A349" w14:textId="77777777" w:rsidR="00A57456" w:rsidRDefault="00A57456" w:rsidP="005276C1">
            <w:pPr>
              <w:spacing w:after="0" w:line="240" w:lineRule="auto"/>
              <w:rPr>
                <w:rFonts w:ascii="Times New Roman" w:eastAsia="Times New Roman" w:hAnsi="Times New Roman" w:cs="Times New Roman"/>
                <w:color w:val="000000"/>
                <w:sz w:val="20"/>
                <w:szCs w:val="20"/>
                <w:lang w:eastAsia="en-GB"/>
              </w:rPr>
            </w:pPr>
          </w:p>
          <w:p w14:paraId="08B92A20" w14:textId="77777777" w:rsidR="00A57456" w:rsidRDefault="00A57456" w:rsidP="005276C1">
            <w:pPr>
              <w:spacing w:after="0" w:line="240" w:lineRule="auto"/>
              <w:rPr>
                <w:rFonts w:ascii="Times New Roman" w:eastAsia="Calibri" w:hAnsi="Times New Roman" w:cs="Times New Roman"/>
                <w:b/>
                <w:bCs/>
                <w:i/>
                <w:color w:val="000000"/>
                <w:sz w:val="20"/>
                <w:szCs w:val="20"/>
                <w:lang w:val="en-US"/>
              </w:rPr>
            </w:pPr>
            <w:proofErr w:type="spellStart"/>
            <w:r w:rsidRPr="003F26A3">
              <w:rPr>
                <w:rFonts w:ascii="Times New Roman" w:eastAsia="Times New Roman" w:hAnsi="Times New Roman" w:cs="Times New Roman"/>
                <w:color w:val="000000"/>
                <w:sz w:val="20"/>
                <w:szCs w:val="20"/>
                <w:lang w:eastAsia="en-GB"/>
              </w:rPr>
              <w:t>EarnQual</w:t>
            </w:r>
            <w:proofErr w:type="spellEnd"/>
          </w:p>
          <w:p w14:paraId="4291B1D1" w14:textId="77777777" w:rsidR="00A57456" w:rsidRPr="00FF7ABB" w:rsidRDefault="00A57456" w:rsidP="005276C1">
            <w:pPr>
              <w:jc w:val="center"/>
              <w:rPr>
                <w:rFonts w:ascii="Times New Roman" w:eastAsia="Calibri" w:hAnsi="Times New Roman" w:cs="Times New Roman"/>
                <w:sz w:val="20"/>
                <w:szCs w:val="20"/>
              </w:rPr>
            </w:pPr>
          </w:p>
        </w:tc>
        <w:tc>
          <w:tcPr>
            <w:tcW w:w="7968" w:type="dxa"/>
          </w:tcPr>
          <w:p w14:paraId="6A1EFA97" w14:textId="40B3AC69" w:rsidR="00A57456" w:rsidRPr="002202E9" w:rsidRDefault="00A57456" w:rsidP="002202E9">
            <w:pPr>
              <w:spacing w:line="240" w:lineRule="auto"/>
              <w:jc w:val="both"/>
              <w:rPr>
                <w:rFonts w:ascii="Times New Roman" w:hAnsi="Times New Roman" w:cs="Times New Roman"/>
                <w:sz w:val="20"/>
                <w:szCs w:val="20"/>
              </w:rPr>
            </w:pPr>
            <w:r w:rsidRPr="009F175A">
              <w:rPr>
                <w:rFonts w:ascii="Times New Roman" w:hAnsi="Times New Roman" w:cs="Times New Roman"/>
                <w:sz w:val="20"/>
                <w:szCs w:val="20"/>
              </w:rPr>
              <w:t>Absolute accruals scaled by average total assets (</w:t>
            </w:r>
            <w:proofErr w:type="spellStart"/>
            <w:r w:rsidRPr="009F175A">
              <w:rPr>
                <w:rFonts w:ascii="Times New Roman" w:hAnsi="Times New Roman" w:cs="Times New Roman"/>
                <w:sz w:val="20"/>
                <w:szCs w:val="20"/>
              </w:rPr>
              <w:t>Compustat</w:t>
            </w:r>
            <w:proofErr w:type="spellEnd"/>
            <w:r w:rsidRPr="009F175A">
              <w:rPr>
                <w:rFonts w:ascii="Times New Roman" w:hAnsi="Times New Roman" w:cs="Times New Roman"/>
                <w:sz w:val="20"/>
                <w:szCs w:val="20"/>
              </w:rPr>
              <w:t xml:space="preserve"> item </w:t>
            </w:r>
            <w:r w:rsidRPr="009F175A">
              <w:rPr>
                <w:rFonts w:ascii="Times New Roman" w:hAnsi="Times New Roman" w:cs="Times New Roman"/>
                <w:i/>
                <w:iCs/>
                <w:sz w:val="20"/>
                <w:szCs w:val="20"/>
              </w:rPr>
              <w:t>at</w:t>
            </w:r>
            <w:r w:rsidRPr="009F175A">
              <w:rPr>
                <w:rFonts w:ascii="Times New Roman" w:hAnsi="Times New Roman" w:cs="Times New Roman"/>
                <w:sz w:val="20"/>
                <w:szCs w:val="20"/>
              </w:rPr>
              <w:t xml:space="preserve">). Accruals is the </w:t>
            </w:r>
            <w:r w:rsidRPr="009F175A">
              <w:rPr>
                <w:rFonts w:ascii="Times New Roman" w:hAnsi="Times New Roman" w:cs="Times New Roman"/>
                <w:i/>
                <w:iCs/>
                <w:sz w:val="20"/>
                <w:szCs w:val="20"/>
              </w:rPr>
              <w:t>change</w:t>
            </w:r>
            <w:r w:rsidRPr="009F175A">
              <w:rPr>
                <w:rFonts w:ascii="Times New Roman" w:hAnsi="Times New Roman" w:cs="Times New Roman"/>
                <w:sz w:val="20"/>
                <w:szCs w:val="20"/>
              </w:rPr>
              <w:t xml:space="preserve"> in working capital minus depreciation (</w:t>
            </w:r>
            <w:proofErr w:type="spellStart"/>
            <w:r w:rsidRPr="009F175A">
              <w:rPr>
                <w:rFonts w:ascii="Times New Roman" w:hAnsi="Times New Roman" w:cs="Times New Roman"/>
                <w:sz w:val="20"/>
                <w:szCs w:val="20"/>
              </w:rPr>
              <w:t>Compustat</w:t>
            </w:r>
            <w:proofErr w:type="spellEnd"/>
            <w:r w:rsidRPr="009F175A">
              <w:rPr>
                <w:rFonts w:ascii="Times New Roman" w:hAnsi="Times New Roman" w:cs="Times New Roman"/>
                <w:sz w:val="20"/>
                <w:szCs w:val="20"/>
              </w:rPr>
              <w:t xml:space="preserve"> item </w:t>
            </w:r>
            <w:proofErr w:type="spellStart"/>
            <w:r w:rsidRPr="009F175A">
              <w:rPr>
                <w:rFonts w:ascii="Times New Roman" w:hAnsi="Times New Roman" w:cs="Times New Roman"/>
                <w:i/>
                <w:iCs/>
                <w:sz w:val="20"/>
                <w:szCs w:val="20"/>
              </w:rPr>
              <w:t>dp</w:t>
            </w:r>
            <w:proofErr w:type="spellEnd"/>
            <w:r w:rsidRPr="009F175A">
              <w:rPr>
                <w:rFonts w:ascii="Times New Roman" w:hAnsi="Times New Roman" w:cs="Times New Roman"/>
                <w:sz w:val="20"/>
                <w:szCs w:val="20"/>
              </w:rPr>
              <w:t>). Working capital is current assets (</w:t>
            </w:r>
            <w:proofErr w:type="spellStart"/>
            <w:r w:rsidRPr="009F175A">
              <w:rPr>
                <w:rFonts w:ascii="Times New Roman" w:hAnsi="Times New Roman" w:cs="Times New Roman"/>
                <w:sz w:val="20"/>
                <w:szCs w:val="20"/>
              </w:rPr>
              <w:t>Compustat</w:t>
            </w:r>
            <w:proofErr w:type="spellEnd"/>
            <w:r w:rsidRPr="009F175A">
              <w:rPr>
                <w:rFonts w:ascii="Times New Roman" w:hAnsi="Times New Roman" w:cs="Times New Roman"/>
                <w:sz w:val="20"/>
                <w:szCs w:val="20"/>
              </w:rPr>
              <w:t xml:space="preserve"> item </w:t>
            </w:r>
            <w:r w:rsidRPr="009F175A">
              <w:rPr>
                <w:rFonts w:ascii="Times New Roman" w:hAnsi="Times New Roman" w:cs="Times New Roman"/>
                <w:i/>
                <w:iCs/>
                <w:sz w:val="20"/>
                <w:szCs w:val="20"/>
              </w:rPr>
              <w:t>act</w:t>
            </w:r>
            <w:r w:rsidRPr="009F175A">
              <w:rPr>
                <w:rFonts w:ascii="Times New Roman" w:hAnsi="Times New Roman" w:cs="Times New Roman"/>
                <w:sz w:val="20"/>
                <w:szCs w:val="20"/>
              </w:rPr>
              <w:t>) minus cash and cash equivalent (</w:t>
            </w:r>
            <w:proofErr w:type="spellStart"/>
            <w:r w:rsidRPr="009F175A">
              <w:rPr>
                <w:rFonts w:ascii="Times New Roman" w:hAnsi="Times New Roman" w:cs="Times New Roman"/>
                <w:sz w:val="20"/>
                <w:szCs w:val="20"/>
              </w:rPr>
              <w:t>Compustat</w:t>
            </w:r>
            <w:proofErr w:type="spellEnd"/>
            <w:r w:rsidRPr="009F175A">
              <w:rPr>
                <w:rFonts w:ascii="Times New Roman" w:hAnsi="Times New Roman" w:cs="Times New Roman"/>
                <w:sz w:val="20"/>
                <w:szCs w:val="20"/>
              </w:rPr>
              <w:t xml:space="preserve"> item </w:t>
            </w:r>
            <w:proofErr w:type="spellStart"/>
            <w:r w:rsidRPr="009F175A">
              <w:rPr>
                <w:rFonts w:ascii="Times New Roman" w:hAnsi="Times New Roman" w:cs="Times New Roman"/>
                <w:i/>
                <w:iCs/>
                <w:sz w:val="20"/>
                <w:szCs w:val="20"/>
              </w:rPr>
              <w:t>che</w:t>
            </w:r>
            <w:proofErr w:type="spellEnd"/>
            <w:r w:rsidRPr="009F175A">
              <w:rPr>
                <w:rFonts w:ascii="Times New Roman" w:hAnsi="Times New Roman" w:cs="Times New Roman"/>
                <w:sz w:val="20"/>
                <w:szCs w:val="20"/>
              </w:rPr>
              <w:t>) minus current liabilities (</w:t>
            </w:r>
            <w:proofErr w:type="spellStart"/>
            <w:r w:rsidRPr="009F175A">
              <w:rPr>
                <w:rFonts w:ascii="Times New Roman" w:hAnsi="Times New Roman" w:cs="Times New Roman"/>
                <w:sz w:val="20"/>
                <w:szCs w:val="20"/>
              </w:rPr>
              <w:t>Compustat</w:t>
            </w:r>
            <w:proofErr w:type="spellEnd"/>
            <w:r w:rsidRPr="009F175A">
              <w:rPr>
                <w:rFonts w:ascii="Times New Roman" w:hAnsi="Times New Roman" w:cs="Times New Roman"/>
                <w:sz w:val="20"/>
                <w:szCs w:val="20"/>
              </w:rPr>
              <w:t xml:space="preserve"> item </w:t>
            </w:r>
            <w:proofErr w:type="spellStart"/>
            <w:r w:rsidRPr="009F175A">
              <w:rPr>
                <w:rFonts w:ascii="Times New Roman" w:hAnsi="Times New Roman" w:cs="Times New Roman"/>
                <w:i/>
                <w:iCs/>
                <w:sz w:val="20"/>
                <w:szCs w:val="20"/>
              </w:rPr>
              <w:t>lct</w:t>
            </w:r>
            <w:proofErr w:type="spellEnd"/>
            <w:r w:rsidRPr="009F175A">
              <w:rPr>
                <w:rFonts w:ascii="Times New Roman" w:hAnsi="Times New Roman" w:cs="Times New Roman"/>
                <w:sz w:val="20"/>
                <w:szCs w:val="20"/>
              </w:rPr>
              <w:t>) plus short-term debt (</w:t>
            </w:r>
            <w:proofErr w:type="spellStart"/>
            <w:r w:rsidRPr="009F175A">
              <w:rPr>
                <w:rFonts w:ascii="Times New Roman" w:hAnsi="Times New Roman" w:cs="Times New Roman"/>
                <w:sz w:val="20"/>
                <w:szCs w:val="20"/>
              </w:rPr>
              <w:t>Compustat</w:t>
            </w:r>
            <w:proofErr w:type="spellEnd"/>
            <w:r w:rsidRPr="009F175A">
              <w:rPr>
                <w:rFonts w:ascii="Times New Roman" w:hAnsi="Times New Roman" w:cs="Times New Roman"/>
                <w:sz w:val="20"/>
                <w:szCs w:val="20"/>
              </w:rPr>
              <w:t xml:space="preserve"> item </w:t>
            </w:r>
            <w:proofErr w:type="spellStart"/>
            <w:r w:rsidRPr="009F175A">
              <w:rPr>
                <w:rFonts w:ascii="Times New Roman" w:hAnsi="Times New Roman" w:cs="Times New Roman"/>
                <w:i/>
                <w:iCs/>
                <w:sz w:val="20"/>
                <w:szCs w:val="20"/>
              </w:rPr>
              <w:t>dlc</w:t>
            </w:r>
            <w:proofErr w:type="spellEnd"/>
            <w:r w:rsidRPr="009F175A">
              <w:rPr>
                <w:rFonts w:ascii="Times New Roman" w:hAnsi="Times New Roman" w:cs="Times New Roman"/>
                <w:sz w:val="20"/>
                <w:szCs w:val="20"/>
              </w:rPr>
              <w:t>).</w:t>
            </w:r>
          </w:p>
          <w:p w14:paraId="7618CBA5" w14:textId="42F5CA69" w:rsidR="00A57456" w:rsidRPr="002202E9" w:rsidRDefault="00A57456" w:rsidP="002202E9">
            <w:pPr>
              <w:spacing w:line="240" w:lineRule="auto"/>
              <w:jc w:val="both"/>
              <w:rPr>
                <w:rFonts w:ascii="Times New Roman" w:hAnsi="Times New Roman" w:cs="Times New Roman"/>
                <w:sz w:val="20"/>
                <w:szCs w:val="20"/>
              </w:rPr>
            </w:pPr>
            <w:r>
              <w:rPr>
                <w:rFonts w:ascii="Times New Roman" w:hAnsi="Times New Roman" w:cs="Times New Roman"/>
                <w:sz w:val="20"/>
                <w:szCs w:val="20"/>
                <w:lang w:val="en-US"/>
              </w:rPr>
              <w:t>S</w:t>
            </w:r>
            <w:r w:rsidRPr="009F175A">
              <w:rPr>
                <w:rFonts w:ascii="Times New Roman" w:hAnsi="Times New Roman" w:cs="Times New Roman"/>
                <w:sz w:val="20"/>
                <w:szCs w:val="20"/>
                <w:lang w:val="en-US"/>
              </w:rPr>
              <w:t xml:space="preserve">tandard deviation of residuals from the following regression: </w:t>
            </w:r>
            <w:proofErr w:type="spellStart"/>
            <w:r w:rsidRPr="009F175A">
              <w:rPr>
                <w:rFonts w:ascii="Times New Roman" w:hAnsi="Times New Roman" w:cs="Times New Roman"/>
                <w:sz w:val="20"/>
                <w:szCs w:val="20"/>
                <w:lang w:val="en-US"/>
              </w:rPr>
              <w:t>Accruals</w:t>
            </w:r>
            <w:r w:rsidRPr="009F175A">
              <w:rPr>
                <w:rFonts w:ascii="Times New Roman" w:hAnsi="Times New Roman" w:cs="Times New Roman"/>
                <w:sz w:val="20"/>
                <w:szCs w:val="20"/>
                <w:vertAlign w:val="subscript"/>
                <w:lang w:val="en-US"/>
              </w:rPr>
              <w:t>t</w:t>
            </w:r>
            <w:proofErr w:type="spellEnd"/>
            <w:r w:rsidRPr="009F175A">
              <w:rPr>
                <w:rFonts w:ascii="Times New Roman" w:hAnsi="Times New Roman" w:cs="Times New Roman"/>
                <w:sz w:val="20"/>
                <w:szCs w:val="20"/>
                <w:lang w:val="en-US"/>
              </w:rPr>
              <w:t xml:space="preserve"> = </w:t>
            </w:r>
            <w:r w:rsidRPr="009F175A">
              <w:rPr>
                <w:rFonts w:ascii="Times New Roman" w:hAnsi="Times New Roman" w:cs="Times New Roman"/>
                <w:sz w:val="20"/>
                <w:szCs w:val="20"/>
                <w:lang w:val="el-GR"/>
              </w:rPr>
              <w:t>δ</w:t>
            </w:r>
            <w:r w:rsidRPr="009F175A">
              <w:rPr>
                <w:rFonts w:ascii="Times New Roman" w:hAnsi="Times New Roman" w:cs="Times New Roman"/>
                <w:sz w:val="20"/>
                <w:szCs w:val="20"/>
                <w:vertAlign w:val="subscript"/>
              </w:rPr>
              <w:t>0</w:t>
            </w:r>
            <w:r w:rsidRPr="009F175A">
              <w:rPr>
                <w:rFonts w:ascii="Times New Roman" w:hAnsi="Times New Roman" w:cs="Times New Roman"/>
                <w:sz w:val="20"/>
                <w:szCs w:val="20"/>
              </w:rPr>
              <w:t xml:space="preserve"> + </w:t>
            </w:r>
            <w:r w:rsidRPr="009F175A">
              <w:rPr>
                <w:rFonts w:ascii="Times New Roman" w:hAnsi="Times New Roman" w:cs="Times New Roman"/>
                <w:sz w:val="20"/>
                <w:szCs w:val="20"/>
                <w:lang w:val="el-GR"/>
              </w:rPr>
              <w:t>δ</w:t>
            </w:r>
            <w:r w:rsidRPr="009F175A">
              <w:rPr>
                <w:rFonts w:ascii="Times New Roman" w:hAnsi="Times New Roman" w:cs="Times New Roman"/>
                <w:sz w:val="20"/>
                <w:szCs w:val="20"/>
                <w:vertAlign w:val="subscript"/>
              </w:rPr>
              <w:t>1</w:t>
            </w:r>
            <w:r w:rsidRPr="009F175A">
              <w:rPr>
                <w:rFonts w:ascii="Times New Roman" w:hAnsi="Times New Roman" w:cs="Times New Roman"/>
                <w:sz w:val="20"/>
                <w:szCs w:val="20"/>
                <w:lang w:val="el-GR"/>
              </w:rPr>
              <w:t>Δ</w:t>
            </w:r>
            <w:r w:rsidRPr="009F175A">
              <w:rPr>
                <w:rFonts w:ascii="Times New Roman" w:hAnsi="Times New Roman" w:cs="Times New Roman"/>
                <w:sz w:val="20"/>
                <w:szCs w:val="20"/>
              </w:rPr>
              <w:t>REV</w:t>
            </w:r>
            <w:r w:rsidRPr="009F175A">
              <w:rPr>
                <w:rFonts w:ascii="Times New Roman" w:hAnsi="Times New Roman" w:cs="Times New Roman"/>
                <w:sz w:val="20"/>
                <w:szCs w:val="20"/>
                <w:vertAlign w:val="subscript"/>
                <w:lang w:val="en-US"/>
              </w:rPr>
              <w:t>t</w:t>
            </w:r>
            <w:r w:rsidRPr="009F175A">
              <w:rPr>
                <w:rFonts w:ascii="Times New Roman" w:hAnsi="Times New Roman" w:cs="Times New Roman"/>
                <w:sz w:val="20"/>
                <w:szCs w:val="20"/>
              </w:rPr>
              <w:t xml:space="preserve"> + </w:t>
            </w:r>
            <w:r w:rsidRPr="009F175A">
              <w:rPr>
                <w:rFonts w:ascii="Times New Roman" w:hAnsi="Times New Roman" w:cs="Times New Roman"/>
                <w:sz w:val="20"/>
                <w:szCs w:val="20"/>
                <w:lang w:val="el-GR"/>
              </w:rPr>
              <w:t>δ</w:t>
            </w:r>
            <w:r w:rsidRPr="009F175A">
              <w:rPr>
                <w:rFonts w:ascii="Times New Roman" w:hAnsi="Times New Roman" w:cs="Times New Roman"/>
                <w:sz w:val="20"/>
                <w:szCs w:val="20"/>
                <w:vertAlign w:val="subscript"/>
              </w:rPr>
              <w:t>2</w:t>
            </w:r>
            <w:r w:rsidRPr="009F175A">
              <w:rPr>
                <w:rFonts w:ascii="Times New Roman" w:hAnsi="Times New Roman" w:cs="Times New Roman"/>
                <w:sz w:val="20"/>
                <w:szCs w:val="20"/>
              </w:rPr>
              <w:t>GPPE</w:t>
            </w:r>
            <w:r w:rsidRPr="009F175A">
              <w:rPr>
                <w:rFonts w:ascii="Times New Roman" w:hAnsi="Times New Roman" w:cs="Times New Roman"/>
                <w:sz w:val="20"/>
                <w:szCs w:val="20"/>
                <w:vertAlign w:val="subscript"/>
              </w:rPr>
              <w:t>t</w:t>
            </w:r>
            <w:r w:rsidRPr="009F175A">
              <w:rPr>
                <w:rFonts w:ascii="Times New Roman" w:hAnsi="Times New Roman" w:cs="Times New Roman"/>
                <w:sz w:val="20"/>
                <w:szCs w:val="20"/>
              </w:rPr>
              <w:t xml:space="preserve"> + </w:t>
            </w:r>
            <w:r w:rsidRPr="009F175A">
              <w:rPr>
                <w:rFonts w:ascii="Times New Roman" w:hAnsi="Times New Roman" w:cs="Times New Roman"/>
                <w:sz w:val="20"/>
                <w:szCs w:val="20"/>
                <w:lang w:val="el-GR"/>
              </w:rPr>
              <w:t>δ</w:t>
            </w:r>
            <w:r w:rsidRPr="009F175A">
              <w:rPr>
                <w:rFonts w:ascii="Times New Roman" w:hAnsi="Times New Roman" w:cs="Times New Roman"/>
                <w:sz w:val="20"/>
                <w:szCs w:val="20"/>
                <w:vertAlign w:val="subscript"/>
              </w:rPr>
              <w:t>3</w:t>
            </w:r>
            <w:r w:rsidRPr="009F175A">
              <w:rPr>
                <w:rFonts w:ascii="Times New Roman" w:hAnsi="Times New Roman" w:cs="Times New Roman"/>
                <w:sz w:val="20"/>
                <w:szCs w:val="20"/>
              </w:rPr>
              <w:t>CashFlows</w:t>
            </w:r>
            <w:r w:rsidRPr="009F175A">
              <w:rPr>
                <w:rFonts w:ascii="Times New Roman" w:hAnsi="Times New Roman" w:cs="Times New Roman"/>
                <w:sz w:val="20"/>
                <w:szCs w:val="20"/>
                <w:vertAlign w:val="subscript"/>
              </w:rPr>
              <w:t>t-1</w:t>
            </w:r>
            <w:r w:rsidRPr="009F175A">
              <w:rPr>
                <w:rFonts w:ascii="Times New Roman" w:hAnsi="Times New Roman" w:cs="Times New Roman"/>
                <w:sz w:val="20"/>
                <w:szCs w:val="20"/>
              </w:rPr>
              <w:t xml:space="preserve"> + </w:t>
            </w:r>
            <w:r w:rsidRPr="009F175A">
              <w:rPr>
                <w:rFonts w:ascii="Times New Roman" w:hAnsi="Times New Roman" w:cs="Times New Roman"/>
                <w:sz w:val="20"/>
                <w:szCs w:val="20"/>
                <w:lang w:val="el-GR"/>
              </w:rPr>
              <w:t>δ</w:t>
            </w:r>
            <w:r w:rsidRPr="009F175A">
              <w:rPr>
                <w:rFonts w:ascii="Times New Roman" w:hAnsi="Times New Roman" w:cs="Times New Roman"/>
                <w:sz w:val="20"/>
                <w:szCs w:val="20"/>
                <w:vertAlign w:val="subscript"/>
              </w:rPr>
              <w:t>4</w:t>
            </w:r>
            <w:r w:rsidRPr="009F175A">
              <w:rPr>
                <w:rFonts w:ascii="Times New Roman" w:hAnsi="Times New Roman" w:cs="Times New Roman"/>
                <w:sz w:val="20"/>
                <w:szCs w:val="20"/>
              </w:rPr>
              <w:t>CashFlows</w:t>
            </w:r>
            <w:r w:rsidRPr="009F175A">
              <w:rPr>
                <w:rFonts w:ascii="Times New Roman" w:hAnsi="Times New Roman" w:cs="Times New Roman"/>
                <w:sz w:val="20"/>
                <w:szCs w:val="20"/>
                <w:vertAlign w:val="subscript"/>
              </w:rPr>
              <w:t>t</w:t>
            </w:r>
            <w:r w:rsidRPr="009F175A">
              <w:rPr>
                <w:rFonts w:ascii="Times New Roman" w:hAnsi="Times New Roman" w:cs="Times New Roman"/>
                <w:sz w:val="20"/>
                <w:szCs w:val="20"/>
              </w:rPr>
              <w:t xml:space="preserve"> + </w:t>
            </w:r>
            <w:r w:rsidRPr="009F175A">
              <w:rPr>
                <w:rFonts w:ascii="Times New Roman" w:hAnsi="Times New Roman" w:cs="Times New Roman"/>
                <w:sz w:val="20"/>
                <w:szCs w:val="20"/>
                <w:lang w:val="el-GR"/>
              </w:rPr>
              <w:t>δ</w:t>
            </w:r>
            <w:r w:rsidRPr="009F175A">
              <w:rPr>
                <w:rFonts w:ascii="Times New Roman" w:hAnsi="Times New Roman" w:cs="Times New Roman"/>
                <w:sz w:val="20"/>
                <w:szCs w:val="20"/>
                <w:vertAlign w:val="subscript"/>
              </w:rPr>
              <w:t>5</w:t>
            </w:r>
            <w:r w:rsidRPr="009F175A">
              <w:rPr>
                <w:rFonts w:ascii="Times New Roman" w:hAnsi="Times New Roman" w:cs="Times New Roman"/>
                <w:sz w:val="20"/>
                <w:szCs w:val="20"/>
              </w:rPr>
              <w:t>CashFlows</w:t>
            </w:r>
            <w:r w:rsidRPr="009F175A">
              <w:rPr>
                <w:rFonts w:ascii="Times New Roman" w:hAnsi="Times New Roman" w:cs="Times New Roman"/>
                <w:sz w:val="20"/>
                <w:szCs w:val="20"/>
                <w:vertAlign w:val="subscript"/>
              </w:rPr>
              <w:t xml:space="preserve">t+1 </w:t>
            </w:r>
            <w:r w:rsidRPr="009F175A">
              <w:rPr>
                <w:rFonts w:ascii="Times New Roman" w:hAnsi="Times New Roman" w:cs="Times New Roman"/>
                <w:sz w:val="20"/>
                <w:szCs w:val="20"/>
              </w:rPr>
              <w:t xml:space="preserve">+ </w:t>
            </w:r>
            <w:r w:rsidRPr="009F175A">
              <w:rPr>
                <w:rFonts w:ascii="Times New Roman" w:hAnsi="Times New Roman" w:cs="Times New Roman"/>
                <w:sz w:val="20"/>
                <w:szCs w:val="20"/>
                <w:lang w:val="el-GR"/>
              </w:rPr>
              <w:t>ε</w:t>
            </w:r>
            <w:r w:rsidRPr="009F175A">
              <w:rPr>
                <w:rFonts w:ascii="Times New Roman" w:hAnsi="Times New Roman" w:cs="Times New Roman"/>
                <w:sz w:val="20"/>
                <w:szCs w:val="20"/>
                <w:vertAlign w:val="subscript"/>
                <w:lang w:val="en-US"/>
              </w:rPr>
              <w:t>t</w:t>
            </w:r>
            <w:r w:rsidRPr="009F175A">
              <w:rPr>
                <w:rFonts w:ascii="Times New Roman" w:hAnsi="Times New Roman" w:cs="Times New Roman"/>
                <w:sz w:val="20"/>
                <w:szCs w:val="20"/>
              </w:rPr>
              <w:t xml:space="preserve">. The regression is estimated by </w:t>
            </w:r>
            <w:r w:rsidRPr="009F175A">
              <w:rPr>
                <w:rFonts w:ascii="Times New Roman" w:eastAsia="Times New Roman" w:hAnsi="Times New Roman" w:cs="Times New Roman"/>
                <w:sz w:val="20"/>
                <w:szCs w:val="20"/>
                <w:lang w:val="en-US" w:eastAsia="en-GB"/>
              </w:rPr>
              <w:t>Fama</w:t>
            </w:r>
            <w:r w:rsidR="00E046CA">
              <w:rPr>
                <w:rFonts w:ascii="Times New Roman" w:eastAsia="Times New Roman" w:hAnsi="Times New Roman" w:cs="Times New Roman"/>
                <w:sz w:val="20"/>
                <w:szCs w:val="20"/>
                <w:lang w:val="en-US" w:eastAsia="en-GB"/>
              </w:rPr>
              <w:t>-</w:t>
            </w:r>
            <w:r w:rsidRPr="009F175A">
              <w:rPr>
                <w:rFonts w:ascii="Times New Roman" w:eastAsia="Times New Roman" w:hAnsi="Times New Roman" w:cs="Times New Roman"/>
                <w:sz w:val="20"/>
                <w:szCs w:val="20"/>
                <w:lang w:val="en-US" w:eastAsia="en-GB"/>
              </w:rPr>
              <w:t>French 12 industry-year</w:t>
            </w:r>
            <w:r w:rsidR="00E046CA">
              <w:rPr>
                <w:rFonts w:ascii="Times New Roman" w:eastAsia="Times New Roman" w:hAnsi="Times New Roman" w:cs="Times New Roman"/>
                <w:sz w:val="20"/>
                <w:szCs w:val="20"/>
                <w:lang w:val="en-US" w:eastAsia="en-GB"/>
              </w:rPr>
              <w:t>s</w:t>
            </w:r>
            <w:r w:rsidR="0044790C">
              <w:rPr>
                <w:rFonts w:ascii="Times New Roman" w:hAnsi="Times New Roman" w:cs="Times New Roman"/>
                <w:sz w:val="20"/>
                <w:szCs w:val="20"/>
              </w:rPr>
              <w:t xml:space="preserve"> (min. 20 </w:t>
            </w:r>
            <w:r w:rsidRPr="009F175A">
              <w:rPr>
                <w:rFonts w:ascii="Times New Roman" w:hAnsi="Times New Roman" w:cs="Times New Roman"/>
                <w:sz w:val="20"/>
                <w:szCs w:val="20"/>
              </w:rPr>
              <w:t>obs</w:t>
            </w:r>
            <w:r w:rsidR="0044790C">
              <w:rPr>
                <w:rFonts w:ascii="Times New Roman" w:hAnsi="Times New Roman" w:cs="Times New Roman"/>
                <w:sz w:val="20"/>
                <w:szCs w:val="20"/>
              </w:rPr>
              <w:t>.)</w:t>
            </w:r>
            <w:r w:rsidRPr="009F175A">
              <w:rPr>
                <w:rFonts w:ascii="Times New Roman" w:hAnsi="Times New Roman" w:cs="Times New Roman"/>
                <w:sz w:val="20"/>
                <w:szCs w:val="20"/>
              </w:rPr>
              <w:t xml:space="preserve"> The standard deviation of residuals is calculated over a period of five years. GPPE is gross property, plant and equipment (</w:t>
            </w:r>
            <w:proofErr w:type="spellStart"/>
            <w:r w:rsidRPr="009F175A">
              <w:rPr>
                <w:rFonts w:ascii="Times New Roman" w:eastAsia="Times New Roman" w:hAnsi="Times New Roman" w:cs="Times New Roman"/>
                <w:sz w:val="20"/>
                <w:szCs w:val="20"/>
                <w:lang w:val="en-US" w:eastAsia="en-GB"/>
              </w:rPr>
              <w:t>Compustat</w:t>
            </w:r>
            <w:proofErr w:type="spellEnd"/>
            <w:r w:rsidRPr="009F175A">
              <w:rPr>
                <w:rFonts w:ascii="Times New Roman" w:eastAsia="Times New Roman" w:hAnsi="Times New Roman" w:cs="Times New Roman"/>
                <w:sz w:val="20"/>
                <w:szCs w:val="20"/>
                <w:lang w:val="en-US" w:eastAsia="en-GB"/>
              </w:rPr>
              <w:t xml:space="preserve"> item </w:t>
            </w:r>
            <w:proofErr w:type="spellStart"/>
            <w:r w:rsidRPr="009F175A">
              <w:rPr>
                <w:rFonts w:ascii="Times New Roman" w:eastAsia="Times New Roman" w:hAnsi="Times New Roman" w:cs="Times New Roman"/>
                <w:i/>
                <w:iCs/>
                <w:sz w:val="20"/>
                <w:szCs w:val="20"/>
                <w:lang w:val="en-US" w:eastAsia="en-GB"/>
              </w:rPr>
              <w:t>ppegt</w:t>
            </w:r>
            <w:proofErr w:type="spellEnd"/>
            <w:r w:rsidRPr="009F175A">
              <w:rPr>
                <w:rFonts w:ascii="Times New Roman" w:hAnsi="Times New Roman" w:cs="Times New Roman"/>
                <w:sz w:val="20"/>
                <w:szCs w:val="20"/>
              </w:rPr>
              <w:t xml:space="preserve">). </w:t>
            </w:r>
            <w:r w:rsidRPr="009F175A">
              <w:rPr>
                <w:rFonts w:ascii="Times New Roman" w:hAnsi="Times New Roman" w:cs="Times New Roman"/>
                <w:sz w:val="20"/>
                <w:szCs w:val="20"/>
                <w:lang w:val="el-GR"/>
              </w:rPr>
              <w:t>Δ</w:t>
            </w:r>
            <w:r w:rsidRPr="009F175A">
              <w:rPr>
                <w:rFonts w:ascii="Times New Roman" w:hAnsi="Times New Roman" w:cs="Times New Roman"/>
                <w:sz w:val="20"/>
                <w:szCs w:val="20"/>
              </w:rPr>
              <w:t>REV is the change in revenue (</w:t>
            </w:r>
            <w:proofErr w:type="spellStart"/>
            <w:r w:rsidRPr="009F175A">
              <w:rPr>
                <w:rFonts w:ascii="Times New Roman" w:eastAsia="Times New Roman" w:hAnsi="Times New Roman" w:cs="Times New Roman"/>
                <w:sz w:val="20"/>
                <w:szCs w:val="20"/>
                <w:lang w:val="en-US" w:eastAsia="en-GB"/>
              </w:rPr>
              <w:t>Compustat</w:t>
            </w:r>
            <w:proofErr w:type="spellEnd"/>
            <w:r w:rsidRPr="009F175A">
              <w:rPr>
                <w:rFonts w:ascii="Times New Roman" w:eastAsia="Times New Roman" w:hAnsi="Times New Roman" w:cs="Times New Roman"/>
                <w:sz w:val="20"/>
                <w:szCs w:val="20"/>
                <w:lang w:val="en-US" w:eastAsia="en-GB"/>
              </w:rPr>
              <w:t xml:space="preserve"> item </w:t>
            </w:r>
            <w:r w:rsidRPr="009F175A">
              <w:rPr>
                <w:rFonts w:ascii="Times New Roman" w:eastAsia="Times New Roman" w:hAnsi="Times New Roman" w:cs="Times New Roman"/>
                <w:i/>
                <w:iCs/>
                <w:sz w:val="20"/>
                <w:szCs w:val="20"/>
                <w:lang w:val="en-US" w:eastAsia="en-GB"/>
              </w:rPr>
              <w:t>sale</w:t>
            </w:r>
            <w:r w:rsidRPr="009F175A">
              <w:rPr>
                <w:rFonts w:ascii="Times New Roman" w:hAnsi="Times New Roman" w:cs="Times New Roman"/>
                <w:sz w:val="20"/>
                <w:szCs w:val="20"/>
              </w:rPr>
              <w:t xml:space="preserve">). </w:t>
            </w:r>
            <w:r w:rsidRPr="009F175A">
              <w:rPr>
                <w:rFonts w:ascii="Times New Roman" w:eastAsia="Times New Roman" w:hAnsi="Times New Roman" w:cs="Times New Roman"/>
                <w:sz w:val="20"/>
                <w:szCs w:val="20"/>
                <w:lang w:val="en-US" w:eastAsia="en-GB"/>
              </w:rPr>
              <w:t xml:space="preserve">Accruals is the change in working capital plus change in total tax payable (using </w:t>
            </w:r>
            <w:proofErr w:type="spellStart"/>
            <w:r w:rsidRPr="009F175A">
              <w:rPr>
                <w:rFonts w:ascii="Times New Roman" w:eastAsia="Times New Roman" w:hAnsi="Times New Roman" w:cs="Times New Roman"/>
                <w:sz w:val="20"/>
                <w:szCs w:val="20"/>
                <w:lang w:val="en-US" w:eastAsia="en-GB"/>
              </w:rPr>
              <w:t>Compustat</w:t>
            </w:r>
            <w:proofErr w:type="spellEnd"/>
            <w:r w:rsidRPr="009F175A">
              <w:rPr>
                <w:rFonts w:ascii="Times New Roman" w:eastAsia="Times New Roman" w:hAnsi="Times New Roman" w:cs="Times New Roman"/>
                <w:sz w:val="20"/>
                <w:szCs w:val="20"/>
                <w:lang w:val="en-US" w:eastAsia="en-GB"/>
              </w:rPr>
              <w:t xml:space="preserve"> item </w:t>
            </w:r>
            <w:proofErr w:type="spellStart"/>
            <w:r w:rsidRPr="009F175A">
              <w:rPr>
                <w:rFonts w:ascii="Times New Roman" w:eastAsia="Times New Roman" w:hAnsi="Times New Roman" w:cs="Times New Roman"/>
                <w:i/>
                <w:iCs/>
                <w:sz w:val="20"/>
                <w:szCs w:val="20"/>
                <w:lang w:val="en-US" w:eastAsia="en-GB"/>
              </w:rPr>
              <w:t>txp</w:t>
            </w:r>
            <w:proofErr w:type="spellEnd"/>
            <w:r w:rsidRPr="009F175A">
              <w:rPr>
                <w:rFonts w:ascii="Times New Roman" w:eastAsia="Times New Roman" w:hAnsi="Times New Roman" w:cs="Times New Roman"/>
                <w:sz w:val="20"/>
                <w:szCs w:val="20"/>
                <w:lang w:val="en-US" w:eastAsia="en-GB"/>
              </w:rPr>
              <w:t xml:space="preserve">). Change in working capital is defined the same way as for |ACC| above. </w:t>
            </w:r>
            <w:proofErr w:type="spellStart"/>
            <w:r w:rsidRPr="009F175A">
              <w:rPr>
                <w:rFonts w:ascii="Times New Roman" w:eastAsia="Times New Roman" w:hAnsi="Times New Roman" w:cs="Times New Roman"/>
                <w:sz w:val="20"/>
                <w:szCs w:val="20"/>
                <w:lang w:val="en-US" w:eastAsia="en-GB"/>
              </w:rPr>
              <w:t>Cash</w:t>
            </w:r>
            <w:r>
              <w:rPr>
                <w:rFonts w:ascii="Times New Roman" w:eastAsia="Times New Roman" w:hAnsi="Times New Roman" w:cs="Times New Roman"/>
                <w:sz w:val="20"/>
                <w:szCs w:val="20"/>
                <w:lang w:val="en-US" w:eastAsia="en-GB"/>
              </w:rPr>
              <w:t>F</w:t>
            </w:r>
            <w:r w:rsidRPr="009F175A">
              <w:rPr>
                <w:rFonts w:ascii="Times New Roman" w:eastAsia="Times New Roman" w:hAnsi="Times New Roman" w:cs="Times New Roman"/>
                <w:sz w:val="20"/>
                <w:szCs w:val="20"/>
                <w:lang w:val="en-US" w:eastAsia="en-GB"/>
              </w:rPr>
              <w:t>lows</w:t>
            </w:r>
            <w:proofErr w:type="spellEnd"/>
            <w:r w:rsidRPr="009F175A">
              <w:rPr>
                <w:rFonts w:ascii="Times New Roman" w:eastAsia="Times New Roman" w:hAnsi="Times New Roman" w:cs="Times New Roman"/>
                <w:sz w:val="20"/>
                <w:szCs w:val="20"/>
                <w:lang w:val="en-US" w:eastAsia="en-GB"/>
              </w:rPr>
              <w:t xml:space="preserve"> is </w:t>
            </w:r>
            <w:r w:rsidRPr="009F175A">
              <w:rPr>
                <w:rFonts w:ascii="Times New Roman" w:eastAsia="Calibri" w:hAnsi="Times New Roman" w:cs="Times New Roman"/>
                <w:sz w:val="20"/>
                <w:szCs w:val="20"/>
                <w:lang w:val="en-US"/>
              </w:rPr>
              <w:t>EBITDA (</w:t>
            </w:r>
            <w:proofErr w:type="spellStart"/>
            <w:r w:rsidRPr="009F175A">
              <w:rPr>
                <w:rFonts w:ascii="Times New Roman" w:eastAsia="Calibri" w:hAnsi="Times New Roman" w:cs="Times New Roman"/>
                <w:sz w:val="20"/>
                <w:szCs w:val="20"/>
                <w:lang w:val="en-US"/>
              </w:rPr>
              <w:t>Compustat</w:t>
            </w:r>
            <w:proofErr w:type="spellEnd"/>
            <w:r w:rsidRPr="009F175A">
              <w:rPr>
                <w:rFonts w:ascii="Times New Roman" w:eastAsia="Calibri" w:hAnsi="Times New Roman" w:cs="Times New Roman"/>
                <w:sz w:val="20"/>
                <w:szCs w:val="20"/>
                <w:lang w:val="en-US"/>
              </w:rPr>
              <w:t xml:space="preserve"> item </w:t>
            </w:r>
            <w:proofErr w:type="spellStart"/>
            <w:r w:rsidRPr="009F175A">
              <w:rPr>
                <w:rFonts w:ascii="Times New Roman" w:eastAsia="Calibri" w:hAnsi="Times New Roman" w:cs="Times New Roman"/>
                <w:i/>
                <w:iCs/>
                <w:sz w:val="20"/>
                <w:szCs w:val="20"/>
                <w:lang w:val="en-US"/>
              </w:rPr>
              <w:t>oibdp</w:t>
            </w:r>
            <w:proofErr w:type="spellEnd"/>
            <w:r w:rsidRPr="009F175A">
              <w:rPr>
                <w:rFonts w:ascii="Times New Roman" w:eastAsia="Calibri" w:hAnsi="Times New Roman" w:cs="Times New Roman"/>
                <w:sz w:val="20"/>
                <w:szCs w:val="20"/>
                <w:lang w:val="en-US"/>
              </w:rPr>
              <w:t xml:space="preserve">) minus Accruals. </w:t>
            </w:r>
            <w:r w:rsidRPr="009F175A">
              <w:rPr>
                <w:rFonts w:ascii="Times New Roman" w:hAnsi="Times New Roman" w:cs="Times New Roman"/>
                <w:sz w:val="20"/>
                <w:szCs w:val="20"/>
              </w:rPr>
              <w:t>All items are scaled by average total assets (</w:t>
            </w:r>
            <w:proofErr w:type="spellStart"/>
            <w:r w:rsidRPr="009F175A">
              <w:rPr>
                <w:rFonts w:ascii="Times New Roman" w:eastAsia="Times New Roman" w:hAnsi="Times New Roman" w:cs="Times New Roman"/>
                <w:sz w:val="20"/>
                <w:szCs w:val="20"/>
                <w:lang w:val="en-US" w:eastAsia="en-GB"/>
              </w:rPr>
              <w:t>Compustat</w:t>
            </w:r>
            <w:proofErr w:type="spellEnd"/>
            <w:r w:rsidRPr="009F175A">
              <w:rPr>
                <w:rFonts w:ascii="Times New Roman" w:eastAsia="Times New Roman" w:hAnsi="Times New Roman" w:cs="Times New Roman"/>
                <w:sz w:val="20"/>
                <w:szCs w:val="20"/>
                <w:lang w:val="en-US" w:eastAsia="en-GB"/>
              </w:rPr>
              <w:t xml:space="preserve"> item </w:t>
            </w:r>
            <w:r w:rsidRPr="009F175A">
              <w:rPr>
                <w:rFonts w:ascii="Times New Roman" w:eastAsia="Times New Roman" w:hAnsi="Times New Roman" w:cs="Times New Roman"/>
                <w:i/>
                <w:iCs/>
                <w:sz w:val="20"/>
                <w:szCs w:val="20"/>
                <w:lang w:val="en-US" w:eastAsia="en-GB"/>
              </w:rPr>
              <w:t>at</w:t>
            </w:r>
            <w:r w:rsidRPr="009F175A">
              <w:rPr>
                <w:rFonts w:ascii="Times New Roman" w:hAnsi="Times New Roman" w:cs="Times New Roman"/>
                <w:sz w:val="20"/>
                <w:szCs w:val="20"/>
              </w:rPr>
              <w:t>).</w:t>
            </w:r>
          </w:p>
        </w:tc>
      </w:tr>
      <w:tr w:rsidR="00A57456" w:rsidRPr="003564DE" w14:paraId="041FCEB4" w14:textId="77777777" w:rsidTr="001A645C">
        <w:trPr>
          <w:trHeight w:val="363"/>
          <w:jc w:val="center"/>
        </w:trPr>
        <w:tc>
          <w:tcPr>
            <w:tcW w:w="1413" w:type="dxa"/>
          </w:tcPr>
          <w:p w14:paraId="0EECE46E" w14:textId="77777777" w:rsidR="00A57456" w:rsidRDefault="00A57456" w:rsidP="005276C1">
            <w:pPr>
              <w:spacing w:after="0" w:line="240" w:lineRule="auto"/>
              <w:rPr>
                <w:rFonts w:ascii="Times New Roman" w:eastAsia="Times New Roman" w:hAnsi="Times New Roman" w:cs="Times New Roman"/>
                <w:color w:val="000000"/>
                <w:sz w:val="20"/>
                <w:szCs w:val="20"/>
                <w:vertAlign w:val="superscript"/>
                <w:lang w:eastAsia="en-GB"/>
              </w:rPr>
            </w:pP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lang w:eastAsia="en-GB"/>
              </w:rPr>
              <w:t>(ROA)</w:t>
            </w:r>
            <w:r>
              <w:rPr>
                <w:rFonts w:ascii="Times New Roman" w:eastAsia="Times New Roman" w:hAnsi="Times New Roman" w:cs="Times New Roman"/>
                <w:color w:val="000000"/>
                <w:sz w:val="20"/>
                <w:szCs w:val="20"/>
                <w:vertAlign w:val="superscript"/>
                <w:lang w:eastAsia="en-GB"/>
              </w:rPr>
              <w:t>PRE</w:t>
            </w:r>
          </w:p>
          <w:p w14:paraId="3103FDF8" w14:textId="77777777" w:rsidR="00A57456" w:rsidRDefault="00A57456" w:rsidP="005276C1">
            <w:pPr>
              <w:spacing w:after="0" w:line="240" w:lineRule="auto"/>
              <w:rPr>
                <w:rFonts w:ascii="Times New Roman" w:eastAsia="Times New Roman" w:hAnsi="Times New Roman" w:cs="Times New Roman"/>
                <w:color w:val="000000"/>
                <w:sz w:val="20"/>
                <w:szCs w:val="20"/>
                <w:vertAlign w:val="superscript"/>
                <w:lang w:eastAsia="en-GB"/>
              </w:rPr>
            </w:pPr>
            <w:r w:rsidRPr="003F26A3">
              <w:rPr>
                <w:rFonts w:ascii="Times New Roman" w:eastAsia="Times New Roman" w:hAnsi="Times New Roman" w:cs="Times New Roman"/>
                <w:color w:val="000000"/>
                <w:sz w:val="20"/>
                <w:szCs w:val="20"/>
                <w:lang w:eastAsia="en-GB"/>
              </w:rPr>
              <w:t>/</w:t>
            </w:r>
            <w:r w:rsidRPr="00282BCE">
              <w:rPr>
                <w:rFonts w:ascii="Times New Roman" w:eastAsia="Times New Roman" w:hAnsi="Times New Roman" w:cs="Times New Roman"/>
                <w:color w:val="000000"/>
                <w:sz w:val="20"/>
                <w:szCs w:val="20"/>
                <w:lang w:eastAsia="en-CA"/>
              </w:rPr>
              <w:t xml:space="preserve"> σ</w:t>
            </w:r>
            <w:r>
              <w:rPr>
                <w:rFonts w:ascii="Times New Roman" w:eastAsia="Times New Roman" w:hAnsi="Times New Roman" w:cs="Times New Roman"/>
                <w:color w:val="000000"/>
                <w:sz w:val="20"/>
                <w:szCs w:val="20"/>
                <w:lang w:eastAsia="en-GB"/>
              </w:rPr>
              <w:t>(CFO)</w:t>
            </w:r>
            <w:r>
              <w:rPr>
                <w:rFonts w:ascii="Times New Roman" w:eastAsia="Times New Roman" w:hAnsi="Times New Roman" w:cs="Times New Roman"/>
                <w:color w:val="000000"/>
                <w:sz w:val="20"/>
                <w:szCs w:val="20"/>
                <w:vertAlign w:val="superscript"/>
                <w:lang w:eastAsia="en-GB"/>
              </w:rPr>
              <w:t>PRE</w:t>
            </w:r>
          </w:p>
          <w:p w14:paraId="0132DACE" w14:textId="77777777" w:rsidR="00A57456" w:rsidRPr="00694632" w:rsidRDefault="00A57456" w:rsidP="005276C1">
            <w:pPr>
              <w:spacing w:after="0" w:line="240" w:lineRule="auto"/>
              <w:rPr>
                <w:rFonts w:ascii="Times New Roman" w:eastAsia="Calibri" w:hAnsi="Times New Roman" w:cs="Times New Roman"/>
                <w:i/>
                <w:iCs/>
                <w:sz w:val="20"/>
                <w:szCs w:val="20"/>
              </w:rPr>
            </w:pPr>
          </w:p>
        </w:tc>
        <w:tc>
          <w:tcPr>
            <w:tcW w:w="7968" w:type="dxa"/>
          </w:tcPr>
          <w:p w14:paraId="127DEDFD" w14:textId="6E75AC07" w:rsidR="00A57456" w:rsidRPr="002202E9" w:rsidRDefault="00A57456" w:rsidP="002202E9">
            <w:pPr>
              <w:spacing w:line="240" w:lineRule="auto"/>
              <w:jc w:val="both"/>
              <w:rPr>
                <w:rFonts w:ascii="Times New Roman" w:eastAsia="Times New Roman" w:hAnsi="Times New Roman" w:cs="Times New Roman"/>
                <w:color w:val="000000"/>
                <w:sz w:val="20"/>
                <w:szCs w:val="20"/>
                <w:lang w:eastAsia="en-GB"/>
              </w:rPr>
            </w:pPr>
            <w:r>
              <w:rPr>
                <w:rFonts w:ascii="Times New Roman" w:eastAsia="Calibri" w:hAnsi="Times New Roman" w:cs="Times New Roman"/>
                <w:sz w:val="20"/>
                <w:szCs w:val="20"/>
                <w:lang w:val="en-US"/>
              </w:rPr>
              <w:t xml:space="preserve">Ratio of </w:t>
            </w: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lang w:eastAsia="en-GB"/>
              </w:rPr>
              <w:t>(ROA)</w:t>
            </w:r>
            <w:r>
              <w:rPr>
                <w:rFonts w:ascii="Times New Roman" w:eastAsia="Times New Roman" w:hAnsi="Times New Roman" w:cs="Times New Roman"/>
                <w:color w:val="000000"/>
                <w:sz w:val="20"/>
                <w:szCs w:val="20"/>
                <w:vertAlign w:val="superscript"/>
                <w:lang w:eastAsia="en-GB"/>
              </w:rPr>
              <w:t>PRE</w:t>
            </w:r>
            <w:r w:rsidRPr="00810F0E">
              <w:rPr>
                <w:rFonts w:ascii="Times New Roman" w:eastAsia="Times New Roman" w:hAnsi="Times New Roman" w:cs="Times New Roman"/>
                <w:color w:val="000000"/>
                <w:sz w:val="20"/>
                <w:szCs w:val="20"/>
                <w:lang w:eastAsia="en-GB"/>
              </w:rPr>
              <w:t>,</w:t>
            </w:r>
            <w:r>
              <w:rPr>
                <w:rFonts w:ascii="Times New Roman" w:eastAsia="Times New Roman" w:hAnsi="Times New Roman" w:cs="Times New Roman"/>
                <w:color w:val="000000"/>
                <w:sz w:val="20"/>
                <w:szCs w:val="20"/>
                <w:lang w:eastAsia="en-GB"/>
              </w:rPr>
              <w:t xml:space="preserve"> as defined above,</w:t>
            </w:r>
            <w:r w:rsidR="00E046CA">
              <w:rPr>
                <w:rFonts w:ascii="Times New Roman" w:eastAsia="Times New Roman" w:hAnsi="Times New Roman" w:cs="Times New Roman"/>
                <w:color w:val="000000"/>
                <w:sz w:val="20"/>
                <w:szCs w:val="20"/>
                <w:lang w:eastAsia="en-GB"/>
              </w:rPr>
              <w:t xml:space="preserve"> and</w:t>
            </w:r>
            <w:r>
              <w:rPr>
                <w:rFonts w:ascii="Times New Roman" w:eastAsia="Times New Roman" w:hAnsi="Times New Roman" w:cs="Times New Roman"/>
                <w:color w:val="000000"/>
                <w:sz w:val="20"/>
                <w:szCs w:val="20"/>
                <w:lang w:eastAsia="en-GB"/>
              </w:rPr>
              <w:t xml:space="preserve"> the standard deviation of total operating cash flow scaled by average total assets (</w:t>
            </w:r>
            <w:proofErr w:type="spellStart"/>
            <w:r>
              <w:rPr>
                <w:rFonts w:ascii="Times New Roman" w:eastAsia="Times New Roman" w:hAnsi="Times New Roman" w:cs="Times New Roman"/>
                <w:color w:val="000000"/>
                <w:sz w:val="20"/>
                <w:szCs w:val="20"/>
                <w:lang w:eastAsia="en-GB"/>
              </w:rPr>
              <w:t>Compustat</w:t>
            </w:r>
            <w:proofErr w:type="spellEnd"/>
            <w:r>
              <w:rPr>
                <w:rFonts w:ascii="Times New Roman" w:eastAsia="Times New Roman" w:hAnsi="Times New Roman" w:cs="Times New Roman"/>
                <w:color w:val="000000"/>
                <w:sz w:val="20"/>
                <w:szCs w:val="20"/>
                <w:lang w:eastAsia="en-GB"/>
              </w:rPr>
              <w:t xml:space="preserve"> item </w:t>
            </w:r>
            <w:r w:rsidRPr="00810F0E">
              <w:rPr>
                <w:rFonts w:ascii="Times New Roman" w:eastAsia="Times New Roman" w:hAnsi="Times New Roman" w:cs="Times New Roman"/>
                <w:i/>
                <w:iCs/>
                <w:color w:val="000000"/>
                <w:sz w:val="20"/>
                <w:szCs w:val="20"/>
                <w:lang w:eastAsia="en-GB"/>
              </w:rPr>
              <w:t>at</w:t>
            </w:r>
            <w:r w:rsidRPr="00810F0E">
              <w:rPr>
                <w:rFonts w:ascii="Times New Roman" w:eastAsia="Times New Roman" w:hAnsi="Times New Roman" w:cs="Times New Roman"/>
                <w:color w:val="000000"/>
                <w:sz w:val="20"/>
                <w:szCs w:val="20"/>
                <w:lang w:eastAsia="en-GB"/>
              </w:rPr>
              <w:t>)</w:t>
            </w:r>
            <w:r>
              <w:rPr>
                <w:rFonts w:ascii="Times New Roman" w:eastAsia="Times New Roman" w:hAnsi="Times New Roman" w:cs="Times New Roman"/>
                <w:color w:val="000000"/>
                <w:sz w:val="20"/>
                <w:szCs w:val="20"/>
                <w:lang w:eastAsia="en-GB"/>
              </w:rPr>
              <w:t>. Total operating cash flow is income before extraordinary items (</w:t>
            </w:r>
            <w:proofErr w:type="spellStart"/>
            <w:r>
              <w:rPr>
                <w:rFonts w:ascii="Times New Roman" w:eastAsia="Times New Roman" w:hAnsi="Times New Roman" w:cs="Times New Roman"/>
                <w:color w:val="000000"/>
                <w:sz w:val="20"/>
                <w:szCs w:val="20"/>
                <w:lang w:eastAsia="en-GB"/>
              </w:rPr>
              <w:t>Compustat</w:t>
            </w:r>
            <w:proofErr w:type="spellEnd"/>
            <w:r>
              <w:rPr>
                <w:rFonts w:ascii="Times New Roman" w:eastAsia="Times New Roman" w:hAnsi="Times New Roman" w:cs="Times New Roman"/>
                <w:color w:val="000000"/>
                <w:sz w:val="20"/>
                <w:szCs w:val="20"/>
                <w:lang w:eastAsia="en-GB"/>
              </w:rPr>
              <w:t xml:space="preserve"> item </w:t>
            </w:r>
            <w:proofErr w:type="spellStart"/>
            <w:r w:rsidRPr="00810F0E">
              <w:rPr>
                <w:rFonts w:ascii="Times New Roman" w:eastAsia="Times New Roman" w:hAnsi="Times New Roman" w:cs="Times New Roman"/>
                <w:i/>
                <w:iCs/>
                <w:color w:val="000000"/>
                <w:sz w:val="20"/>
                <w:szCs w:val="20"/>
                <w:lang w:eastAsia="en-GB"/>
              </w:rPr>
              <w:t>ib</w:t>
            </w:r>
            <w:proofErr w:type="spellEnd"/>
            <w:r>
              <w:rPr>
                <w:rFonts w:ascii="Times New Roman" w:eastAsia="Times New Roman" w:hAnsi="Times New Roman" w:cs="Times New Roman"/>
                <w:color w:val="000000"/>
                <w:sz w:val="20"/>
                <w:szCs w:val="20"/>
                <w:lang w:eastAsia="en-GB"/>
              </w:rPr>
              <w:t xml:space="preserve">) </w:t>
            </w:r>
            <w:r w:rsidR="00E046CA">
              <w:rPr>
                <w:rFonts w:ascii="Times New Roman" w:eastAsia="Times New Roman" w:hAnsi="Times New Roman" w:cs="Times New Roman"/>
                <w:color w:val="000000"/>
                <w:sz w:val="20"/>
                <w:szCs w:val="20"/>
                <w:lang w:eastAsia="en-GB"/>
              </w:rPr>
              <w:t xml:space="preserve">minus </w:t>
            </w:r>
            <w:r>
              <w:rPr>
                <w:rFonts w:ascii="Times New Roman" w:eastAsia="Times New Roman" w:hAnsi="Times New Roman" w:cs="Times New Roman"/>
                <w:color w:val="000000"/>
                <w:sz w:val="20"/>
                <w:szCs w:val="20"/>
                <w:lang w:eastAsia="en-GB"/>
              </w:rPr>
              <w:t>accruals</w:t>
            </w:r>
            <w:r w:rsidR="00E046CA">
              <w:rPr>
                <w:rFonts w:ascii="Times New Roman" w:eastAsia="Times New Roman" w:hAnsi="Times New Roman" w:cs="Times New Roman"/>
                <w:color w:val="000000"/>
                <w:sz w:val="20"/>
                <w:szCs w:val="20"/>
                <w:lang w:eastAsia="en-GB"/>
              </w:rPr>
              <w:t xml:space="preserve">, </w:t>
            </w:r>
            <w:r>
              <w:rPr>
                <w:rFonts w:ascii="Times New Roman" w:eastAsia="Times New Roman" w:hAnsi="Times New Roman" w:cs="Times New Roman"/>
                <w:color w:val="000000"/>
                <w:sz w:val="20"/>
                <w:szCs w:val="20"/>
                <w:lang w:eastAsia="en-GB"/>
              </w:rPr>
              <w:t>defined the same way as for |ACC| above.</w:t>
            </w:r>
          </w:p>
        </w:tc>
      </w:tr>
      <w:tr w:rsidR="00A57456" w:rsidRPr="003564DE" w14:paraId="216F1CDB" w14:textId="77777777" w:rsidTr="001A645C">
        <w:trPr>
          <w:trHeight w:val="363"/>
          <w:jc w:val="center"/>
        </w:trPr>
        <w:tc>
          <w:tcPr>
            <w:tcW w:w="1413" w:type="dxa"/>
          </w:tcPr>
          <w:p w14:paraId="53498BAB" w14:textId="2041FD07" w:rsidR="00A57456" w:rsidRPr="0007172E" w:rsidRDefault="00A57456" w:rsidP="005276C1">
            <w:pPr>
              <w:spacing w:after="0" w:line="240" w:lineRule="auto"/>
              <w:rPr>
                <w:rFonts w:ascii="Times New Roman" w:eastAsia="Times New Roman" w:hAnsi="Times New Roman" w:cs="Times New Roman"/>
                <w:color w:val="000000"/>
                <w:sz w:val="20"/>
                <w:szCs w:val="20"/>
                <w:vertAlign w:val="superscript"/>
                <w:lang w:val="fr-FR" w:eastAsia="en-GB"/>
              </w:rPr>
            </w:pPr>
            <w:r w:rsidRPr="00282BCE">
              <w:rPr>
                <w:rFonts w:ascii="Times New Roman" w:eastAsia="Times New Roman" w:hAnsi="Times New Roman" w:cs="Times New Roman"/>
                <w:color w:val="000000"/>
                <w:sz w:val="20"/>
                <w:szCs w:val="20"/>
                <w:lang w:eastAsia="en-CA"/>
              </w:rPr>
              <w:t>σ</w:t>
            </w:r>
            <w:r w:rsidRPr="0007172E">
              <w:rPr>
                <w:rFonts w:ascii="Times New Roman" w:eastAsia="Times New Roman" w:hAnsi="Times New Roman" w:cs="Times New Roman"/>
                <w:color w:val="000000"/>
                <w:sz w:val="20"/>
                <w:szCs w:val="20"/>
                <w:lang w:val="fr-FR" w:eastAsia="en-GB"/>
              </w:rPr>
              <w:t>(Beta)</w:t>
            </w:r>
            <w:r w:rsidRPr="0007172E">
              <w:rPr>
                <w:rFonts w:ascii="Times New Roman" w:eastAsia="Times New Roman" w:hAnsi="Times New Roman" w:cs="Times New Roman"/>
                <w:color w:val="000000"/>
                <w:sz w:val="20"/>
                <w:szCs w:val="20"/>
                <w:vertAlign w:val="superscript"/>
                <w:lang w:val="fr-FR" w:eastAsia="en-GB"/>
              </w:rPr>
              <w:t>PRE</w:t>
            </w:r>
            <w:r w:rsidR="007D6142">
              <w:rPr>
                <w:rFonts w:ascii="Times New Roman" w:eastAsia="Times New Roman" w:hAnsi="Times New Roman" w:cs="Times New Roman"/>
                <w:color w:val="000000"/>
                <w:sz w:val="20"/>
                <w:szCs w:val="20"/>
                <w:vertAlign w:val="superscript"/>
                <w:lang w:val="fr-FR" w:eastAsia="en-GB"/>
              </w:rPr>
              <w:t xml:space="preserve"> /</w:t>
            </w:r>
            <w:r>
              <w:rPr>
                <w:rFonts w:ascii="Times New Roman" w:eastAsia="Times New Roman" w:hAnsi="Times New Roman" w:cs="Times New Roman"/>
                <w:color w:val="000000"/>
                <w:sz w:val="20"/>
                <w:szCs w:val="20"/>
                <w:vertAlign w:val="superscript"/>
                <w:lang w:val="fr-FR" w:eastAsia="en-GB"/>
              </w:rPr>
              <w:t xml:space="preserve"> POST</w:t>
            </w:r>
          </w:p>
          <w:p w14:paraId="47801120" w14:textId="77777777" w:rsidR="00A57456" w:rsidRPr="00836A99" w:rsidRDefault="00A57456" w:rsidP="005276C1">
            <w:pPr>
              <w:spacing w:after="0" w:line="240" w:lineRule="auto"/>
              <w:rPr>
                <w:rFonts w:ascii="Times New Roman" w:eastAsia="Calibri" w:hAnsi="Times New Roman" w:cs="Times New Roman"/>
                <w:i/>
                <w:iCs/>
                <w:sz w:val="20"/>
                <w:szCs w:val="20"/>
              </w:rPr>
            </w:pPr>
          </w:p>
        </w:tc>
        <w:tc>
          <w:tcPr>
            <w:tcW w:w="7968" w:type="dxa"/>
          </w:tcPr>
          <w:p w14:paraId="6D5999D3" w14:textId="1AFA5497" w:rsidR="00A57456" w:rsidRPr="003564DE" w:rsidRDefault="00A57456" w:rsidP="002202E9">
            <w:pPr>
              <w:spacing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Standard deviation of</w:t>
            </w:r>
            <w:r w:rsidR="007D6142">
              <w:rPr>
                <w:rFonts w:ascii="Times New Roman" w:eastAsia="Calibri" w:hAnsi="Times New Roman" w:cs="Times New Roman"/>
                <w:sz w:val="20"/>
                <w:szCs w:val="20"/>
                <w:lang w:val="en-US"/>
              </w:rPr>
              <w:t xml:space="preserve"> </w:t>
            </w:r>
            <w:r w:rsidR="00692838">
              <w:rPr>
                <w:rFonts w:ascii="Times New Roman" w:eastAsia="Calibri" w:hAnsi="Times New Roman" w:cs="Times New Roman"/>
                <w:sz w:val="20"/>
                <w:szCs w:val="20"/>
                <w:lang w:val="en-US"/>
              </w:rPr>
              <w:t xml:space="preserve">market </w:t>
            </w:r>
            <w:r>
              <w:rPr>
                <w:rFonts w:ascii="Times New Roman" w:eastAsia="Calibri" w:hAnsi="Times New Roman" w:cs="Times New Roman"/>
                <w:sz w:val="20"/>
                <w:szCs w:val="20"/>
                <w:lang w:val="en-US"/>
              </w:rPr>
              <w:t xml:space="preserve">betas over </w:t>
            </w:r>
            <w:r w:rsidR="009D22F6">
              <w:rPr>
                <w:rFonts w:ascii="Times New Roman" w:hAnsi="Times New Roman" w:cs="Times New Roman"/>
                <w:sz w:val="20"/>
                <w:szCs w:val="20"/>
              </w:rPr>
              <w:t xml:space="preserve">the years </w:t>
            </w:r>
            <w:r w:rsidR="009D22F6" w:rsidRPr="00562AEB">
              <w:rPr>
                <w:rFonts w:ascii="Times New Roman" w:hAnsi="Times New Roman" w:cs="Times New Roman"/>
                <w:i/>
                <w:iCs/>
                <w:sz w:val="20"/>
                <w:szCs w:val="20"/>
              </w:rPr>
              <w:t>t</w:t>
            </w:r>
            <w:r w:rsidR="009D22F6">
              <w:rPr>
                <w:rFonts w:ascii="Times New Roman" w:hAnsi="Times New Roman" w:cs="Times New Roman"/>
                <w:sz w:val="20"/>
                <w:szCs w:val="20"/>
              </w:rPr>
              <w:t xml:space="preserve"> to </w:t>
            </w:r>
            <w:r w:rsidR="009D22F6" w:rsidRPr="00562AEB">
              <w:rPr>
                <w:rFonts w:ascii="Times New Roman" w:hAnsi="Times New Roman" w:cs="Times New Roman"/>
                <w:i/>
                <w:iCs/>
                <w:sz w:val="20"/>
                <w:szCs w:val="20"/>
              </w:rPr>
              <w:t>t</w:t>
            </w:r>
            <w:r w:rsidR="009D22F6">
              <w:rPr>
                <w:rFonts w:ascii="Times New Roman" w:hAnsi="Times New Roman" w:cs="Times New Roman"/>
                <w:sz w:val="20"/>
                <w:szCs w:val="20"/>
              </w:rPr>
              <w:t>–4 (</w:t>
            </w:r>
            <w:r w:rsidR="009D22F6" w:rsidRPr="00E73923">
              <w:rPr>
                <w:rFonts w:ascii="Times New Roman" w:hAnsi="Times New Roman" w:cs="Times New Roman"/>
                <w:sz w:val="20"/>
                <w:szCs w:val="20"/>
                <w:vertAlign w:val="superscript"/>
              </w:rPr>
              <w:t>PRE</w:t>
            </w:r>
            <w:r w:rsidR="009D22F6">
              <w:rPr>
                <w:rFonts w:ascii="Times New Roman" w:hAnsi="Times New Roman" w:cs="Times New Roman"/>
                <w:sz w:val="20"/>
                <w:szCs w:val="20"/>
              </w:rPr>
              <w:t xml:space="preserve">) or </w:t>
            </w:r>
            <w:r w:rsidR="009D22F6" w:rsidRPr="00562AEB">
              <w:rPr>
                <w:rFonts w:ascii="Times New Roman" w:hAnsi="Times New Roman" w:cs="Times New Roman"/>
                <w:i/>
                <w:iCs/>
                <w:sz w:val="20"/>
                <w:szCs w:val="20"/>
              </w:rPr>
              <w:t>t</w:t>
            </w:r>
            <w:r w:rsidR="009D22F6">
              <w:rPr>
                <w:rFonts w:ascii="Times New Roman" w:hAnsi="Times New Roman" w:cs="Times New Roman"/>
                <w:sz w:val="20"/>
                <w:szCs w:val="20"/>
              </w:rPr>
              <w:t xml:space="preserve">+1 to </w:t>
            </w:r>
            <w:r w:rsidR="009D22F6" w:rsidRPr="00562AEB">
              <w:rPr>
                <w:rFonts w:ascii="Times New Roman" w:hAnsi="Times New Roman" w:cs="Times New Roman"/>
                <w:i/>
                <w:iCs/>
                <w:sz w:val="20"/>
                <w:szCs w:val="20"/>
              </w:rPr>
              <w:t>t</w:t>
            </w:r>
            <w:r w:rsidR="009D22F6">
              <w:rPr>
                <w:rFonts w:ascii="Times New Roman" w:hAnsi="Times New Roman" w:cs="Times New Roman"/>
                <w:sz w:val="20"/>
                <w:szCs w:val="20"/>
              </w:rPr>
              <w:t>+5 (</w:t>
            </w:r>
            <w:r w:rsidR="009D22F6" w:rsidRPr="00E73923">
              <w:rPr>
                <w:rFonts w:ascii="Times New Roman" w:hAnsi="Times New Roman" w:cs="Times New Roman"/>
                <w:sz w:val="20"/>
                <w:szCs w:val="20"/>
                <w:vertAlign w:val="superscript"/>
              </w:rPr>
              <w:t>POST</w:t>
            </w:r>
            <w:r w:rsidR="009D22F6">
              <w:rPr>
                <w:rFonts w:ascii="Times New Roman" w:hAnsi="Times New Roman" w:cs="Times New Roman"/>
                <w:sz w:val="20"/>
                <w:szCs w:val="20"/>
              </w:rPr>
              <w:t>)</w:t>
            </w:r>
            <w:r>
              <w:rPr>
                <w:rFonts w:ascii="Times New Roman" w:eastAsia="Calibri" w:hAnsi="Times New Roman" w:cs="Times New Roman"/>
                <w:sz w:val="20"/>
                <w:szCs w:val="20"/>
                <w:lang w:val="en-US"/>
              </w:rPr>
              <w:t xml:space="preserve">. </w:t>
            </w:r>
            <w:r w:rsidR="007D6142">
              <w:rPr>
                <w:rFonts w:ascii="Times New Roman" w:eastAsia="Calibri" w:hAnsi="Times New Roman" w:cs="Times New Roman"/>
                <w:sz w:val="20"/>
                <w:szCs w:val="20"/>
                <w:lang w:val="en-US"/>
              </w:rPr>
              <w:t>E</w:t>
            </w:r>
            <w:r w:rsidR="00D44B4D">
              <w:rPr>
                <w:rFonts w:ascii="Times New Roman" w:eastAsia="Calibri" w:hAnsi="Times New Roman" w:cs="Times New Roman"/>
                <w:sz w:val="20"/>
                <w:szCs w:val="20"/>
                <w:lang w:val="en-US"/>
              </w:rPr>
              <w:t>ach year,</w:t>
            </w:r>
            <w:r>
              <w:rPr>
                <w:rFonts w:ascii="Times New Roman" w:eastAsia="Calibri" w:hAnsi="Times New Roman" w:cs="Times New Roman"/>
                <w:sz w:val="20"/>
                <w:szCs w:val="20"/>
                <w:lang w:val="en-US"/>
              </w:rPr>
              <w:t xml:space="preserve"> beta </w:t>
            </w:r>
            <w:r w:rsidR="007D6142">
              <w:rPr>
                <w:rFonts w:ascii="Times New Roman" w:eastAsia="Calibri" w:hAnsi="Times New Roman" w:cs="Times New Roman"/>
                <w:sz w:val="20"/>
                <w:szCs w:val="20"/>
                <w:lang w:val="en-US"/>
              </w:rPr>
              <w:t>is</w:t>
            </w:r>
            <w:r>
              <w:rPr>
                <w:rFonts w:ascii="Times New Roman" w:eastAsia="Calibri" w:hAnsi="Times New Roman" w:cs="Times New Roman"/>
                <w:sz w:val="20"/>
                <w:szCs w:val="20"/>
                <w:lang w:val="en-US"/>
              </w:rPr>
              <w:t xml:space="preserve"> estimated</w:t>
            </w:r>
            <w:r w:rsidRPr="00161F7D">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 xml:space="preserve">using daily stock returns </w:t>
            </w:r>
            <w:r w:rsidR="00794A32">
              <w:rPr>
                <w:rFonts w:ascii="Times New Roman" w:eastAsia="Calibri" w:hAnsi="Times New Roman" w:cs="Times New Roman"/>
                <w:sz w:val="20"/>
                <w:szCs w:val="20"/>
                <w:lang w:val="en-US"/>
              </w:rPr>
              <w:t xml:space="preserve">against </w:t>
            </w:r>
            <w:r>
              <w:rPr>
                <w:rFonts w:ascii="Times New Roman" w:eastAsia="Calibri" w:hAnsi="Times New Roman" w:cs="Times New Roman"/>
                <w:sz w:val="20"/>
                <w:szCs w:val="20"/>
                <w:lang w:val="en-US"/>
              </w:rPr>
              <w:t xml:space="preserve">the value-weighted CRSP index </w:t>
            </w:r>
            <w:r w:rsidR="00794A32">
              <w:rPr>
                <w:rFonts w:ascii="Times New Roman" w:eastAsia="Calibri" w:hAnsi="Times New Roman" w:cs="Times New Roman"/>
                <w:sz w:val="20"/>
                <w:szCs w:val="20"/>
                <w:lang w:val="en-US"/>
              </w:rPr>
              <w:t>(min.</w:t>
            </w:r>
            <w:r>
              <w:rPr>
                <w:rFonts w:ascii="Times New Roman" w:eastAsia="Calibri" w:hAnsi="Times New Roman" w:cs="Times New Roman"/>
                <w:sz w:val="20"/>
                <w:szCs w:val="20"/>
                <w:lang w:val="en-US"/>
              </w:rPr>
              <w:t xml:space="preserve"> 60</w:t>
            </w:r>
            <w:r w:rsidR="00794A32">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obs</w:t>
            </w:r>
            <w:r w:rsidR="00CF3111">
              <w:rPr>
                <w:rFonts w:ascii="Times New Roman" w:eastAsia="Calibri" w:hAnsi="Times New Roman" w:cs="Times New Roman"/>
                <w:sz w:val="20"/>
                <w:szCs w:val="20"/>
                <w:lang w:val="en-US"/>
              </w:rPr>
              <w:t>.</w:t>
            </w:r>
            <w:r w:rsidR="00794A32">
              <w:rPr>
                <w:rFonts w:ascii="Times New Roman" w:eastAsia="Calibri" w:hAnsi="Times New Roman" w:cs="Times New Roman"/>
                <w:sz w:val="20"/>
                <w:szCs w:val="20"/>
                <w:lang w:val="en-US"/>
              </w:rPr>
              <w:t>)</w:t>
            </w:r>
          </w:p>
        </w:tc>
      </w:tr>
      <w:tr w:rsidR="00A57456" w:rsidRPr="003564DE" w14:paraId="029B8E7A" w14:textId="77777777" w:rsidTr="001A645C">
        <w:trPr>
          <w:trHeight w:val="363"/>
          <w:jc w:val="center"/>
        </w:trPr>
        <w:tc>
          <w:tcPr>
            <w:tcW w:w="1413" w:type="dxa"/>
          </w:tcPr>
          <w:p w14:paraId="3EB2B1EF" w14:textId="77777777" w:rsidR="00A57456" w:rsidRPr="00901D34" w:rsidRDefault="00A57456" w:rsidP="005276C1">
            <w:pPr>
              <w:spacing w:after="0" w:line="240" w:lineRule="auto"/>
              <w:rPr>
                <w:rFonts w:ascii="Times New Roman" w:eastAsia="Times New Roman" w:hAnsi="Times New Roman" w:cs="Times New Roman"/>
                <w:color w:val="000000"/>
                <w:sz w:val="20"/>
                <w:szCs w:val="20"/>
                <w:vertAlign w:val="superscript"/>
                <w:lang w:val="fr-FR" w:eastAsia="en-GB"/>
              </w:rPr>
            </w:pPr>
            <w:r>
              <w:rPr>
                <w:rFonts w:ascii="Times New Roman" w:eastAsia="Times New Roman" w:hAnsi="Times New Roman" w:cs="Times New Roman"/>
                <w:color w:val="000000"/>
                <w:sz w:val="20"/>
                <w:szCs w:val="20"/>
                <w:lang w:val="fr-FR" w:eastAsia="en-GB"/>
              </w:rPr>
              <w:t>SE(Beta)</w:t>
            </w:r>
            <w:r w:rsidRPr="00901D34">
              <w:rPr>
                <w:rFonts w:ascii="Times New Roman" w:eastAsia="Times New Roman" w:hAnsi="Times New Roman" w:cs="Times New Roman"/>
                <w:color w:val="000000"/>
                <w:sz w:val="20"/>
                <w:szCs w:val="20"/>
                <w:vertAlign w:val="superscript"/>
                <w:lang w:val="fr-FR" w:eastAsia="en-GB"/>
              </w:rPr>
              <w:t>PRE</w:t>
            </w:r>
            <w:r>
              <w:rPr>
                <w:rFonts w:ascii="Times New Roman" w:eastAsia="Times New Roman" w:hAnsi="Times New Roman" w:cs="Times New Roman"/>
                <w:color w:val="000000"/>
                <w:sz w:val="20"/>
                <w:szCs w:val="20"/>
                <w:vertAlign w:val="superscript"/>
                <w:lang w:val="fr-FR" w:eastAsia="en-GB"/>
              </w:rPr>
              <w:t xml:space="preserve"> / POST</w:t>
            </w:r>
          </w:p>
          <w:p w14:paraId="6860F663" w14:textId="77777777" w:rsidR="00A57456" w:rsidRPr="00282BCE" w:rsidRDefault="00A57456" w:rsidP="005276C1">
            <w:pPr>
              <w:spacing w:after="0" w:line="240" w:lineRule="auto"/>
              <w:rPr>
                <w:rFonts w:ascii="Times New Roman" w:eastAsia="Times New Roman" w:hAnsi="Times New Roman" w:cs="Times New Roman"/>
                <w:color w:val="000000"/>
                <w:sz w:val="20"/>
                <w:szCs w:val="20"/>
                <w:lang w:eastAsia="en-CA"/>
              </w:rPr>
            </w:pPr>
          </w:p>
        </w:tc>
        <w:tc>
          <w:tcPr>
            <w:tcW w:w="7968" w:type="dxa"/>
          </w:tcPr>
          <w:p w14:paraId="27F87B36" w14:textId="6BEDD2F7" w:rsidR="00A57456" w:rsidRPr="003564DE" w:rsidRDefault="00A57456" w:rsidP="002202E9">
            <w:pPr>
              <w:spacing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Standard error o</w:t>
            </w:r>
            <w:r w:rsidR="00DD0E22">
              <w:rPr>
                <w:rFonts w:ascii="Times New Roman" w:eastAsia="Calibri" w:hAnsi="Times New Roman" w:cs="Times New Roman"/>
                <w:sz w:val="20"/>
                <w:szCs w:val="20"/>
                <w:lang w:val="en-US"/>
              </w:rPr>
              <w:t>f</w:t>
            </w:r>
            <w:r w:rsidR="009D22F6">
              <w:rPr>
                <w:rFonts w:ascii="Times New Roman" w:eastAsia="Calibri" w:hAnsi="Times New Roman" w:cs="Times New Roman"/>
                <w:sz w:val="20"/>
                <w:szCs w:val="20"/>
                <w:lang w:val="en-US"/>
              </w:rPr>
              <w:t xml:space="preserve"> market</w:t>
            </w:r>
            <w:r>
              <w:rPr>
                <w:rFonts w:ascii="Times New Roman" w:eastAsia="Calibri" w:hAnsi="Times New Roman" w:cs="Times New Roman"/>
                <w:sz w:val="20"/>
                <w:szCs w:val="20"/>
                <w:lang w:val="en-US"/>
              </w:rPr>
              <w:t xml:space="preserve"> beta estimated over the most recent</w:t>
            </w:r>
            <w:r w:rsidR="00007ED7">
              <w:rPr>
                <w:rFonts w:ascii="Times New Roman" w:eastAsia="Calibri" w:hAnsi="Times New Roman" w:cs="Times New Roman"/>
                <w:sz w:val="20"/>
                <w:szCs w:val="20"/>
                <w:lang w:val="en-US"/>
              </w:rPr>
              <w:t xml:space="preserve"> year</w:t>
            </w:r>
            <w:r>
              <w:rPr>
                <w:rFonts w:ascii="Times New Roman" w:eastAsia="Calibri" w:hAnsi="Times New Roman" w:cs="Times New Roman"/>
                <w:sz w:val="20"/>
                <w:szCs w:val="20"/>
                <w:lang w:val="en-US"/>
              </w:rPr>
              <w:t xml:space="preserve"> (</w:t>
            </w:r>
            <w:r w:rsidRPr="00C6187D">
              <w:rPr>
                <w:rFonts w:ascii="Times New Roman" w:eastAsia="Calibri" w:hAnsi="Times New Roman" w:cs="Times New Roman"/>
                <w:sz w:val="20"/>
                <w:szCs w:val="20"/>
                <w:vertAlign w:val="superscript"/>
                <w:lang w:val="en-US"/>
              </w:rPr>
              <w:t>PRE</w:t>
            </w:r>
            <w:r>
              <w:rPr>
                <w:rFonts w:ascii="Times New Roman" w:eastAsia="Calibri" w:hAnsi="Times New Roman" w:cs="Times New Roman"/>
                <w:sz w:val="20"/>
                <w:szCs w:val="20"/>
                <w:lang w:val="en-US"/>
              </w:rPr>
              <w:t>) or the subsequent year</w:t>
            </w:r>
            <w:r w:rsidR="00F13083">
              <w:rPr>
                <w:rFonts w:ascii="Times New Roman" w:eastAsia="Calibri" w:hAnsi="Times New Roman" w:cs="Times New Roman"/>
                <w:sz w:val="20"/>
                <w:szCs w:val="20"/>
                <w:lang w:val="en-US"/>
              </w:rPr>
              <w:t xml:space="preserve"> (</w:t>
            </w:r>
            <w:r w:rsidR="00F13083" w:rsidRPr="00C6187D">
              <w:rPr>
                <w:rFonts w:ascii="Times New Roman" w:eastAsia="Calibri" w:hAnsi="Times New Roman" w:cs="Times New Roman"/>
                <w:sz w:val="20"/>
                <w:szCs w:val="20"/>
                <w:vertAlign w:val="superscript"/>
                <w:lang w:val="en-US"/>
              </w:rPr>
              <w:t>POST</w:t>
            </w:r>
            <w:r w:rsidR="00F13083">
              <w:rPr>
                <w:rFonts w:ascii="Times New Roman" w:eastAsia="Calibri" w:hAnsi="Times New Roman" w:cs="Times New Roman"/>
                <w:sz w:val="20"/>
                <w:szCs w:val="20"/>
                <w:lang w:val="en-US"/>
              </w:rPr>
              <w:t>)</w:t>
            </w:r>
            <w:r>
              <w:rPr>
                <w:rFonts w:ascii="Times New Roman" w:eastAsia="Calibri" w:hAnsi="Times New Roman" w:cs="Times New Roman"/>
                <w:sz w:val="20"/>
                <w:szCs w:val="20"/>
                <w:lang w:val="en-US"/>
              </w:rPr>
              <w:t xml:space="preserve">. Beta is estimated using daily stock returns </w:t>
            </w:r>
            <w:r w:rsidR="00844FA9">
              <w:rPr>
                <w:rFonts w:ascii="Times New Roman" w:eastAsia="Calibri" w:hAnsi="Times New Roman" w:cs="Times New Roman"/>
                <w:sz w:val="20"/>
                <w:szCs w:val="20"/>
                <w:lang w:val="en-US"/>
              </w:rPr>
              <w:t>against</w:t>
            </w:r>
            <w:r w:rsidR="00794A32">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the value-weighted CRSP index</w:t>
            </w:r>
            <w:r w:rsidR="00794A32">
              <w:rPr>
                <w:rFonts w:ascii="Times New Roman" w:eastAsia="Calibri" w:hAnsi="Times New Roman" w:cs="Times New Roman"/>
                <w:sz w:val="20"/>
                <w:szCs w:val="20"/>
                <w:lang w:val="en-US"/>
              </w:rPr>
              <w:t xml:space="preserve"> (min. 60 obs.)</w:t>
            </w:r>
          </w:p>
        </w:tc>
      </w:tr>
      <w:tr w:rsidR="00A57456" w:rsidRPr="003564DE" w14:paraId="345DB036" w14:textId="77777777" w:rsidTr="001A645C">
        <w:trPr>
          <w:trHeight w:val="363"/>
          <w:jc w:val="center"/>
        </w:trPr>
        <w:tc>
          <w:tcPr>
            <w:tcW w:w="1413" w:type="dxa"/>
          </w:tcPr>
          <w:p w14:paraId="65C3A3FA" w14:textId="4101D46A" w:rsidR="00A57456" w:rsidRPr="00282BCE" w:rsidRDefault="00A57456" w:rsidP="005276C1">
            <w:pPr>
              <w:spacing w:after="0" w:line="240" w:lineRule="auto"/>
              <w:rPr>
                <w:rFonts w:ascii="Times New Roman" w:eastAsia="Times New Roman" w:hAnsi="Times New Roman" w:cs="Times New Roman"/>
                <w:color w:val="000000"/>
                <w:sz w:val="20"/>
                <w:szCs w:val="20"/>
                <w:lang w:eastAsia="en-CA"/>
              </w:rPr>
            </w:pPr>
            <w:r w:rsidRPr="003564DE">
              <w:rPr>
                <w:rFonts w:ascii="Times New Roman" w:eastAsia="Calibri" w:hAnsi="Times New Roman" w:cs="Times New Roman"/>
                <w:color w:val="000000"/>
                <w:sz w:val="20"/>
                <w:szCs w:val="20"/>
                <w:lang w:val="el-GR"/>
              </w:rPr>
              <w:t>σ</w:t>
            </w:r>
            <w:r w:rsidRPr="003564DE">
              <w:rPr>
                <w:rFonts w:ascii="Times New Roman" w:eastAsia="Calibri" w:hAnsi="Times New Roman" w:cs="Times New Roman"/>
                <w:color w:val="000000"/>
                <w:sz w:val="20"/>
                <w:szCs w:val="20"/>
              </w:rPr>
              <w:t>(Returns)</w:t>
            </w:r>
            <w:r w:rsidRPr="00901D34">
              <w:rPr>
                <w:rFonts w:ascii="Times New Roman" w:eastAsia="Times New Roman" w:hAnsi="Times New Roman" w:cs="Times New Roman"/>
                <w:color w:val="000000"/>
                <w:sz w:val="20"/>
                <w:szCs w:val="20"/>
                <w:vertAlign w:val="superscript"/>
                <w:lang w:val="fr-FR" w:eastAsia="en-GB"/>
              </w:rPr>
              <w:t>PRE</w:t>
            </w:r>
            <w:r>
              <w:rPr>
                <w:rFonts w:ascii="Times New Roman" w:eastAsia="Times New Roman" w:hAnsi="Times New Roman" w:cs="Times New Roman"/>
                <w:color w:val="000000"/>
                <w:sz w:val="20"/>
                <w:szCs w:val="20"/>
                <w:vertAlign w:val="superscript"/>
                <w:lang w:val="fr-FR" w:eastAsia="en-GB"/>
              </w:rPr>
              <w:t xml:space="preserve"> / POST</w:t>
            </w:r>
            <w:r>
              <w:rPr>
                <w:rFonts w:ascii="Times New Roman" w:eastAsia="Calibri" w:hAnsi="Times New Roman" w:cs="Times New Roman"/>
                <w:color w:val="000000"/>
                <w:sz w:val="20"/>
                <w:szCs w:val="20"/>
              </w:rPr>
              <w:t xml:space="preserve"> </w:t>
            </w:r>
          </w:p>
        </w:tc>
        <w:tc>
          <w:tcPr>
            <w:tcW w:w="7968" w:type="dxa"/>
          </w:tcPr>
          <w:p w14:paraId="6CB9F0F4" w14:textId="2490D723" w:rsidR="00A57456" w:rsidRPr="002202E9" w:rsidRDefault="003B56EF" w:rsidP="002202E9">
            <w:pPr>
              <w:spacing w:line="240" w:lineRule="auto"/>
              <w:jc w:val="both"/>
              <w:rPr>
                <w:rFonts w:ascii="Times New Roman" w:eastAsia="Calibri" w:hAnsi="Times New Roman" w:cs="Times New Roman"/>
                <w:color w:val="000000"/>
                <w:sz w:val="20"/>
                <w:szCs w:val="20"/>
                <w:lang w:val="en-US"/>
              </w:rPr>
            </w:pPr>
            <w:r>
              <w:rPr>
                <w:rFonts w:ascii="Times New Roman" w:eastAsia="Calibri" w:hAnsi="Times New Roman" w:cs="Times New Roman"/>
                <w:color w:val="000000"/>
                <w:sz w:val="20"/>
                <w:szCs w:val="20"/>
                <w:lang w:val="en-US"/>
              </w:rPr>
              <w:t>S</w:t>
            </w:r>
            <w:r w:rsidR="00A57456" w:rsidRPr="003564DE">
              <w:rPr>
                <w:rFonts w:ascii="Times New Roman" w:eastAsia="Calibri" w:hAnsi="Times New Roman" w:cs="Times New Roman"/>
                <w:color w:val="000000"/>
                <w:sz w:val="20"/>
                <w:szCs w:val="20"/>
                <w:lang w:val="en-US"/>
              </w:rPr>
              <w:t xml:space="preserve">tandard deviation of daily stock returns over </w:t>
            </w:r>
            <w:r w:rsidR="00A57456">
              <w:rPr>
                <w:rFonts w:ascii="Times New Roman" w:eastAsia="Calibri" w:hAnsi="Times New Roman" w:cs="Times New Roman"/>
                <w:color w:val="000000"/>
                <w:sz w:val="20"/>
                <w:szCs w:val="20"/>
                <w:lang w:val="en-US"/>
              </w:rPr>
              <w:t>the most recent year (</w:t>
            </w:r>
            <w:r w:rsidR="00A57456" w:rsidRPr="00BE6C33">
              <w:rPr>
                <w:rFonts w:ascii="Times New Roman" w:eastAsia="Calibri" w:hAnsi="Times New Roman" w:cs="Times New Roman"/>
                <w:color w:val="000000"/>
                <w:sz w:val="20"/>
                <w:szCs w:val="20"/>
                <w:vertAlign w:val="superscript"/>
                <w:lang w:val="en-US"/>
              </w:rPr>
              <w:t>PRE</w:t>
            </w:r>
            <w:r w:rsidR="00A57456">
              <w:rPr>
                <w:rFonts w:ascii="Times New Roman" w:eastAsia="Calibri" w:hAnsi="Times New Roman" w:cs="Times New Roman"/>
                <w:color w:val="000000"/>
                <w:sz w:val="20"/>
                <w:szCs w:val="20"/>
                <w:lang w:val="en-US"/>
              </w:rPr>
              <w:t xml:space="preserve">) or the subsequent </w:t>
            </w:r>
            <w:r w:rsidR="00A57456" w:rsidRPr="003564DE">
              <w:rPr>
                <w:rFonts w:ascii="Times New Roman" w:eastAsia="Calibri" w:hAnsi="Times New Roman" w:cs="Times New Roman"/>
                <w:color w:val="000000"/>
                <w:sz w:val="20"/>
                <w:szCs w:val="20"/>
                <w:lang w:val="en-US"/>
              </w:rPr>
              <w:t xml:space="preserve">year </w:t>
            </w:r>
            <w:r w:rsidR="00A57456">
              <w:rPr>
                <w:rFonts w:ascii="Times New Roman" w:eastAsia="Calibri" w:hAnsi="Times New Roman" w:cs="Times New Roman"/>
                <w:color w:val="000000"/>
                <w:sz w:val="20"/>
                <w:szCs w:val="20"/>
                <w:lang w:val="en-US"/>
              </w:rPr>
              <w:t>(</w:t>
            </w:r>
            <w:r w:rsidR="00A57456" w:rsidRPr="00BE6C33">
              <w:rPr>
                <w:rFonts w:ascii="Times New Roman" w:eastAsia="Calibri" w:hAnsi="Times New Roman" w:cs="Times New Roman"/>
                <w:color w:val="000000"/>
                <w:sz w:val="20"/>
                <w:szCs w:val="20"/>
                <w:vertAlign w:val="superscript"/>
                <w:lang w:val="en-US"/>
              </w:rPr>
              <w:t>POST</w:t>
            </w:r>
            <w:r w:rsidR="00A57456">
              <w:rPr>
                <w:rFonts w:ascii="Times New Roman" w:eastAsia="Calibri" w:hAnsi="Times New Roman" w:cs="Times New Roman"/>
                <w:color w:val="000000"/>
                <w:sz w:val="20"/>
                <w:szCs w:val="20"/>
                <w:lang w:val="en-US"/>
              </w:rPr>
              <w:t>)</w:t>
            </w:r>
            <w:r w:rsidR="00D44B4D">
              <w:rPr>
                <w:rFonts w:ascii="Times New Roman" w:eastAsia="Calibri" w:hAnsi="Times New Roman" w:cs="Times New Roman"/>
                <w:sz w:val="20"/>
                <w:szCs w:val="20"/>
                <w:lang w:val="en-US"/>
              </w:rPr>
              <w:t xml:space="preserve"> (min. 60 obs.)</w:t>
            </w:r>
          </w:p>
        </w:tc>
      </w:tr>
      <w:tr w:rsidR="00A57456" w:rsidRPr="003564DE" w14:paraId="24473354" w14:textId="77777777" w:rsidTr="001A645C">
        <w:trPr>
          <w:trHeight w:val="363"/>
          <w:jc w:val="center"/>
        </w:trPr>
        <w:tc>
          <w:tcPr>
            <w:tcW w:w="1413" w:type="dxa"/>
          </w:tcPr>
          <w:p w14:paraId="093DCCEE" w14:textId="77777777" w:rsidR="00A57456" w:rsidRPr="00B47506" w:rsidRDefault="00A57456" w:rsidP="005276C1">
            <w:pPr>
              <w:spacing w:after="0" w:line="240" w:lineRule="auto"/>
              <w:rPr>
                <w:rFonts w:ascii="Times New Roman" w:eastAsia="Calibri" w:hAnsi="Times New Roman" w:cs="Times New Roman"/>
                <w:sz w:val="20"/>
                <w:szCs w:val="20"/>
                <w:lang w:val="el-GR"/>
              </w:rPr>
            </w:pPr>
            <w:r w:rsidRPr="00B47506">
              <w:rPr>
                <w:rFonts w:ascii="Times New Roman" w:eastAsia="Times New Roman" w:hAnsi="Times New Roman" w:cs="Times New Roman"/>
                <w:sz w:val="20"/>
                <w:szCs w:val="20"/>
                <w:lang w:eastAsia="en-CA"/>
              </w:rPr>
              <w:t>σ</w:t>
            </w:r>
            <w:r w:rsidRPr="00B47506">
              <w:rPr>
                <w:rFonts w:ascii="Times New Roman" w:eastAsia="Times New Roman" w:hAnsi="Times New Roman" w:cs="Times New Roman"/>
                <w:sz w:val="20"/>
                <w:szCs w:val="20"/>
                <w:lang w:val="en-US" w:eastAsia="en-GB"/>
              </w:rPr>
              <w:t>(CF News)</w:t>
            </w:r>
            <w:r w:rsidRPr="00B47506">
              <w:rPr>
                <w:rFonts w:ascii="Times New Roman" w:eastAsia="Times New Roman" w:hAnsi="Times New Roman" w:cs="Times New Roman"/>
                <w:sz w:val="20"/>
                <w:szCs w:val="20"/>
                <w:vertAlign w:val="superscript"/>
                <w:lang w:eastAsia="en-GB"/>
              </w:rPr>
              <w:t>POST</w:t>
            </w:r>
          </w:p>
        </w:tc>
        <w:tc>
          <w:tcPr>
            <w:tcW w:w="7968" w:type="dxa"/>
          </w:tcPr>
          <w:p w14:paraId="3ECB9CB2" w14:textId="3DCF6198" w:rsidR="00A57456" w:rsidRPr="00B47506" w:rsidRDefault="00A57456" w:rsidP="00361863">
            <w:pPr>
              <w:spacing w:line="240" w:lineRule="auto"/>
              <w:jc w:val="both"/>
              <w:rPr>
                <w:rFonts w:ascii="Times New Roman" w:eastAsia="Calibri" w:hAnsi="Times New Roman" w:cs="Times New Roman"/>
                <w:sz w:val="20"/>
                <w:szCs w:val="20"/>
              </w:rPr>
            </w:pPr>
            <w:r w:rsidRPr="00B47506">
              <w:rPr>
                <w:rFonts w:ascii="Times New Roman" w:eastAsia="Calibri" w:hAnsi="Times New Roman" w:cs="Times New Roman"/>
                <w:sz w:val="20"/>
                <w:szCs w:val="20"/>
              </w:rPr>
              <w:t xml:space="preserve">Standard deviation of cash flow news computed in the spirit of Da and </w:t>
            </w:r>
            <w:proofErr w:type="spellStart"/>
            <w:r w:rsidRPr="00B47506">
              <w:rPr>
                <w:rFonts w:ascii="Times New Roman" w:eastAsia="Calibri" w:hAnsi="Times New Roman" w:cs="Times New Roman"/>
                <w:sz w:val="20"/>
                <w:szCs w:val="20"/>
              </w:rPr>
              <w:t>Warachka</w:t>
            </w:r>
            <w:proofErr w:type="spellEnd"/>
            <w:r w:rsidRPr="00B47506">
              <w:rPr>
                <w:rFonts w:ascii="Times New Roman" w:eastAsia="Calibri" w:hAnsi="Times New Roman" w:cs="Times New Roman"/>
                <w:sz w:val="20"/>
                <w:szCs w:val="20"/>
              </w:rPr>
              <w:t xml:space="preserve"> (2009) over the subsequent twelve months. </w:t>
            </w:r>
            <w:r w:rsidR="003B56EF">
              <w:rPr>
                <w:rFonts w:ascii="Times New Roman" w:eastAsia="Calibri" w:hAnsi="Times New Roman" w:cs="Times New Roman"/>
                <w:sz w:val="20"/>
                <w:szCs w:val="20"/>
              </w:rPr>
              <w:t>W</w:t>
            </w:r>
            <w:r w:rsidRPr="00B47506">
              <w:rPr>
                <w:rFonts w:ascii="Times New Roman" w:eastAsia="Calibri" w:hAnsi="Times New Roman" w:cs="Times New Roman"/>
                <w:sz w:val="20"/>
                <w:szCs w:val="20"/>
              </w:rPr>
              <w:t xml:space="preserve">e utilize analysts’ return on equity (ROE) forecasts (EPS/Book per share) up to year 5, and allow ROE of year 5 to fade over the next six years to a long-run ROE equal to g/(1-dividend payout). Dividend payout is </w:t>
            </w:r>
            <w:r w:rsidR="003B56EF">
              <w:rPr>
                <w:rFonts w:ascii="Times New Roman" w:eastAsia="Calibri" w:hAnsi="Times New Roman" w:cs="Times New Roman"/>
                <w:sz w:val="20"/>
                <w:szCs w:val="20"/>
              </w:rPr>
              <w:t>set to</w:t>
            </w:r>
            <w:r w:rsidRPr="00B47506">
              <w:rPr>
                <w:rFonts w:ascii="Times New Roman" w:eastAsia="Calibri" w:hAnsi="Times New Roman" w:cs="Times New Roman"/>
                <w:sz w:val="20"/>
                <w:szCs w:val="20"/>
              </w:rPr>
              <w:t xml:space="preserve"> our sample mean </w:t>
            </w:r>
            <w:r w:rsidR="003B56EF">
              <w:rPr>
                <w:rFonts w:ascii="Times New Roman" w:eastAsia="Calibri" w:hAnsi="Times New Roman" w:cs="Times New Roman"/>
                <w:sz w:val="20"/>
                <w:szCs w:val="20"/>
              </w:rPr>
              <w:t>of</w:t>
            </w:r>
            <w:r w:rsidRPr="00B47506">
              <w:rPr>
                <w:rFonts w:ascii="Times New Roman" w:eastAsia="Calibri" w:hAnsi="Times New Roman" w:cs="Times New Roman"/>
                <w:sz w:val="20"/>
                <w:szCs w:val="20"/>
              </w:rPr>
              <w:t xml:space="preserve"> 22%.</w:t>
            </w:r>
          </w:p>
        </w:tc>
      </w:tr>
      <w:tr w:rsidR="00A57456" w:rsidRPr="003564DE" w14:paraId="6D6F528C" w14:textId="77777777" w:rsidTr="001A645C">
        <w:trPr>
          <w:trHeight w:val="363"/>
          <w:jc w:val="center"/>
        </w:trPr>
        <w:tc>
          <w:tcPr>
            <w:tcW w:w="1413" w:type="dxa"/>
          </w:tcPr>
          <w:p w14:paraId="5A88EF1C" w14:textId="77777777" w:rsidR="00A57456" w:rsidRPr="00652182" w:rsidRDefault="00A57456" w:rsidP="005276C1">
            <w:pPr>
              <w:spacing w:after="0" w:line="240" w:lineRule="auto"/>
              <w:rPr>
                <w:rFonts w:ascii="Times New Roman" w:eastAsia="Calibri" w:hAnsi="Times New Roman" w:cs="Times New Roman"/>
                <w:color w:val="000000"/>
                <w:sz w:val="20"/>
                <w:szCs w:val="20"/>
                <w:lang w:val="en-US"/>
              </w:rPr>
            </w:pPr>
            <w:r w:rsidRPr="003564DE">
              <w:rPr>
                <w:rFonts w:ascii="Times New Roman" w:eastAsia="Calibri" w:hAnsi="Times New Roman" w:cs="Times New Roman"/>
                <w:color w:val="000000"/>
                <w:sz w:val="20"/>
                <w:szCs w:val="20"/>
                <w:lang w:val="el-GR"/>
              </w:rPr>
              <w:t>σ</w:t>
            </w:r>
            <w:r>
              <w:rPr>
                <w:rFonts w:ascii="Times New Roman" w:eastAsia="Calibri" w:hAnsi="Times New Roman" w:cs="Times New Roman"/>
                <w:color w:val="000000"/>
                <w:sz w:val="20"/>
                <w:szCs w:val="20"/>
                <w:lang w:val="en-US"/>
              </w:rPr>
              <w:t>(implied)</w:t>
            </w:r>
          </w:p>
          <w:p w14:paraId="5249FDF5" w14:textId="77777777" w:rsidR="00A57456" w:rsidRPr="00282BCE" w:rsidRDefault="00A57456" w:rsidP="005276C1">
            <w:pPr>
              <w:spacing w:after="0" w:line="240" w:lineRule="auto"/>
              <w:rPr>
                <w:rFonts w:ascii="Times New Roman" w:eastAsia="Times New Roman" w:hAnsi="Times New Roman" w:cs="Times New Roman"/>
                <w:color w:val="000000"/>
                <w:sz w:val="20"/>
                <w:szCs w:val="20"/>
                <w:lang w:eastAsia="en-CA"/>
              </w:rPr>
            </w:pPr>
          </w:p>
        </w:tc>
        <w:tc>
          <w:tcPr>
            <w:tcW w:w="7968" w:type="dxa"/>
          </w:tcPr>
          <w:p w14:paraId="554FB212" w14:textId="260EEACE" w:rsidR="00A57456" w:rsidRPr="003564DE" w:rsidRDefault="00A57456" w:rsidP="001A645C">
            <w:pPr>
              <w:spacing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rPr>
              <w:t>Option-implied volatility on the last trading day of June</w:t>
            </w:r>
            <w:r w:rsidR="00421081">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r w:rsidR="00421081">
              <w:rPr>
                <w:rFonts w:ascii="Times New Roman" w:eastAsia="Calibri" w:hAnsi="Times New Roman" w:cs="Times New Roman"/>
                <w:sz w:val="20"/>
                <w:szCs w:val="20"/>
              </w:rPr>
              <w:t xml:space="preserve">We use </w:t>
            </w:r>
            <w:r>
              <w:rPr>
                <w:rFonts w:ascii="Times New Roman" w:eastAsia="Calibri" w:hAnsi="Times New Roman" w:cs="Times New Roman"/>
                <w:sz w:val="20"/>
                <w:szCs w:val="20"/>
              </w:rPr>
              <w:t>the average implied volatility of the 30-day at-the-money-forward put</w:t>
            </w:r>
            <w:r w:rsidR="00421081">
              <w:rPr>
                <w:rFonts w:ascii="Times New Roman" w:eastAsia="Calibri" w:hAnsi="Times New Roman" w:cs="Times New Roman"/>
                <w:sz w:val="20"/>
                <w:szCs w:val="20"/>
              </w:rPr>
              <w:t>s</w:t>
            </w:r>
            <w:r>
              <w:rPr>
                <w:rFonts w:ascii="Times New Roman" w:eastAsia="Calibri" w:hAnsi="Times New Roman" w:cs="Times New Roman"/>
                <w:sz w:val="20"/>
                <w:szCs w:val="20"/>
              </w:rPr>
              <w:t xml:space="preserve"> and call</w:t>
            </w:r>
            <w:r w:rsidR="00421081">
              <w:rPr>
                <w:rFonts w:ascii="Times New Roman" w:eastAsia="Calibri" w:hAnsi="Times New Roman" w:cs="Times New Roman"/>
                <w:sz w:val="20"/>
                <w:szCs w:val="20"/>
              </w:rPr>
              <w:t>s</w:t>
            </w:r>
            <w:r>
              <w:rPr>
                <w:rFonts w:ascii="Times New Roman" w:eastAsia="Calibri" w:hAnsi="Times New Roman" w:cs="Times New Roman"/>
                <w:sz w:val="20"/>
                <w:szCs w:val="20"/>
              </w:rPr>
              <w:t xml:space="preserve"> from the </w:t>
            </w:r>
            <w:proofErr w:type="spellStart"/>
            <w:r>
              <w:rPr>
                <w:rFonts w:ascii="Times New Roman" w:eastAsia="Calibri" w:hAnsi="Times New Roman" w:cs="Times New Roman"/>
                <w:sz w:val="20"/>
                <w:szCs w:val="20"/>
              </w:rPr>
              <w:t>OptionMetrics</w:t>
            </w:r>
            <w:proofErr w:type="spellEnd"/>
            <w:r>
              <w:rPr>
                <w:rFonts w:ascii="Times New Roman" w:eastAsia="Calibri" w:hAnsi="Times New Roman" w:cs="Times New Roman"/>
                <w:sz w:val="20"/>
                <w:szCs w:val="20"/>
              </w:rPr>
              <w:t xml:space="preserve"> standardized options file.</w:t>
            </w:r>
          </w:p>
        </w:tc>
      </w:tr>
      <w:tr w:rsidR="00A57456" w:rsidRPr="003564DE" w14:paraId="4CF96E08" w14:textId="77777777" w:rsidTr="001A645C">
        <w:trPr>
          <w:trHeight w:val="363"/>
          <w:jc w:val="center"/>
        </w:trPr>
        <w:tc>
          <w:tcPr>
            <w:tcW w:w="1413" w:type="dxa"/>
          </w:tcPr>
          <w:p w14:paraId="62BEC848" w14:textId="77777777" w:rsidR="00A57456" w:rsidRPr="00161F7D" w:rsidRDefault="00A57456" w:rsidP="005276C1">
            <w:pPr>
              <w:spacing w:after="0" w:line="240" w:lineRule="auto"/>
              <w:rPr>
                <w:rFonts w:ascii="Times New Roman" w:eastAsia="Calibri" w:hAnsi="Times New Roman" w:cs="Times New Roman"/>
                <w:iCs/>
                <w:sz w:val="20"/>
                <w:szCs w:val="20"/>
                <w:lang w:val="fr-FR"/>
              </w:rPr>
            </w:pPr>
            <w:r w:rsidRPr="00161F7D">
              <w:rPr>
                <w:rFonts w:ascii="Times New Roman" w:eastAsia="Calibri" w:hAnsi="Times New Roman" w:cs="Times New Roman"/>
                <w:sz w:val="20"/>
                <w:szCs w:val="20"/>
                <w:lang w:val="el-GR"/>
              </w:rPr>
              <w:t>σ</w:t>
            </w:r>
            <w:r w:rsidRPr="00161F7D">
              <w:rPr>
                <w:rFonts w:ascii="Times New Roman" w:eastAsia="Calibri" w:hAnsi="Times New Roman" w:cs="Times New Roman"/>
                <w:sz w:val="20"/>
                <w:szCs w:val="20"/>
                <w:lang w:val="fr-FR"/>
              </w:rPr>
              <w:t>(E[TP]</w:t>
            </w:r>
            <w:r w:rsidRPr="00161F7D">
              <w:rPr>
                <w:rFonts w:ascii="Times New Roman" w:eastAsia="Times New Roman" w:hAnsi="Times New Roman" w:cs="Times New Roman"/>
                <w:sz w:val="20"/>
                <w:szCs w:val="20"/>
                <w:lang w:val="fr-FR" w:eastAsia="en-GB"/>
              </w:rPr>
              <w:t>)</w:t>
            </w:r>
          </w:p>
          <w:p w14:paraId="4C166313" w14:textId="77777777" w:rsidR="00A57456" w:rsidRPr="00161F7D" w:rsidRDefault="00A57456" w:rsidP="005276C1">
            <w:pPr>
              <w:spacing w:after="0" w:line="240" w:lineRule="auto"/>
              <w:rPr>
                <w:rFonts w:ascii="Times New Roman" w:eastAsia="Calibri" w:hAnsi="Times New Roman" w:cs="Times New Roman"/>
                <w:sz w:val="20"/>
                <w:szCs w:val="20"/>
                <w:lang w:val="el-GR"/>
              </w:rPr>
            </w:pPr>
          </w:p>
        </w:tc>
        <w:tc>
          <w:tcPr>
            <w:tcW w:w="7968" w:type="dxa"/>
          </w:tcPr>
          <w:p w14:paraId="6469E169" w14:textId="4BE3383E" w:rsidR="00A57456" w:rsidRPr="00161F7D" w:rsidRDefault="00A57456" w:rsidP="00DC77D6">
            <w:pPr>
              <w:spacing w:line="240" w:lineRule="auto"/>
              <w:jc w:val="both"/>
              <w:rPr>
                <w:rFonts w:ascii="Times New Roman" w:eastAsia="Calibri" w:hAnsi="Times New Roman" w:cs="Times New Roman"/>
                <w:sz w:val="20"/>
                <w:szCs w:val="20"/>
              </w:rPr>
            </w:pPr>
            <w:r w:rsidRPr="00161F7D">
              <w:rPr>
                <w:rFonts w:ascii="Times New Roman" w:eastAsia="Calibri" w:hAnsi="Times New Roman" w:cs="Times New Roman"/>
                <w:sz w:val="20"/>
                <w:szCs w:val="20"/>
              </w:rPr>
              <w:t xml:space="preserve">Standard deviation of analysts’ target prices (I/B/E/S item </w:t>
            </w:r>
            <w:proofErr w:type="spellStart"/>
            <w:r w:rsidRPr="00161F7D">
              <w:rPr>
                <w:rFonts w:ascii="Times New Roman" w:eastAsia="Calibri" w:hAnsi="Times New Roman" w:cs="Times New Roman"/>
                <w:i/>
                <w:iCs/>
                <w:sz w:val="20"/>
                <w:szCs w:val="20"/>
              </w:rPr>
              <w:t>stdev</w:t>
            </w:r>
            <w:proofErr w:type="spellEnd"/>
            <w:r w:rsidRPr="00161F7D">
              <w:rPr>
                <w:rFonts w:ascii="Times New Roman" w:eastAsia="Calibri" w:hAnsi="Times New Roman" w:cs="Times New Roman"/>
                <w:sz w:val="20"/>
                <w:szCs w:val="20"/>
              </w:rPr>
              <w:t xml:space="preserve">) scaled by the mean price target (I/B/E/S item </w:t>
            </w:r>
            <w:proofErr w:type="spellStart"/>
            <w:r w:rsidRPr="00161F7D">
              <w:rPr>
                <w:rFonts w:ascii="Times New Roman" w:eastAsia="Calibri" w:hAnsi="Times New Roman" w:cs="Times New Roman"/>
                <w:i/>
                <w:iCs/>
                <w:sz w:val="20"/>
                <w:szCs w:val="20"/>
              </w:rPr>
              <w:t>meanptg</w:t>
            </w:r>
            <w:proofErr w:type="spellEnd"/>
            <w:r w:rsidRPr="00161F7D">
              <w:rPr>
                <w:rFonts w:ascii="Times New Roman" w:eastAsia="Calibri" w:hAnsi="Times New Roman" w:cs="Times New Roman"/>
                <w:sz w:val="20"/>
                <w:szCs w:val="20"/>
              </w:rPr>
              <w:t>). We use the unadjusted I/B/E/S summary file.</w:t>
            </w:r>
          </w:p>
        </w:tc>
      </w:tr>
      <w:tr w:rsidR="00A57456" w:rsidRPr="003564DE" w14:paraId="349B3187" w14:textId="77777777" w:rsidTr="001A645C">
        <w:trPr>
          <w:trHeight w:val="363"/>
          <w:jc w:val="center"/>
        </w:trPr>
        <w:tc>
          <w:tcPr>
            <w:tcW w:w="1413" w:type="dxa"/>
          </w:tcPr>
          <w:p w14:paraId="730B2534" w14:textId="2194B3E1" w:rsidR="00DC77D6" w:rsidRPr="00B115B8" w:rsidRDefault="00DC77D6" w:rsidP="005276C1">
            <w:pPr>
              <w:spacing w:after="0" w:line="240" w:lineRule="auto"/>
              <w:rPr>
                <w:rFonts w:ascii="Times New Roman" w:eastAsia="Calibri" w:hAnsi="Times New Roman" w:cs="Times New Roman"/>
                <w:sz w:val="20"/>
                <w:szCs w:val="20"/>
                <w:lang w:val="el-GR"/>
              </w:rPr>
            </w:pPr>
            <w:r w:rsidRPr="00161F7D">
              <w:rPr>
                <w:rFonts w:ascii="Times New Roman" w:eastAsia="Calibri" w:hAnsi="Times New Roman" w:cs="Times New Roman"/>
                <w:sz w:val="20"/>
                <w:szCs w:val="20"/>
                <w:lang w:val="el-GR"/>
              </w:rPr>
              <w:t>σ</w:t>
            </w:r>
            <w:r w:rsidRPr="00B115B8">
              <w:rPr>
                <w:rFonts w:ascii="Times New Roman" w:eastAsia="Calibri" w:hAnsi="Times New Roman" w:cs="Times New Roman"/>
                <w:sz w:val="20"/>
                <w:szCs w:val="20"/>
                <w:lang w:val="el-GR"/>
              </w:rPr>
              <w:t>(</w:t>
            </w:r>
            <w:r w:rsidRPr="00161F7D">
              <w:rPr>
                <w:rFonts w:ascii="Times New Roman" w:eastAsia="Calibri" w:hAnsi="Times New Roman" w:cs="Times New Roman"/>
                <w:sz w:val="20"/>
                <w:szCs w:val="20"/>
              </w:rPr>
              <w:t>E</w:t>
            </w:r>
            <w:r w:rsidRPr="00B115B8">
              <w:rPr>
                <w:rFonts w:ascii="Times New Roman" w:eastAsia="Calibri" w:hAnsi="Times New Roman" w:cs="Times New Roman"/>
                <w:sz w:val="20"/>
                <w:szCs w:val="20"/>
                <w:lang w:val="el-GR"/>
              </w:rPr>
              <w:t>[</w:t>
            </w:r>
            <w:r w:rsidRPr="00161F7D">
              <w:rPr>
                <w:rFonts w:ascii="Times New Roman" w:eastAsia="Calibri" w:hAnsi="Times New Roman" w:cs="Times New Roman"/>
                <w:sz w:val="20"/>
                <w:szCs w:val="20"/>
              </w:rPr>
              <w:t>EPS</w:t>
            </w:r>
            <w:r w:rsidRPr="00B115B8">
              <w:rPr>
                <w:rFonts w:ascii="Times New Roman" w:eastAsia="Calibri" w:hAnsi="Times New Roman" w:cs="Times New Roman"/>
                <w:sz w:val="20"/>
                <w:szCs w:val="20"/>
                <w:lang w:val="el-GR"/>
              </w:rPr>
              <w:t>])</w:t>
            </w:r>
          </w:p>
          <w:p w14:paraId="5FDE9EB6" w14:textId="77777777" w:rsidR="00DC77D6" w:rsidRPr="00B115B8" w:rsidRDefault="00DC77D6" w:rsidP="005276C1">
            <w:pPr>
              <w:spacing w:after="0" w:line="240" w:lineRule="auto"/>
              <w:rPr>
                <w:rFonts w:ascii="Times New Roman" w:eastAsia="Calibri" w:hAnsi="Times New Roman" w:cs="Times New Roman"/>
                <w:sz w:val="20"/>
                <w:szCs w:val="20"/>
                <w:lang w:val="el-GR"/>
              </w:rPr>
            </w:pPr>
          </w:p>
          <w:p w14:paraId="5F710EFE" w14:textId="77777777" w:rsidR="00DC77D6" w:rsidRPr="00B115B8" w:rsidRDefault="00DC77D6" w:rsidP="005276C1">
            <w:pPr>
              <w:spacing w:after="0" w:line="240" w:lineRule="auto"/>
              <w:rPr>
                <w:rFonts w:ascii="Times New Roman" w:eastAsia="Calibri" w:hAnsi="Times New Roman" w:cs="Times New Roman"/>
                <w:sz w:val="20"/>
                <w:szCs w:val="20"/>
                <w:lang w:val="el-GR"/>
              </w:rPr>
            </w:pPr>
          </w:p>
          <w:p w14:paraId="647A86B5" w14:textId="77777777" w:rsidR="007D6142" w:rsidRPr="00B115B8" w:rsidRDefault="007D6142" w:rsidP="005276C1">
            <w:pPr>
              <w:spacing w:after="0" w:line="240" w:lineRule="auto"/>
              <w:rPr>
                <w:rFonts w:ascii="Times New Roman" w:eastAsia="Calibri" w:hAnsi="Times New Roman" w:cs="Times New Roman"/>
                <w:sz w:val="20"/>
                <w:szCs w:val="20"/>
                <w:lang w:val="el-GR"/>
              </w:rPr>
            </w:pPr>
          </w:p>
          <w:p w14:paraId="2F2A1344" w14:textId="281A51CC" w:rsidR="00A57456" w:rsidRPr="00B115B8" w:rsidRDefault="00A57456" w:rsidP="005276C1">
            <w:pPr>
              <w:spacing w:after="0" w:line="240" w:lineRule="auto"/>
              <w:rPr>
                <w:rFonts w:ascii="Times New Roman" w:eastAsia="Calibri" w:hAnsi="Times New Roman" w:cs="Times New Roman"/>
                <w:sz w:val="20"/>
                <w:szCs w:val="20"/>
                <w:lang w:val="el-GR"/>
              </w:rPr>
            </w:pPr>
            <w:r w:rsidRPr="00161F7D">
              <w:rPr>
                <w:rFonts w:ascii="Times New Roman" w:eastAsia="Calibri" w:hAnsi="Times New Roman" w:cs="Times New Roman"/>
                <w:sz w:val="20"/>
                <w:szCs w:val="20"/>
                <w:lang w:val="el-GR"/>
              </w:rPr>
              <w:t>σ</w:t>
            </w:r>
            <w:r w:rsidRPr="00E34156">
              <w:rPr>
                <w:rFonts w:ascii="Times New Roman" w:eastAsia="Calibri" w:hAnsi="Times New Roman" w:cs="Times New Roman"/>
                <w:sz w:val="20"/>
                <w:szCs w:val="20"/>
                <w:lang w:val="el-GR"/>
              </w:rPr>
              <w:t>(</w:t>
            </w:r>
            <w:r w:rsidRPr="00A70367">
              <w:rPr>
                <w:rFonts w:ascii="Times New Roman" w:eastAsia="Calibri" w:hAnsi="Times New Roman" w:cs="Times New Roman"/>
                <w:sz w:val="20"/>
                <w:szCs w:val="20"/>
              </w:rPr>
              <w:t>E</w:t>
            </w:r>
            <w:r w:rsidRPr="00E34156">
              <w:rPr>
                <w:rFonts w:ascii="Times New Roman" w:eastAsia="Calibri" w:hAnsi="Times New Roman" w:cs="Times New Roman"/>
                <w:sz w:val="20"/>
                <w:szCs w:val="20"/>
                <w:lang w:val="el-GR"/>
              </w:rPr>
              <w:t>[</w:t>
            </w:r>
            <w:r w:rsidRPr="00A70367">
              <w:rPr>
                <w:rFonts w:ascii="Times New Roman" w:eastAsia="Calibri" w:hAnsi="Times New Roman" w:cs="Times New Roman"/>
                <w:sz w:val="20"/>
                <w:szCs w:val="20"/>
              </w:rPr>
              <w:t>LTG</w:t>
            </w:r>
            <w:r w:rsidRPr="00E34156">
              <w:rPr>
                <w:rFonts w:ascii="Times New Roman" w:eastAsia="Calibri" w:hAnsi="Times New Roman" w:cs="Times New Roman"/>
                <w:sz w:val="20"/>
                <w:szCs w:val="20"/>
                <w:lang w:val="el-GR"/>
              </w:rPr>
              <w:t>]</w:t>
            </w:r>
            <w:r w:rsidRPr="00E34156">
              <w:rPr>
                <w:rFonts w:ascii="Times New Roman" w:eastAsia="Times New Roman" w:hAnsi="Times New Roman" w:cs="Times New Roman"/>
                <w:sz w:val="20"/>
                <w:szCs w:val="20"/>
                <w:lang w:val="el-GR" w:eastAsia="en-GB"/>
              </w:rPr>
              <w:t>)</w:t>
            </w:r>
          </w:p>
        </w:tc>
        <w:tc>
          <w:tcPr>
            <w:tcW w:w="7968" w:type="dxa"/>
          </w:tcPr>
          <w:p w14:paraId="2DEA58BA" w14:textId="48B54BD8" w:rsidR="00DC77D6" w:rsidRDefault="00DC77D6" w:rsidP="001A645C">
            <w:pPr>
              <w:spacing w:line="240" w:lineRule="auto"/>
              <w:jc w:val="both"/>
              <w:rPr>
                <w:rFonts w:ascii="Times New Roman" w:eastAsia="Calibri" w:hAnsi="Times New Roman" w:cs="Times New Roman"/>
                <w:sz w:val="20"/>
                <w:szCs w:val="20"/>
              </w:rPr>
            </w:pPr>
            <w:r w:rsidRPr="00161F7D">
              <w:rPr>
                <w:rFonts w:ascii="Times New Roman" w:eastAsia="Calibri" w:hAnsi="Times New Roman" w:cs="Times New Roman"/>
                <w:sz w:val="20"/>
                <w:szCs w:val="20"/>
              </w:rPr>
              <w:t xml:space="preserve">Standard deviation of one-year ahead analysts’ EPS forecasts (I/B/E/S item </w:t>
            </w:r>
            <w:proofErr w:type="spellStart"/>
            <w:r w:rsidRPr="00161F7D">
              <w:rPr>
                <w:rFonts w:ascii="Times New Roman" w:eastAsia="Calibri" w:hAnsi="Times New Roman" w:cs="Times New Roman"/>
                <w:i/>
                <w:iCs/>
                <w:sz w:val="20"/>
                <w:szCs w:val="20"/>
              </w:rPr>
              <w:t>stdev</w:t>
            </w:r>
            <w:proofErr w:type="spellEnd"/>
            <w:r w:rsidRPr="00161F7D">
              <w:rPr>
                <w:rFonts w:ascii="Times New Roman" w:eastAsia="Calibri" w:hAnsi="Times New Roman" w:cs="Times New Roman"/>
                <w:i/>
                <w:iCs/>
                <w:sz w:val="20"/>
                <w:szCs w:val="20"/>
              </w:rPr>
              <w:t xml:space="preserve"> </w:t>
            </w:r>
            <w:r w:rsidRPr="00161F7D">
              <w:rPr>
                <w:rFonts w:ascii="Times New Roman" w:eastAsia="Calibri" w:hAnsi="Times New Roman" w:cs="Times New Roman"/>
                <w:sz w:val="20"/>
                <w:szCs w:val="20"/>
              </w:rPr>
              <w:t>when</w:t>
            </w:r>
            <w:r w:rsidRPr="00161F7D">
              <w:rPr>
                <w:rFonts w:ascii="Times New Roman" w:eastAsia="Calibri" w:hAnsi="Times New Roman" w:cs="Times New Roman"/>
                <w:i/>
                <w:iCs/>
                <w:sz w:val="20"/>
                <w:szCs w:val="20"/>
              </w:rPr>
              <w:t xml:space="preserve"> </w:t>
            </w:r>
            <w:r w:rsidRPr="00161F7D">
              <w:rPr>
                <w:rFonts w:ascii="Times New Roman" w:eastAsia="Calibri" w:hAnsi="Times New Roman" w:cs="Times New Roman"/>
                <w:sz w:val="20"/>
                <w:szCs w:val="20"/>
              </w:rPr>
              <w:t>“measure”</w:t>
            </w:r>
            <w:r w:rsidRPr="00161F7D">
              <w:rPr>
                <w:rFonts w:ascii="Times New Roman" w:eastAsia="Calibri" w:hAnsi="Times New Roman" w:cs="Times New Roman"/>
                <w:i/>
                <w:iCs/>
                <w:sz w:val="20"/>
                <w:szCs w:val="20"/>
              </w:rPr>
              <w:t xml:space="preserve"> = EPS, </w:t>
            </w:r>
            <w:r w:rsidRPr="00161F7D">
              <w:rPr>
                <w:rFonts w:ascii="Times New Roman" w:eastAsia="Calibri" w:hAnsi="Times New Roman" w:cs="Times New Roman"/>
                <w:sz w:val="20"/>
                <w:szCs w:val="20"/>
              </w:rPr>
              <w:t>“</w:t>
            </w:r>
            <w:proofErr w:type="spellStart"/>
            <w:r w:rsidRPr="00161F7D">
              <w:rPr>
                <w:rFonts w:ascii="Times New Roman" w:eastAsia="Calibri" w:hAnsi="Times New Roman" w:cs="Times New Roman"/>
                <w:sz w:val="20"/>
                <w:szCs w:val="20"/>
              </w:rPr>
              <w:t>fiscalp</w:t>
            </w:r>
            <w:proofErr w:type="spellEnd"/>
            <w:r w:rsidRPr="00161F7D">
              <w:rPr>
                <w:rFonts w:ascii="Times New Roman" w:eastAsia="Calibri" w:hAnsi="Times New Roman" w:cs="Times New Roman"/>
                <w:sz w:val="20"/>
                <w:szCs w:val="20"/>
              </w:rPr>
              <w:t>”</w:t>
            </w:r>
            <w:r w:rsidRPr="00161F7D">
              <w:rPr>
                <w:rFonts w:ascii="Times New Roman" w:eastAsia="Calibri" w:hAnsi="Times New Roman" w:cs="Times New Roman"/>
                <w:i/>
                <w:iCs/>
                <w:sz w:val="20"/>
                <w:szCs w:val="20"/>
              </w:rPr>
              <w:t xml:space="preserve"> = ANN, </w:t>
            </w:r>
            <w:proofErr w:type="spellStart"/>
            <w:r w:rsidRPr="00161F7D">
              <w:rPr>
                <w:rFonts w:ascii="Times New Roman" w:eastAsia="Calibri" w:hAnsi="Times New Roman" w:cs="Times New Roman"/>
                <w:i/>
                <w:iCs/>
                <w:sz w:val="20"/>
                <w:szCs w:val="20"/>
              </w:rPr>
              <w:t>fpi</w:t>
            </w:r>
            <w:proofErr w:type="spellEnd"/>
            <w:r w:rsidRPr="00161F7D">
              <w:rPr>
                <w:rFonts w:ascii="Times New Roman" w:eastAsia="Calibri" w:hAnsi="Times New Roman" w:cs="Times New Roman"/>
                <w:i/>
                <w:iCs/>
                <w:sz w:val="20"/>
                <w:szCs w:val="20"/>
              </w:rPr>
              <w:t xml:space="preserve"> = 1</w:t>
            </w:r>
            <w:r w:rsidRPr="00161F7D">
              <w:rPr>
                <w:rFonts w:ascii="Times New Roman" w:eastAsia="Calibri" w:hAnsi="Times New Roman" w:cs="Times New Roman"/>
                <w:sz w:val="20"/>
                <w:szCs w:val="20"/>
              </w:rPr>
              <w:t>) scaled by the absolute value of mean consensus EPS forecast (I/B/E/S item</w:t>
            </w:r>
            <w:r w:rsidRPr="00161F7D">
              <w:rPr>
                <w:rFonts w:ascii="Times New Roman" w:eastAsia="Calibri" w:hAnsi="Times New Roman" w:cs="Times New Roman"/>
                <w:i/>
                <w:iCs/>
                <w:sz w:val="20"/>
                <w:szCs w:val="20"/>
              </w:rPr>
              <w:t xml:space="preserve"> meanest</w:t>
            </w:r>
            <w:r w:rsidRPr="00161F7D">
              <w:rPr>
                <w:rFonts w:ascii="Times New Roman" w:eastAsia="Calibri" w:hAnsi="Times New Roman" w:cs="Times New Roman"/>
                <w:sz w:val="20"/>
                <w:szCs w:val="20"/>
              </w:rPr>
              <w:t>). We use the unadjusted I/B/E/S summary file.</w:t>
            </w:r>
          </w:p>
          <w:p w14:paraId="1E9426A4" w14:textId="565FA283" w:rsidR="00A57456" w:rsidRPr="00161F7D" w:rsidRDefault="00B81A13" w:rsidP="00DC77D6">
            <w:pPr>
              <w:spacing w:line="240" w:lineRule="auto"/>
              <w:jc w:val="both"/>
              <w:rPr>
                <w:rFonts w:ascii="Times New Roman" w:eastAsia="Calibri" w:hAnsi="Times New Roman" w:cs="Times New Roman"/>
                <w:sz w:val="20"/>
                <w:szCs w:val="20"/>
              </w:rPr>
            </w:pPr>
            <w:r w:rsidRPr="00161F7D">
              <w:rPr>
                <w:rFonts w:ascii="Times New Roman" w:eastAsia="Calibri" w:hAnsi="Times New Roman" w:cs="Times New Roman"/>
                <w:sz w:val="20"/>
                <w:szCs w:val="20"/>
              </w:rPr>
              <w:t xml:space="preserve">Standard deviation of analysts’ long-term growth forecasts (I/B/E/S item </w:t>
            </w:r>
            <w:proofErr w:type="spellStart"/>
            <w:r w:rsidRPr="00161F7D">
              <w:rPr>
                <w:rFonts w:ascii="Times New Roman" w:eastAsia="Calibri" w:hAnsi="Times New Roman" w:cs="Times New Roman"/>
                <w:i/>
                <w:iCs/>
                <w:sz w:val="20"/>
                <w:szCs w:val="20"/>
              </w:rPr>
              <w:t>stdev</w:t>
            </w:r>
            <w:proofErr w:type="spellEnd"/>
            <w:r w:rsidRPr="00161F7D">
              <w:rPr>
                <w:rFonts w:ascii="Times New Roman" w:eastAsia="Calibri" w:hAnsi="Times New Roman" w:cs="Times New Roman"/>
                <w:i/>
                <w:iCs/>
                <w:sz w:val="20"/>
                <w:szCs w:val="20"/>
              </w:rPr>
              <w:t xml:space="preserve"> </w:t>
            </w:r>
            <w:r w:rsidRPr="00161F7D">
              <w:rPr>
                <w:rFonts w:ascii="Times New Roman" w:eastAsia="Calibri" w:hAnsi="Times New Roman" w:cs="Times New Roman"/>
                <w:sz w:val="20"/>
                <w:szCs w:val="20"/>
              </w:rPr>
              <w:t>when</w:t>
            </w:r>
            <w:r w:rsidRPr="00161F7D">
              <w:rPr>
                <w:rFonts w:ascii="Times New Roman" w:eastAsia="Calibri" w:hAnsi="Times New Roman" w:cs="Times New Roman"/>
                <w:i/>
                <w:iCs/>
                <w:sz w:val="20"/>
                <w:szCs w:val="20"/>
              </w:rPr>
              <w:t xml:space="preserve"> </w:t>
            </w:r>
            <w:r w:rsidRPr="00161F7D">
              <w:rPr>
                <w:rFonts w:ascii="Times New Roman" w:eastAsia="Calibri" w:hAnsi="Times New Roman" w:cs="Times New Roman"/>
                <w:sz w:val="20"/>
                <w:szCs w:val="20"/>
              </w:rPr>
              <w:t>“measure”</w:t>
            </w:r>
            <w:r w:rsidRPr="00161F7D">
              <w:rPr>
                <w:rFonts w:ascii="Times New Roman" w:eastAsia="Calibri" w:hAnsi="Times New Roman" w:cs="Times New Roman"/>
                <w:i/>
                <w:iCs/>
                <w:sz w:val="20"/>
                <w:szCs w:val="20"/>
              </w:rPr>
              <w:t xml:space="preserve"> = EPS, </w:t>
            </w:r>
            <w:r w:rsidRPr="00161F7D">
              <w:rPr>
                <w:rFonts w:ascii="Times New Roman" w:eastAsia="Calibri" w:hAnsi="Times New Roman" w:cs="Times New Roman"/>
                <w:sz w:val="20"/>
                <w:szCs w:val="20"/>
              </w:rPr>
              <w:t>“</w:t>
            </w:r>
            <w:proofErr w:type="spellStart"/>
            <w:r w:rsidRPr="00161F7D">
              <w:rPr>
                <w:rFonts w:ascii="Times New Roman" w:eastAsia="Calibri" w:hAnsi="Times New Roman" w:cs="Times New Roman"/>
                <w:sz w:val="20"/>
                <w:szCs w:val="20"/>
              </w:rPr>
              <w:t>fiscalp</w:t>
            </w:r>
            <w:proofErr w:type="spellEnd"/>
            <w:r w:rsidRPr="00161F7D">
              <w:rPr>
                <w:rFonts w:ascii="Times New Roman" w:eastAsia="Calibri" w:hAnsi="Times New Roman" w:cs="Times New Roman"/>
                <w:sz w:val="20"/>
                <w:szCs w:val="20"/>
              </w:rPr>
              <w:t>”</w:t>
            </w:r>
            <w:r w:rsidRPr="00161F7D">
              <w:rPr>
                <w:rFonts w:ascii="Times New Roman" w:eastAsia="Calibri" w:hAnsi="Times New Roman" w:cs="Times New Roman"/>
                <w:i/>
                <w:iCs/>
                <w:sz w:val="20"/>
                <w:szCs w:val="20"/>
              </w:rPr>
              <w:t xml:space="preserve"> = LTG, </w:t>
            </w:r>
            <w:proofErr w:type="spellStart"/>
            <w:r w:rsidRPr="00161F7D">
              <w:rPr>
                <w:rFonts w:ascii="Times New Roman" w:eastAsia="Calibri" w:hAnsi="Times New Roman" w:cs="Times New Roman"/>
                <w:i/>
                <w:iCs/>
                <w:sz w:val="20"/>
                <w:szCs w:val="20"/>
              </w:rPr>
              <w:t>fpi</w:t>
            </w:r>
            <w:proofErr w:type="spellEnd"/>
            <w:r w:rsidRPr="00161F7D">
              <w:rPr>
                <w:rFonts w:ascii="Times New Roman" w:eastAsia="Calibri" w:hAnsi="Times New Roman" w:cs="Times New Roman"/>
                <w:i/>
                <w:iCs/>
                <w:sz w:val="20"/>
                <w:szCs w:val="20"/>
              </w:rPr>
              <w:t xml:space="preserve"> = 0</w:t>
            </w:r>
            <w:r w:rsidRPr="00161F7D">
              <w:rPr>
                <w:rFonts w:ascii="Times New Roman" w:eastAsia="Calibri" w:hAnsi="Times New Roman" w:cs="Times New Roman"/>
                <w:sz w:val="20"/>
                <w:szCs w:val="20"/>
              </w:rPr>
              <w:t>)). We use the unadjusted I/B/E/S summary file.</w:t>
            </w:r>
          </w:p>
        </w:tc>
      </w:tr>
      <w:tr w:rsidR="00E046CA" w:rsidRPr="003564DE" w14:paraId="7BA632F6" w14:textId="77777777" w:rsidTr="001A645C">
        <w:trPr>
          <w:trHeight w:val="47"/>
          <w:jc w:val="center"/>
        </w:trPr>
        <w:tc>
          <w:tcPr>
            <w:tcW w:w="1413" w:type="dxa"/>
          </w:tcPr>
          <w:p w14:paraId="08FB0670" w14:textId="1532F470" w:rsidR="00B8322C" w:rsidRDefault="00A57456" w:rsidP="001A645C">
            <w:pPr>
              <w:spacing w:line="240" w:lineRule="auto"/>
              <w:rPr>
                <w:rFonts w:ascii="Times New Roman" w:eastAsia="Calibri" w:hAnsi="Times New Roman" w:cs="Times New Roman"/>
                <w:color w:val="000000"/>
                <w:sz w:val="20"/>
                <w:szCs w:val="20"/>
              </w:rPr>
            </w:pPr>
            <w:r w:rsidRPr="003564DE">
              <w:rPr>
                <w:rFonts w:ascii="Times New Roman" w:eastAsia="Calibri" w:hAnsi="Times New Roman" w:cs="Times New Roman"/>
                <w:color w:val="000000"/>
                <w:sz w:val="20"/>
                <w:szCs w:val="20"/>
              </w:rPr>
              <w:t>Intan/Assets</w:t>
            </w:r>
          </w:p>
          <w:p w14:paraId="23312139" w14:textId="1F737A19" w:rsidR="007D6142" w:rsidRDefault="00B8322C" w:rsidP="007D6142">
            <w:pPr>
              <w:spacing w:line="240" w:lineRule="auto"/>
              <w:rPr>
                <w:rFonts w:ascii="Times New Roman" w:eastAsia="Calibri" w:hAnsi="Times New Roman" w:cs="Times New Roman"/>
                <w:sz w:val="20"/>
                <w:szCs w:val="20"/>
                <w:vertAlign w:val="subscript"/>
              </w:rPr>
            </w:pPr>
            <w:r w:rsidRPr="003564DE">
              <w:rPr>
                <w:rFonts w:ascii="Times New Roman" w:eastAsia="Calibri" w:hAnsi="Times New Roman" w:cs="Times New Roman"/>
                <w:sz w:val="20"/>
                <w:szCs w:val="20"/>
              </w:rPr>
              <w:t>I</w:t>
            </w:r>
            <w:r w:rsidRPr="003564DE">
              <w:rPr>
                <w:rFonts w:ascii="Times New Roman" w:eastAsia="Calibri" w:hAnsi="Times New Roman" w:cs="Times New Roman"/>
                <w:sz w:val="20"/>
                <w:szCs w:val="20"/>
                <w:vertAlign w:val="subscript"/>
              </w:rPr>
              <w:t>DIV&gt;0</w:t>
            </w:r>
          </w:p>
          <w:p w14:paraId="20768B13" w14:textId="5E9B2808" w:rsidR="007D6142" w:rsidRDefault="007D6142" w:rsidP="00844FA9">
            <w:pPr>
              <w:spacing w:line="240" w:lineRule="auto"/>
              <w:rPr>
                <w:rFonts w:ascii="Times New Roman" w:eastAsia="Calibri" w:hAnsi="Times New Roman" w:cs="Times New Roman"/>
                <w:sz w:val="20"/>
                <w:szCs w:val="20"/>
                <w:vertAlign w:val="subscript"/>
              </w:rPr>
            </w:pPr>
            <w:r w:rsidRPr="003564DE">
              <w:rPr>
                <w:rFonts w:ascii="Times New Roman" w:eastAsia="Calibri" w:hAnsi="Times New Roman" w:cs="Times New Roman"/>
                <w:sz w:val="20"/>
                <w:szCs w:val="20"/>
              </w:rPr>
              <w:t>I</w:t>
            </w:r>
            <w:r w:rsidRPr="003564DE">
              <w:rPr>
                <w:rFonts w:ascii="Times New Roman" w:eastAsia="Calibri" w:hAnsi="Times New Roman" w:cs="Times New Roman"/>
                <w:sz w:val="20"/>
                <w:szCs w:val="20"/>
                <w:vertAlign w:val="subscript"/>
              </w:rPr>
              <w:t>EARN&lt;0</w:t>
            </w:r>
          </w:p>
          <w:p w14:paraId="76D87D16" w14:textId="65D23D26" w:rsidR="0044790C" w:rsidRPr="0044790C" w:rsidRDefault="00E046CA" w:rsidP="00E046CA">
            <w:pPr>
              <w:spacing w:after="0" w:line="240" w:lineRule="auto"/>
              <w:rPr>
                <w:rFonts w:ascii="Times New Roman" w:eastAsia="Calibri" w:hAnsi="Times New Roman" w:cs="Times New Roman"/>
                <w:color w:val="000000"/>
                <w:sz w:val="20"/>
                <w:szCs w:val="20"/>
                <w:lang w:val="en-US"/>
              </w:rPr>
            </w:pPr>
            <w:r w:rsidRPr="003564DE">
              <w:rPr>
                <w:rFonts w:ascii="Times New Roman" w:eastAsia="Calibri" w:hAnsi="Times New Roman" w:cs="Times New Roman"/>
                <w:color w:val="000000"/>
                <w:sz w:val="20"/>
                <w:szCs w:val="20"/>
              </w:rPr>
              <w:t>S</w:t>
            </w:r>
            <w:r>
              <w:rPr>
                <w:rFonts w:ascii="Times New Roman" w:eastAsia="Calibri" w:hAnsi="Times New Roman" w:cs="Times New Roman"/>
                <w:color w:val="000000"/>
                <w:sz w:val="20"/>
                <w:szCs w:val="20"/>
              </w:rPr>
              <w:t>ENT</w:t>
            </w:r>
            <w:r w:rsidRPr="00370CDE">
              <w:rPr>
                <w:rFonts w:ascii="Times New Roman" w:hAnsi="Times New Roman" w:cs="Times New Roman"/>
                <w:sz w:val="20"/>
                <w:szCs w:val="20"/>
              </w:rPr>
              <w:t>┴</w:t>
            </w:r>
          </w:p>
        </w:tc>
        <w:tc>
          <w:tcPr>
            <w:tcW w:w="7968" w:type="dxa"/>
          </w:tcPr>
          <w:p w14:paraId="6250CC68" w14:textId="1B408750" w:rsidR="00B8322C" w:rsidRDefault="00701204" w:rsidP="001A645C">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lang w:val="en-US"/>
              </w:rPr>
              <w:t>Intangible</w:t>
            </w:r>
            <w:r>
              <w:rPr>
                <w:rFonts w:ascii="Times New Roman" w:eastAsia="Calibri" w:hAnsi="Times New Roman" w:cs="Times New Roman"/>
                <w:sz w:val="20"/>
                <w:szCs w:val="20"/>
              </w:rPr>
              <w:t xml:space="preserve"> assets </w:t>
            </w:r>
            <w:r w:rsidR="00A57456" w:rsidRPr="003564DE">
              <w:rPr>
                <w:rFonts w:ascii="Times New Roman" w:eastAsia="Calibri" w:hAnsi="Times New Roman" w:cs="Times New Roman"/>
                <w:sz w:val="20"/>
                <w:szCs w:val="20"/>
              </w:rPr>
              <w:t>(</w:t>
            </w:r>
            <w:proofErr w:type="spellStart"/>
            <w:r w:rsidR="00A57456" w:rsidRPr="003564DE">
              <w:rPr>
                <w:rFonts w:ascii="Times New Roman" w:eastAsia="Calibri" w:hAnsi="Times New Roman" w:cs="Times New Roman"/>
                <w:sz w:val="20"/>
                <w:szCs w:val="20"/>
              </w:rPr>
              <w:t>Compustat</w:t>
            </w:r>
            <w:proofErr w:type="spellEnd"/>
            <w:r w:rsidR="00A57456" w:rsidRPr="003564DE">
              <w:rPr>
                <w:rFonts w:ascii="Times New Roman" w:eastAsia="Calibri" w:hAnsi="Times New Roman" w:cs="Times New Roman"/>
                <w:sz w:val="20"/>
                <w:szCs w:val="20"/>
              </w:rPr>
              <w:t xml:space="preserve"> item </w:t>
            </w:r>
            <w:proofErr w:type="spellStart"/>
            <w:r w:rsidR="00A57456" w:rsidRPr="003564DE">
              <w:rPr>
                <w:rFonts w:ascii="Times New Roman" w:eastAsia="Calibri" w:hAnsi="Times New Roman" w:cs="Times New Roman"/>
                <w:i/>
                <w:sz w:val="20"/>
                <w:szCs w:val="20"/>
              </w:rPr>
              <w:t>intan</w:t>
            </w:r>
            <w:proofErr w:type="spellEnd"/>
            <w:r w:rsidR="00A57456" w:rsidRPr="003564DE">
              <w:rPr>
                <w:rFonts w:ascii="Times New Roman" w:eastAsia="Calibri" w:hAnsi="Times New Roman" w:cs="Times New Roman"/>
                <w:sz w:val="20"/>
                <w:szCs w:val="20"/>
              </w:rPr>
              <w:t>)</w:t>
            </w:r>
            <w:r>
              <w:rPr>
                <w:rFonts w:ascii="Times New Roman" w:eastAsia="Calibri" w:hAnsi="Times New Roman" w:cs="Times New Roman"/>
                <w:sz w:val="20"/>
                <w:szCs w:val="20"/>
              </w:rPr>
              <w:t xml:space="preserve"> scaled by</w:t>
            </w:r>
            <w:r w:rsidR="00295BFB">
              <w:rPr>
                <w:rFonts w:ascii="Times New Roman" w:eastAsia="Calibri" w:hAnsi="Times New Roman" w:cs="Times New Roman"/>
                <w:sz w:val="20"/>
                <w:szCs w:val="20"/>
              </w:rPr>
              <w:t xml:space="preserve"> </w:t>
            </w:r>
            <w:r w:rsidR="00A57456" w:rsidRPr="003564DE">
              <w:rPr>
                <w:rFonts w:ascii="Times New Roman" w:eastAsia="Calibri" w:hAnsi="Times New Roman" w:cs="Times New Roman"/>
                <w:sz w:val="20"/>
                <w:szCs w:val="20"/>
              </w:rPr>
              <w:t>total assets (</w:t>
            </w:r>
            <w:proofErr w:type="spellStart"/>
            <w:r w:rsidR="00A57456" w:rsidRPr="003564DE">
              <w:rPr>
                <w:rFonts w:ascii="Times New Roman" w:eastAsia="Calibri" w:hAnsi="Times New Roman" w:cs="Times New Roman"/>
                <w:sz w:val="20"/>
                <w:szCs w:val="20"/>
              </w:rPr>
              <w:t>Compustat</w:t>
            </w:r>
            <w:proofErr w:type="spellEnd"/>
            <w:r w:rsidR="00A57456" w:rsidRPr="003564DE">
              <w:rPr>
                <w:rFonts w:ascii="Times New Roman" w:eastAsia="Calibri" w:hAnsi="Times New Roman" w:cs="Times New Roman"/>
                <w:sz w:val="20"/>
                <w:szCs w:val="20"/>
              </w:rPr>
              <w:t xml:space="preserve"> item </w:t>
            </w:r>
            <w:r w:rsidR="00A57456" w:rsidRPr="003564DE">
              <w:rPr>
                <w:rFonts w:ascii="Times New Roman" w:eastAsia="Calibri" w:hAnsi="Times New Roman" w:cs="Times New Roman"/>
                <w:i/>
                <w:sz w:val="20"/>
                <w:szCs w:val="20"/>
              </w:rPr>
              <w:t>at</w:t>
            </w:r>
            <w:r>
              <w:rPr>
                <w:rFonts w:ascii="Times New Roman" w:eastAsia="Calibri" w:hAnsi="Times New Roman" w:cs="Times New Roman"/>
                <w:sz w:val="20"/>
                <w:szCs w:val="20"/>
              </w:rPr>
              <w:t>).</w:t>
            </w:r>
          </w:p>
          <w:p w14:paraId="5F33CFA0" w14:textId="32EEDD6E" w:rsidR="007D6142" w:rsidRDefault="00B8322C" w:rsidP="007D6142">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Indicator: One</w:t>
            </w:r>
            <w:r w:rsidRPr="003564DE">
              <w:rPr>
                <w:rFonts w:ascii="Times New Roman" w:eastAsia="Calibri" w:hAnsi="Times New Roman" w:cs="Times New Roman"/>
                <w:sz w:val="20"/>
                <w:szCs w:val="20"/>
              </w:rPr>
              <w:t xml:space="preserve"> </w:t>
            </w:r>
            <w:r>
              <w:rPr>
                <w:rFonts w:ascii="Times New Roman" w:eastAsia="Calibri" w:hAnsi="Times New Roman" w:cs="Times New Roman"/>
                <w:sz w:val="20"/>
                <w:szCs w:val="20"/>
              </w:rPr>
              <w:t>if</w:t>
            </w:r>
            <w:r w:rsidRPr="003564DE">
              <w:rPr>
                <w:rFonts w:ascii="Times New Roman" w:eastAsia="Calibri" w:hAnsi="Times New Roman" w:cs="Times New Roman"/>
                <w:sz w:val="20"/>
                <w:szCs w:val="20"/>
              </w:rPr>
              <w:t xml:space="preserve"> common stock</w:t>
            </w:r>
            <w:r>
              <w:rPr>
                <w:rFonts w:ascii="Times New Roman" w:eastAsia="Calibri" w:hAnsi="Times New Roman" w:cs="Times New Roman"/>
                <w:sz w:val="20"/>
                <w:szCs w:val="20"/>
              </w:rPr>
              <w:t xml:space="preserve"> dividends are positive</w:t>
            </w:r>
            <w:r w:rsidRPr="003564DE">
              <w:rPr>
                <w:rFonts w:ascii="Times New Roman" w:eastAsia="Calibri" w:hAnsi="Times New Roman" w:cs="Times New Roman"/>
                <w:sz w:val="20"/>
                <w:szCs w:val="20"/>
              </w:rPr>
              <w:t xml:space="preserve"> (</w:t>
            </w:r>
            <w:proofErr w:type="spellStart"/>
            <w:r w:rsidRPr="003564DE">
              <w:rPr>
                <w:rFonts w:ascii="Times New Roman" w:eastAsia="Calibri" w:hAnsi="Times New Roman" w:cs="Times New Roman"/>
                <w:sz w:val="20"/>
                <w:szCs w:val="20"/>
              </w:rPr>
              <w:t>Compustat</w:t>
            </w:r>
            <w:proofErr w:type="spellEnd"/>
            <w:r w:rsidRPr="003564DE">
              <w:rPr>
                <w:rFonts w:ascii="Times New Roman" w:eastAsia="Calibri" w:hAnsi="Times New Roman" w:cs="Times New Roman"/>
                <w:sz w:val="20"/>
                <w:szCs w:val="20"/>
              </w:rPr>
              <w:t xml:space="preserve"> item </w:t>
            </w:r>
            <w:proofErr w:type="spellStart"/>
            <w:r w:rsidRPr="003564DE">
              <w:rPr>
                <w:rFonts w:ascii="Times New Roman" w:eastAsia="Calibri" w:hAnsi="Times New Roman" w:cs="Times New Roman"/>
                <w:i/>
                <w:sz w:val="20"/>
                <w:szCs w:val="20"/>
              </w:rPr>
              <w:t>dvc</w:t>
            </w:r>
            <w:proofErr w:type="spellEnd"/>
            <w:r w:rsidRPr="003564DE">
              <w:rPr>
                <w:rFonts w:ascii="Times New Roman" w:eastAsia="Calibri" w:hAnsi="Times New Roman" w:cs="Times New Roman"/>
                <w:sz w:val="20"/>
                <w:szCs w:val="20"/>
              </w:rPr>
              <w:t>) and zero otherwise.</w:t>
            </w:r>
          </w:p>
          <w:p w14:paraId="2C2BD1AB" w14:textId="43FAAFFE" w:rsidR="0044790C" w:rsidRDefault="007D6142" w:rsidP="00844FA9">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Indicator: One</w:t>
            </w:r>
            <w:r w:rsidRPr="003564DE">
              <w:rPr>
                <w:rFonts w:ascii="Times New Roman" w:eastAsia="Calibri" w:hAnsi="Times New Roman" w:cs="Times New Roman"/>
                <w:sz w:val="20"/>
                <w:szCs w:val="20"/>
              </w:rPr>
              <w:t xml:space="preserve"> </w:t>
            </w:r>
            <w:r>
              <w:rPr>
                <w:rFonts w:ascii="Times New Roman" w:eastAsia="Calibri" w:hAnsi="Times New Roman" w:cs="Times New Roman"/>
                <w:sz w:val="20"/>
                <w:szCs w:val="20"/>
              </w:rPr>
              <w:t>if</w:t>
            </w:r>
            <w:r w:rsidRPr="003564DE">
              <w:rPr>
                <w:rFonts w:ascii="Times New Roman" w:eastAsia="Calibri" w:hAnsi="Times New Roman" w:cs="Times New Roman"/>
                <w:sz w:val="20"/>
                <w:szCs w:val="20"/>
              </w:rPr>
              <w:t xml:space="preserve"> EARN</w:t>
            </w:r>
            <w:r>
              <w:rPr>
                <w:rFonts w:ascii="Times New Roman" w:eastAsia="Calibri" w:hAnsi="Times New Roman" w:cs="Times New Roman"/>
                <w:sz w:val="20"/>
                <w:szCs w:val="20"/>
              </w:rPr>
              <w:t xml:space="preserve"> defined above</w:t>
            </w:r>
            <w:r w:rsidRPr="003564DE">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is negative </w:t>
            </w:r>
            <w:r w:rsidRPr="003564DE">
              <w:rPr>
                <w:rFonts w:ascii="Times New Roman" w:eastAsia="Calibri" w:hAnsi="Times New Roman" w:cs="Times New Roman"/>
                <w:sz w:val="20"/>
                <w:szCs w:val="20"/>
              </w:rPr>
              <w:t>and zero otherwise.</w:t>
            </w:r>
          </w:p>
          <w:p w14:paraId="439664CF" w14:textId="3233F13C" w:rsidR="00E046CA" w:rsidRPr="003564DE" w:rsidRDefault="00E046CA" w:rsidP="007D6142">
            <w:pPr>
              <w:spacing w:after="0" w:line="240" w:lineRule="auto"/>
              <w:jc w:val="both"/>
              <w:rPr>
                <w:rFonts w:ascii="Times New Roman" w:eastAsia="Calibri" w:hAnsi="Times New Roman" w:cs="Times New Roman"/>
                <w:sz w:val="20"/>
                <w:szCs w:val="20"/>
              </w:rPr>
            </w:pPr>
            <w:r w:rsidRPr="003564DE">
              <w:rPr>
                <w:rFonts w:ascii="Times New Roman" w:eastAsia="Calibri" w:hAnsi="Times New Roman" w:cs="Times New Roman"/>
                <w:sz w:val="20"/>
                <w:szCs w:val="20"/>
              </w:rPr>
              <w:t>Sentiment index</w:t>
            </w:r>
            <w:r>
              <w:rPr>
                <w:rFonts w:ascii="Times New Roman" w:eastAsia="Calibri" w:hAnsi="Times New Roman" w:cs="Times New Roman"/>
                <w:sz w:val="20"/>
                <w:szCs w:val="20"/>
              </w:rPr>
              <w:t xml:space="preserve"> </w:t>
            </w:r>
            <w:r w:rsidRPr="003564DE">
              <w:rPr>
                <w:rFonts w:ascii="Times New Roman" w:eastAsia="Calibri" w:hAnsi="Times New Roman" w:cs="Times New Roman"/>
                <w:sz w:val="20"/>
                <w:szCs w:val="20"/>
              </w:rPr>
              <w:t xml:space="preserve">orthogonalized to macroeconomic fundamentals </w:t>
            </w:r>
            <w:r>
              <w:rPr>
                <w:rFonts w:ascii="Times New Roman" w:eastAsia="Calibri" w:hAnsi="Times New Roman" w:cs="Times New Roman"/>
                <w:sz w:val="20"/>
                <w:szCs w:val="20"/>
              </w:rPr>
              <w:t>from</w:t>
            </w:r>
            <w:r w:rsidRPr="003564DE">
              <w:rPr>
                <w:rFonts w:ascii="Times New Roman" w:eastAsia="Calibri" w:hAnsi="Times New Roman" w:cs="Times New Roman"/>
                <w:sz w:val="20"/>
                <w:szCs w:val="20"/>
              </w:rPr>
              <w:t xml:space="preserve"> Baker and Wurgler (2006).</w:t>
            </w:r>
          </w:p>
        </w:tc>
      </w:tr>
    </w:tbl>
    <w:p w14:paraId="665090C0" w14:textId="0717E8A8" w:rsidR="00A4299A" w:rsidRPr="00063FFB" w:rsidRDefault="0021599F" w:rsidP="00844FA9">
      <w:pPr>
        <w:jc w:val="center"/>
        <w:rPr>
          <w:rFonts w:ascii="Times New Roman" w:hAnsi="Times New Roman" w:cs="Times New Roman"/>
          <w:b/>
          <w:sz w:val="24"/>
          <w:szCs w:val="24"/>
        </w:rPr>
      </w:pPr>
      <w:r w:rsidRPr="00FB3F39">
        <w:rPr>
          <w:rFonts w:ascii="Calibri" w:hAnsi="Calibri" w:cs="Calibri"/>
        </w:rPr>
        <w:lastRenderedPageBreak/>
        <w:fldChar w:fldCharType="begin"/>
      </w:r>
      <w:r w:rsidRPr="00FB3F39">
        <w:instrText xml:space="preserve"> ADDIN EN.REFLIST </w:instrText>
      </w:r>
      <w:r w:rsidRPr="00FB3F39">
        <w:rPr>
          <w:rFonts w:ascii="Calibri" w:hAnsi="Calibri" w:cs="Calibri"/>
        </w:rPr>
        <w:fldChar w:fldCharType="separate"/>
      </w:r>
      <w:r w:rsidR="00A4299A" w:rsidRPr="00063FFB">
        <w:rPr>
          <w:rFonts w:ascii="Times New Roman" w:hAnsi="Times New Roman" w:cs="Times New Roman"/>
          <w:b/>
          <w:sz w:val="24"/>
          <w:szCs w:val="24"/>
        </w:rPr>
        <w:t>REFERENCES</w:t>
      </w:r>
    </w:p>
    <w:p w14:paraId="44B051B9" w14:textId="7BE311E9" w:rsidR="00A4299A" w:rsidRPr="00063FFB" w:rsidRDefault="00A4299A" w:rsidP="00063FFB">
      <w:pPr>
        <w:pStyle w:val="EndNoteBibliography"/>
        <w:spacing w:after="0"/>
        <w:ind w:left="720" w:hanging="720"/>
        <w:rPr>
          <w:rFonts w:ascii="Times New Roman" w:hAnsi="Times New Roman" w:cs="Times New Roman"/>
          <w:sz w:val="24"/>
          <w:szCs w:val="24"/>
        </w:rPr>
      </w:pPr>
      <w:bookmarkStart w:id="3" w:name="_ENREF_1"/>
      <w:r w:rsidRPr="00063FFB">
        <w:rPr>
          <w:rFonts w:ascii="Times New Roman" w:hAnsi="Times New Roman" w:cs="Times New Roman"/>
          <w:sz w:val="24"/>
          <w:szCs w:val="24"/>
        </w:rPr>
        <w:t>Aleczczyk, A. A., F. P. Vasvari, and D. Vyas. 202</w:t>
      </w:r>
      <w:r w:rsidR="005F2C79">
        <w:rPr>
          <w:rFonts w:ascii="Times New Roman" w:hAnsi="Times New Roman" w:cs="Times New Roman"/>
          <w:sz w:val="24"/>
          <w:szCs w:val="24"/>
        </w:rPr>
        <w:t>3</w:t>
      </w:r>
      <w:r w:rsidRPr="00063FFB">
        <w:rPr>
          <w:rFonts w:ascii="Times New Roman" w:hAnsi="Times New Roman" w:cs="Times New Roman"/>
          <w:sz w:val="24"/>
          <w:szCs w:val="24"/>
        </w:rPr>
        <w:t>. The Debt Market Role of Asset Valuation Uncertainty</w:t>
      </w:r>
      <w:r w:rsidR="00735E33">
        <w:rPr>
          <w:rFonts w:ascii="Times New Roman" w:hAnsi="Times New Roman" w:cs="Times New Roman"/>
          <w:sz w:val="24"/>
          <w:szCs w:val="24"/>
        </w:rPr>
        <w:t>.</w:t>
      </w:r>
      <w:r w:rsidR="00063FFB">
        <w:rPr>
          <w:rFonts w:ascii="Times New Roman" w:hAnsi="Times New Roman" w:cs="Times New Roman"/>
          <w:sz w:val="24"/>
          <w:szCs w:val="24"/>
        </w:rPr>
        <w:t xml:space="preserve"> </w:t>
      </w:r>
      <w:r w:rsidRPr="00063FFB">
        <w:rPr>
          <w:rFonts w:ascii="Times New Roman" w:hAnsi="Times New Roman" w:cs="Times New Roman"/>
          <w:i/>
          <w:sz w:val="24"/>
          <w:szCs w:val="24"/>
        </w:rPr>
        <w:t>Working paper</w:t>
      </w:r>
      <w:r w:rsidR="00063FFB">
        <w:rPr>
          <w:rFonts w:ascii="Times New Roman" w:hAnsi="Times New Roman" w:cs="Times New Roman"/>
          <w:sz w:val="24"/>
          <w:szCs w:val="24"/>
        </w:rPr>
        <w:t>,</w:t>
      </w:r>
      <w:r w:rsidRPr="00063FFB">
        <w:rPr>
          <w:rFonts w:ascii="Times New Roman" w:hAnsi="Times New Roman" w:cs="Times New Roman"/>
          <w:sz w:val="24"/>
          <w:szCs w:val="24"/>
        </w:rPr>
        <w:t xml:space="preserve"> New York University, London Business School, and University of Toronto.</w:t>
      </w:r>
      <w:bookmarkEnd w:id="3"/>
    </w:p>
    <w:p w14:paraId="6725AB56"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 w:name="_ENREF_2"/>
      <w:r w:rsidRPr="00063FFB">
        <w:rPr>
          <w:rFonts w:ascii="Times New Roman" w:hAnsi="Times New Roman" w:cs="Times New Roman"/>
          <w:sz w:val="24"/>
          <w:szCs w:val="24"/>
        </w:rPr>
        <w:t xml:space="preserve">Armstrong, C. S., S. Banerjee, and C. Corona. 2013. Factor-Loading Uncertainty and Expected Returns. </w:t>
      </w:r>
      <w:r w:rsidRPr="00063FFB">
        <w:rPr>
          <w:rFonts w:ascii="Times New Roman" w:hAnsi="Times New Roman" w:cs="Times New Roman"/>
          <w:i/>
          <w:sz w:val="24"/>
          <w:szCs w:val="24"/>
        </w:rPr>
        <w:t>Review of Financial Studies</w:t>
      </w:r>
      <w:r w:rsidRPr="00063FFB">
        <w:rPr>
          <w:rFonts w:ascii="Times New Roman" w:hAnsi="Times New Roman" w:cs="Times New Roman"/>
          <w:sz w:val="24"/>
          <w:szCs w:val="24"/>
        </w:rPr>
        <w:t xml:space="preserve"> 26 (1): 158-207.</w:t>
      </w:r>
      <w:bookmarkEnd w:id="4"/>
    </w:p>
    <w:p w14:paraId="2A60343A"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 w:name="_ENREF_3"/>
      <w:r w:rsidRPr="00063FFB">
        <w:rPr>
          <w:rFonts w:ascii="Times New Roman" w:hAnsi="Times New Roman" w:cs="Times New Roman"/>
          <w:sz w:val="24"/>
          <w:szCs w:val="24"/>
        </w:rPr>
        <w:t xml:space="preserve">Asness, C., A. Frazzini, R. Israel, and T. Moskowitz. 2015. Fact, Fiction, and Value Investing. </w:t>
      </w:r>
      <w:r w:rsidRPr="00063FFB">
        <w:rPr>
          <w:rFonts w:ascii="Times New Roman" w:hAnsi="Times New Roman" w:cs="Times New Roman"/>
          <w:i/>
          <w:sz w:val="24"/>
          <w:szCs w:val="24"/>
        </w:rPr>
        <w:t>Journal of Portfolio Management</w:t>
      </w:r>
      <w:r w:rsidRPr="00063FFB">
        <w:rPr>
          <w:rFonts w:ascii="Times New Roman" w:hAnsi="Times New Roman" w:cs="Times New Roman"/>
          <w:sz w:val="24"/>
          <w:szCs w:val="24"/>
        </w:rPr>
        <w:t xml:space="preserve"> 42 (1): 34-52.</w:t>
      </w:r>
      <w:bookmarkEnd w:id="5"/>
    </w:p>
    <w:p w14:paraId="0EB0A929" w14:textId="19C3C3F2" w:rsidR="00A4299A" w:rsidRPr="00063FFB" w:rsidRDefault="00A4299A" w:rsidP="00063FFB">
      <w:pPr>
        <w:pStyle w:val="EndNoteBibliography"/>
        <w:spacing w:after="0"/>
        <w:ind w:left="720" w:hanging="720"/>
        <w:rPr>
          <w:rFonts w:ascii="Times New Roman" w:hAnsi="Times New Roman" w:cs="Times New Roman"/>
          <w:sz w:val="24"/>
          <w:szCs w:val="24"/>
        </w:rPr>
      </w:pPr>
      <w:bookmarkStart w:id="6" w:name="_ENREF_4"/>
      <w:r w:rsidRPr="00063FFB">
        <w:rPr>
          <w:rFonts w:ascii="Times New Roman" w:hAnsi="Times New Roman" w:cs="Times New Roman"/>
          <w:sz w:val="24"/>
          <w:szCs w:val="24"/>
        </w:rPr>
        <w:t xml:space="preserve">Asparouhova, E., H. Bessembinder, and I. Kalcheva. 2013. Noisy Prices and Inference Regarding Returns. </w:t>
      </w:r>
      <w:r w:rsidRPr="00063FFB">
        <w:rPr>
          <w:rFonts w:ascii="Times New Roman" w:hAnsi="Times New Roman" w:cs="Times New Roman"/>
          <w:i/>
          <w:sz w:val="24"/>
          <w:szCs w:val="24"/>
        </w:rPr>
        <w:t>Journal of F</w:t>
      </w:r>
      <w:r w:rsidR="00DC5BFE">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68 (2): 665-714.</w:t>
      </w:r>
      <w:bookmarkEnd w:id="6"/>
    </w:p>
    <w:p w14:paraId="40289623"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7" w:name="_ENREF_5"/>
      <w:r w:rsidRPr="00063FFB">
        <w:rPr>
          <w:rFonts w:ascii="Times New Roman" w:hAnsi="Times New Roman" w:cs="Times New Roman"/>
          <w:sz w:val="24"/>
          <w:szCs w:val="24"/>
        </w:rPr>
        <w:t xml:space="preserve">Autor, D., D. Dorn, L. F. Katz, C. Patterson, and J. Van Reenen. 2020. The Fall of the Labor Share and the Rise of Superstar Firms. </w:t>
      </w:r>
      <w:r w:rsidRPr="00063FFB">
        <w:rPr>
          <w:rFonts w:ascii="Times New Roman" w:hAnsi="Times New Roman" w:cs="Times New Roman"/>
          <w:i/>
          <w:sz w:val="24"/>
          <w:szCs w:val="24"/>
        </w:rPr>
        <w:t>The Quarterly Journal of Economics</w:t>
      </w:r>
      <w:r w:rsidRPr="00063FFB">
        <w:rPr>
          <w:rFonts w:ascii="Times New Roman" w:hAnsi="Times New Roman" w:cs="Times New Roman"/>
          <w:sz w:val="24"/>
          <w:szCs w:val="24"/>
        </w:rPr>
        <w:t xml:space="preserve"> 135 (2): 645-709.</w:t>
      </w:r>
      <w:bookmarkEnd w:id="7"/>
    </w:p>
    <w:p w14:paraId="62E5FFFA"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8" w:name="_ENREF_6"/>
      <w:r w:rsidRPr="00063FFB">
        <w:rPr>
          <w:rFonts w:ascii="Times New Roman" w:hAnsi="Times New Roman" w:cs="Times New Roman"/>
          <w:sz w:val="24"/>
          <w:szCs w:val="24"/>
        </w:rPr>
        <w:t xml:space="preserve">Baginski, S. P., and J. M. Wahlen. 2003. Residual Income Risk, Intrinsic Values, and Share Prices.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78 (1): 327-351.</w:t>
      </w:r>
      <w:bookmarkEnd w:id="8"/>
    </w:p>
    <w:p w14:paraId="581A9CD4" w14:textId="017F49E1" w:rsidR="00A4299A" w:rsidRPr="00063FFB" w:rsidRDefault="00A4299A" w:rsidP="00063FFB">
      <w:pPr>
        <w:pStyle w:val="EndNoteBibliography"/>
        <w:spacing w:after="0"/>
        <w:ind w:left="720" w:hanging="720"/>
        <w:rPr>
          <w:rFonts w:ascii="Times New Roman" w:hAnsi="Times New Roman" w:cs="Times New Roman"/>
          <w:sz w:val="24"/>
          <w:szCs w:val="24"/>
        </w:rPr>
      </w:pPr>
      <w:bookmarkStart w:id="9" w:name="_ENREF_7"/>
      <w:r w:rsidRPr="00063FFB">
        <w:rPr>
          <w:rFonts w:ascii="Times New Roman" w:hAnsi="Times New Roman" w:cs="Times New Roman"/>
          <w:sz w:val="24"/>
          <w:szCs w:val="24"/>
        </w:rPr>
        <w:t xml:space="preserve">Baker, M., and J. Wurgler. 2006. Investor Sentiment and the Cross-Section of Stock Returns. </w:t>
      </w:r>
      <w:r w:rsidRPr="00063FFB">
        <w:rPr>
          <w:rFonts w:ascii="Times New Roman" w:hAnsi="Times New Roman" w:cs="Times New Roman"/>
          <w:i/>
          <w:sz w:val="24"/>
          <w:szCs w:val="24"/>
        </w:rPr>
        <w:t>Journal of F</w:t>
      </w:r>
      <w:r w:rsidR="00DC5BFE">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61 (4): 1645-1680.</w:t>
      </w:r>
      <w:bookmarkEnd w:id="9"/>
    </w:p>
    <w:p w14:paraId="4FC7E6A7"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0" w:name="_ENREF_8"/>
      <w:r w:rsidRPr="00063FFB">
        <w:rPr>
          <w:rFonts w:ascii="Times New Roman" w:hAnsi="Times New Roman" w:cs="Times New Roman"/>
          <w:sz w:val="24"/>
          <w:szCs w:val="24"/>
        </w:rPr>
        <w:t xml:space="preserve">———. 2007. Investor Sentiment in the Stock Market. </w:t>
      </w:r>
      <w:r w:rsidRPr="00063FFB">
        <w:rPr>
          <w:rFonts w:ascii="Times New Roman" w:hAnsi="Times New Roman" w:cs="Times New Roman"/>
          <w:i/>
          <w:sz w:val="24"/>
          <w:szCs w:val="24"/>
        </w:rPr>
        <w:t>Journal of Economic Perspectives</w:t>
      </w:r>
      <w:r w:rsidRPr="00063FFB">
        <w:rPr>
          <w:rFonts w:ascii="Times New Roman" w:hAnsi="Times New Roman" w:cs="Times New Roman"/>
          <w:sz w:val="24"/>
          <w:szCs w:val="24"/>
        </w:rPr>
        <w:t xml:space="preserve"> 21 (2): 129-151.</w:t>
      </w:r>
      <w:bookmarkEnd w:id="10"/>
    </w:p>
    <w:p w14:paraId="6ED5476E"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1" w:name="_ENREF_9"/>
      <w:r w:rsidRPr="00063FFB">
        <w:rPr>
          <w:rFonts w:ascii="Times New Roman" w:hAnsi="Times New Roman" w:cs="Times New Roman"/>
          <w:sz w:val="24"/>
          <w:szCs w:val="24"/>
        </w:rPr>
        <w:t xml:space="preserve">Barth, M. E., W. H. Beaver, J. R. M. Hand, and W. R. Landsman. 1999. Accruals, Cash Flows, and Equity Values. </w:t>
      </w:r>
      <w:r w:rsidRPr="00063FFB">
        <w:rPr>
          <w:rFonts w:ascii="Times New Roman" w:hAnsi="Times New Roman" w:cs="Times New Roman"/>
          <w:i/>
          <w:sz w:val="24"/>
          <w:szCs w:val="24"/>
        </w:rPr>
        <w:t>Review of Accounting Studies</w:t>
      </w:r>
      <w:r w:rsidRPr="00063FFB">
        <w:rPr>
          <w:rFonts w:ascii="Times New Roman" w:hAnsi="Times New Roman" w:cs="Times New Roman"/>
          <w:sz w:val="24"/>
          <w:szCs w:val="24"/>
        </w:rPr>
        <w:t xml:space="preserve"> 4 (3): 205-229.</w:t>
      </w:r>
      <w:bookmarkEnd w:id="11"/>
    </w:p>
    <w:p w14:paraId="46760602"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2" w:name="_ENREF_10"/>
      <w:r w:rsidRPr="00063FFB">
        <w:rPr>
          <w:rFonts w:ascii="Times New Roman" w:hAnsi="Times New Roman" w:cs="Times New Roman"/>
          <w:sz w:val="24"/>
          <w:szCs w:val="24"/>
        </w:rPr>
        <w:t xml:space="preserve">Barth, M. E., L. D. Hodder, and S. R. Stubben. 2013. Financial reporting for employee stock options: liabilities or equity? </w:t>
      </w:r>
      <w:r w:rsidRPr="00063FFB">
        <w:rPr>
          <w:rFonts w:ascii="Times New Roman" w:hAnsi="Times New Roman" w:cs="Times New Roman"/>
          <w:i/>
          <w:sz w:val="24"/>
          <w:szCs w:val="24"/>
        </w:rPr>
        <w:t>Review of Accounting Studies</w:t>
      </w:r>
      <w:r w:rsidRPr="00063FFB">
        <w:rPr>
          <w:rFonts w:ascii="Times New Roman" w:hAnsi="Times New Roman" w:cs="Times New Roman"/>
          <w:sz w:val="24"/>
          <w:szCs w:val="24"/>
        </w:rPr>
        <w:t xml:space="preserve"> 18 (3): 642-682.</w:t>
      </w:r>
      <w:bookmarkEnd w:id="12"/>
    </w:p>
    <w:p w14:paraId="29BB7096"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3" w:name="_ENREF_11"/>
      <w:r w:rsidRPr="00063FFB">
        <w:rPr>
          <w:rFonts w:ascii="Times New Roman" w:hAnsi="Times New Roman" w:cs="Times New Roman"/>
          <w:sz w:val="24"/>
          <w:szCs w:val="24"/>
        </w:rPr>
        <w:t xml:space="preserve">Barth, M. E., W. R. Landsman, and D. J. Taylor. 2017. The JOBS Act and Information Uncertainty in IPO Firms.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92 (6): 25-47.</w:t>
      </w:r>
      <w:bookmarkEnd w:id="13"/>
    </w:p>
    <w:p w14:paraId="479603D8"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4" w:name="_ENREF_12"/>
      <w:r w:rsidRPr="00063FFB">
        <w:rPr>
          <w:rFonts w:ascii="Times New Roman" w:hAnsi="Times New Roman" w:cs="Times New Roman"/>
          <w:sz w:val="24"/>
          <w:szCs w:val="24"/>
        </w:rPr>
        <w:t xml:space="preserve">Barth, M. E., K. Li, and C. G. McClure. 2023. Evolution in Value Relevance of Accounting Information.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98 (1): 1-28.</w:t>
      </w:r>
      <w:bookmarkEnd w:id="14"/>
    </w:p>
    <w:p w14:paraId="65959BAF"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5" w:name="_ENREF_13"/>
      <w:r w:rsidRPr="00063FFB">
        <w:rPr>
          <w:rFonts w:ascii="Times New Roman" w:hAnsi="Times New Roman" w:cs="Times New Roman"/>
          <w:sz w:val="24"/>
          <w:szCs w:val="24"/>
        </w:rPr>
        <w:t xml:space="preserve">Beaver, W., P. Kettler, and M. Scholes. 1970. The Association between Market Determined and Accounting Determined Risk Measures.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45 (4): 654-682.</w:t>
      </w:r>
      <w:bookmarkEnd w:id="15"/>
    </w:p>
    <w:p w14:paraId="6D49F498"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6" w:name="_ENREF_14"/>
      <w:r w:rsidRPr="00063FFB">
        <w:rPr>
          <w:rFonts w:ascii="Times New Roman" w:hAnsi="Times New Roman" w:cs="Times New Roman"/>
          <w:sz w:val="24"/>
          <w:szCs w:val="24"/>
        </w:rPr>
        <w:t xml:space="preserve">Benveniste, L. M., and P. A. Spindt. 1989. How Investment Bankers Determine the Offer Price and Allocation of New Issues.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24 (2): 343-361.</w:t>
      </w:r>
      <w:bookmarkEnd w:id="16"/>
    </w:p>
    <w:p w14:paraId="3B1FDCE1" w14:textId="0D4E7EF3" w:rsidR="00A4299A" w:rsidRPr="00063FFB" w:rsidRDefault="00A4299A" w:rsidP="00063FFB">
      <w:pPr>
        <w:pStyle w:val="EndNoteBibliography"/>
        <w:spacing w:after="0"/>
        <w:ind w:left="720" w:hanging="720"/>
        <w:rPr>
          <w:rFonts w:ascii="Times New Roman" w:hAnsi="Times New Roman" w:cs="Times New Roman"/>
          <w:sz w:val="24"/>
          <w:szCs w:val="24"/>
        </w:rPr>
      </w:pPr>
      <w:bookmarkStart w:id="17" w:name="_ENREF_15"/>
      <w:r w:rsidRPr="00063FFB">
        <w:rPr>
          <w:rFonts w:ascii="Times New Roman" w:hAnsi="Times New Roman" w:cs="Times New Roman"/>
          <w:sz w:val="24"/>
          <w:szCs w:val="24"/>
        </w:rPr>
        <w:t xml:space="preserve">Bessembinder, H., J. Hao, and K. Zheng. 2015. Market Making Contracts, Firm Value, and the IPO Decision. </w:t>
      </w:r>
      <w:r w:rsidRPr="00063FFB">
        <w:rPr>
          <w:rFonts w:ascii="Times New Roman" w:hAnsi="Times New Roman" w:cs="Times New Roman"/>
          <w:i/>
          <w:sz w:val="24"/>
          <w:szCs w:val="24"/>
        </w:rPr>
        <w:t>Journal of Finance</w:t>
      </w:r>
      <w:r w:rsidRPr="00063FFB">
        <w:rPr>
          <w:rFonts w:ascii="Times New Roman" w:hAnsi="Times New Roman" w:cs="Times New Roman"/>
          <w:sz w:val="24"/>
          <w:szCs w:val="24"/>
        </w:rPr>
        <w:t xml:space="preserve"> 70 (5): 1997-2028.</w:t>
      </w:r>
      <w:bookmarkEnd w:id="17"/>
    </w:p>
    <w:p w14:paraId="684DF6ED" w14:textId="74A116AD" w:rsidR="00A4299A" w:rsidRPr="00063FFB" w:rsidRDefault="00FA765E" w:rsidP="00063FFB">
      <w:pPr>
        <w:pStyle w:val="EndNoteBibliography"/>
        <w:spacing w:after="0"/>
        <w:ind w:left="720" w:hanging="720"/>
        <w:rPr>
          <w:rFonts w:ascii="Times New Roman" w:hAnsi="Times New Roman" w:cs="Times New Roman"/>
          <w:sz w:val="24"/>
          <w:szCs w:val="24"/>
        </w:rPr>
      </w:pPr>
      <w:bookmarkStart w:id="18" w:name="_ENREF_16"/>
      <w:r>
        <w:rPr>
          <w:rFonts w:ascii="Times New Roman" w:hAnsi="Times New Roman" w:cs="Times New Roman"/>
          <w:sz w:val="24"/>
          <w:szCs w:val="24"/>
        </w:rPr>
        <w:t xml:space="preserve">van </w:t>
      </w:r>
      <w:r w:rsidR="00A4299A" w:rsidRPr="00063FFB">
        <w:rPr>
          <w:rFonts w:ascii="Times New Roman" w:hAnsi="Times New Roman" w:cs="Times New Roman"/>
          <w:sz w:val="24"/>
          <w:szCs w:val="24"/>
        </w:rPr>
        <w:t>Binsbergen, J. H.,</w:t>
      </w:r>
      <w:r w:rsidR="006A1E75">
        <w:rPr>
          <w:rFonts w:ascii="Times New Roman" w:hAnsi="Times New Roman" w:cs="Times New Roman"/>
          <w:sz w:val="24"/>
          <w:szCs w:val="24"/>
        </w:rPr>
        <w:t xml:space="preserve"> and</w:t>
      </w:r>
      <w:r w:rsidR="00A4299A" w:rsidRPr="00063FFB">
        <w:rPr>
          <w:rFonts w:ascii="Times New Roman" w:hAnsi="Times New Roman" w:cs="Times New Roman"/>
          <w:sz w:val="24"/>
          <w:szCs w:val="24"/>
        </w:rPr>
        <w:t xml:space="preserve"> L. Ma. 202</w:t>
      </w:r>
      <w:r w:rsidR="006A1E75">
        <w:rPr>
          <w:rFonts w:ascii="Times New Roman" w:hAnsi="Times New Roman" w:cs="Times New Roman"/>
          <w:sz w:val="24"/>
          <w:szCs w:val="24"/>
        </w:rPr>
        <w:t>5</w:t>
      </w:r>
      <w:r w:rsidR="00A4299A" w:rsidRPr="00063FFB">
        <w:rPr>
          <w:rFonts w:ascii="Times New Roman" w:hAnsi="Times New Roman" w:cs="Times New Roman"/>
          <w:sz w:val="24"/>
          <w:szCs w:val="24"/>
        </w:rPr>
        <w:t>. The Factor Multiverse: The Role of Interest Rates in Factor Return Measurement</w:t>
      </w:r>
      <w:r w:rsidR="00735E33">
        <w:rPr>
          <w:rFonts w:ascii="Times New Roman" w:hAnsi="Times New Roman" w:cs="Times New Roman"/>
          <w:sz w:val="24"/>
          <w:szCs w:val="24"/>
        </w:rPr>
        <w:t xml:space="preserve">. </w:t>
      </w:r>
      <w:r w:rsidR="00A4299A" w:rsidRPr="00063FFB">
        <w:rPr>
          <w:rFonts w:ascii="Times New Roman" w:hAnsi="Times New Roman" w:cs="Times New Roman"/>
          <w:i/>
          <w:sz w:val="24"/>
          <w:szCs w:val="24"/>
        </w:rPr>
        <w:t>Working paper</w:t>
      </w:r>
      <w:r w:rsidR="00735E33">
        <w:rPr>
          <w:rFonts w:ascii="Times New Roman" w:hAnsi="Times New Roman" w:cs="Times New Roman"/>
          <w:sz w:val="24"/>
          <w:szCs w:val="24"/>
        </w:rPr>
        <w:t>,</w:t>
      </w:r>
      <w:r w:rsidR="00A4299A" w:rsidRPr="00063FFB">
        <w:rPr>
          <w:rFonts w:ascii="Times New Roman" w:hAnsi="Times New Roman" w:cs="Times New Roman"/>
          <w:sz w:val="24"/>
          <w:szCs w:val="24"/>
        </w:rPr>
        <w:t xml:space="preserve"> University of Pennsylvania</w:t>
      </w:r>
      <w:r w:rsidR="006A1E75">
        <w:rPr>
          <w:rFonts w:ascii="Times New Roman" w:hAnsi="Times New Roman" w:cs="Times New Roman"/>
          <w:sz w:val="24"/>
          <w:szCs w:val="24"/>
        </w:rPr>
        <w:t xml:space="preserve"> and</w:t>
      </w:r>
      <w:r w:rsidR="00A4299A" w:rsidRPr="00063FFB">
        <w:rPr>
          <w:rFonts w:ascii="Times New Roman" w:hAnsi="Times New Roman" w:cs="Times New Roman"/>
          <w:sz w:val="24"/>
          <w:szCs w:val="24"/>
        </w:rPr>
        <w:t xml:space="preserve"> University of South Carolina.</w:t>
      </w:r>
      <w:bookmarkEnd w:id="18"/>
    </w:p>
    <w:p w14:paraId="1A594794"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19" w:name="_ENREF_17"/>
      <w:r w:rsidRPr="00063FFB">
        <w:rPr>
          <w:rFonts w:ascii="Times New Roman" w:hAnsi="Times New Roman" w:cs="Times New Roman"/>
          <w:sz w:val="24"/>
          <w:szCs w:val="24"/>
        </w:rPr>
        <w:t xml:space="preserve">Bochkay, K., and P. R. Joos. 2021. Macroeconomic Uncertainty and Quantitative versus Qualitative Inputs to Analyst Risk Forecasts.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96 (3): 59-90.</w:t>
      </w:r>
      <w:bookmarkEnd w:id="19"/>
    </w:p>
    <w:p w14:paraId="368BF99E"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0" w:name="_ENREF_18"/>
      <w:r w:rsidRPr="00063FFB">
        <w:rPr>
          <w:rFonts w:ascii="Times New Roman" w:hAnsi="Times New Roman" w:cs="Times New Roman"/>
          <w:sz w:val="24"/>
          <w:szCs w:val="24"/>
        </w:rPr>
        <w:t xml:space="preserve">Brav, A., and J. B. Heaton. 2002. Competing Theories of Financial Anomalies. </w:t>
      </w:r>
      <w:r w:rsidRPr="00063FFB">
        <w:rPr>
          <w:rFonts w:ascii="Times New Roman" w:hAnsi="Times New Roman" w:cs="Times New Roman"/>
          <w:i/>
          <w:sz w:val="24"/>
          <w:szCs w:val="24"/>
        </w:rPr>
        <w:t>The Review of Financial Studies</w:t>
      </w:r>
      <w:r w:rsidRPr="00063FFB">
        <w:rPr>
          <w:rFonts w:ascii="Times New Roman" w:hAnsi="Times New Roman" w:cs="Times New Roman"/>
          <w:sz w:val="24"/>
          <w:szCs w:val="24"/>
        </w:rPr>
        <w:t xml:space="preserve"> 15 (2): 575-606.</w:t>
      </w:r>
      <w:bookmarkEnd w:id="20"/>
    </w:p>
    <w:p w14:paraId="43560826"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1" w:name="_ENREF_19"/>
      <w:r w:rsidRPr="00063FFB">
        <w:rPr>
          <w:rFonts w:ascii="Times New Roman" w:hAnsi="Times New Roman" w:cs="Times New Roman"/>
          <w:sz w:val="24"/>
          <w:szCs w:val="24"/>
        </w:rPr>
        <w:t xml:space="preserve">Burgstahler, D. C., and I. D. Dichev. 1997. Earnings, adaptation and equity value.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72 (2): 187-215.</w:t>
      </w:r>
      <w:bookmarkEnd w:id="21"/>
    </w:p>
    <w:p w14:paraId="0816453F" w14:textId="7E3A59C8" w:rsidR="00A4299A" w:rsidRPr="00063FFB" w:rsidRDefault="00A4299A" w:rsidP="00063FFB">
      <w:pPr>
        <w:pStyle w:val="EndNoteBibliography"/>
        <w:spacing w:after="0"/>
        <w:ind w:left="720" w:hanging="720"/>
        <w:rPr>
          <w:rFonts w:ascii="Times New Roman" w:hAnsi="Times New Roman" w:cs="Times New Roman"/>
          <w:sz w:val="24"/>
          <w:szCs w:val="24"/>
        </w:rPr>
      </w:pPr>
      <w:bookmarkStart w:id="22" w:name="_ENREF_20"/>
      <w:r w:rsidRPr="00063FFB">
        <w:rPr>
          <w:rFonts w:ascii="Times New Roman" w:hAnsi="Times New Roman" w:cs="Times New Roman"/>
          <w:sz w:val="24"/>
          <w:szCs w:val="24"/>
        </w:rPr>
        <w:t xml:space="preserve">Chan, L. K. C., J. Lakonishok, and T. Sougiannis. 2001. The Stock Market Valuation of Research and Development Expenditures. </w:t>
      </w:r>
      <w:r w:rsidRPr="00063FFB">
        <w:rPr>
          <w:rFonts w:ascii="Times New Roman" w:hAnsi="Times New Roman" w:cs="Times New Roman"/>
          <w:i/>
          <w:sz w:val="24"/>
          <w:szCs w:val="24"/>
        </w:rPr>
        <w:t>Journal of F</w:t>
      </w:r>
      <w:r w:rsidR="00735E33">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56 (6): 2431-2456.</w:t>
      </w:r>
      <w:bookmarkEnd w:id="22"/>
    </w:p>
    <w:p w14:paraId="03AE22A6"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3" w:name="_ENREF_21"/>
      <w:r w:rsidRPr="00063FFB">
        <w:rPr>
          <w:rFonts w:ascii="Times New Roman" w:hAnsi="Times New Roman" w:cs="Times New Roman"/>
          <w:sz w:val="24"/>
          <w:szCs w:val="24"/>
        </w:rPr>
        <w:t xml:space="preserve">Chang, W.-J., S. J. Monahan, A. Ouazad, and F. P. Vasvari. 2021. The Higher Moments of Future Earnings.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96 (1): 91-116.</w:t>
      </w:r>
      <w:bookmarkEnd w:id="23"/>
    </w:p>
    <w:p w14:paraId="34023F66"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4" w:name="_ENREF_22"/>
      <w:r w:rsidRPr="00063FFB">
        <w:rPr>
          <w:rFonts w:ascii="Times New Roman" w:hAnsi="Times New Roman" w:cs="Times New Roman"/>
          <w:sz w:val="24"/>
          <w:szCs w:val="24"/>
        </w:rPr>
        <w:lastRenderedPageBreak/>
        <w:t xml:space="preserve">Collins, D. W., E. L. Maydew, and I. S. Weiss. 1997. Changes in the value-relevance of earnings and book values over the past forty years. </w:t>
      </w:r>
      <w:r w:rsidRPr="00063FFB">
        <w:rPr>
          <w:rFonts w:ascii="Times New Roman" w:hAnsi="Times New Roman" w:cs="Times New Roman"/>
          <w:i/>
          <w:sz w:val="24"/>
          <w:szCs w:val="24"/>
        </w:rPr>
        <w:t>Journal of Accounting and Economics</w:t>
      </w:r>
      <w:r w:rsidRPr="00063FFB">
        <w:rPr>
          <w:rFonts w:ascii="Times New Roman" w:hAnsi="Times New Roman" w:cs="Times New Roman"/>
          <w:sz w:val="24"/>
          <w:szCs w:val="24"/>
        </w:rPr>
        <w:t xml:space="preserve"> 24 (1): 39-67.</w:t>
      </w:r>
      <w:bookmarkEnd w:id="24"/>
    </w:p>
    <w:p w14:paraId="1DE87454"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5" w:name="_ENREF_23"/>
      <w:r w:rsidRPr="00063FFB">
        <w:rPr>
          <w:rFonts w:ascii="Times New Roman" w:hAnsi="Times New Roman" w:cs="Times New Roman"/>
          <w:sz w:val="24"/>
          <w:szCs w:val="24"/>
        </w:rPr>
        <w:t xml:space="preserve">Collins, D. W., M. Pincus, and H. Xie. 1999. Equity Valuation and Negative Earnings: The Role of Book Value of Equity.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74 (1): 29-61.</w:t>
      </w:r>
      <w:bookmarkEnd w:id="25"/>
    </w:p>
    <w:p w14:paraId="7A1C181C"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6" w:name="_ENREF_24"/>
      <w:r w:rsidRPr="00063FFB">
        <w:rPr>
          <w:rFonts w:ascii="Times New Roman" w:hAnsi="Times New Roman" w:cs="Times New Roman"/>
          <w:sz w:val="24"/>
          <w:szCs w:val="24"/>
        </w:rPr>
        <w:t xml:space="preserve">Correia, M., J. Kang, and S. Richardson. 2018. Asset volatility. </w:t>
      </w:r>
      <w:r w:rsidRPr="00063FFB">
        <w:rPr>
          <w:rFonts w:ascii="Times New Roman" w:hAnsi="Times New Roman" w:cs="Times New Roman"/>
          <w:i/>
          <w:sz w:val="24"/>
          <w:szCs w:val="24"/>
        </w:rPr>
        <w:t>Review of Accounting Studies</w:t>
      </w:r>
      <w:r w:rsidRPr="00063FFB">
        <w:rPr>
          <w:rFonts w:ascii="Times New Roman" w:hAnsi="Times New Roman" w:cs="Times New Roman"/>
          <w:sz w:val="24"/>
          <w:szCs w:val="24"/>
        </w:rPr>
        <w:t xml:space="preserve"> 23 (1): 37-94.</w:t>
      </w:r>
      <w:bookmarkEnd w:id="26"/>
    </w:p>
    <w:p w14:paraId="4E0318B2"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7" w:name="_ENREF_25"/>
      <w:r w:rsidRPr="00063FFB">
        <w:rPr>
          <w:rFonts w:ascii="Times New Roman" w:hAnsi="Times New Roman" w:cs="Times New Roman"/>
          <w:sz w:val="24"/>
          <w:szCs w:val="24"/>
        </w:rPr>
        <w:t xml:space="preserve">Da, Z., and M. C. Warachka. 2009. Cashflow risk, systematic earnings revisions, and the cross-section of stock returns.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94 (3): 448-468.</w:t>
      </w:r>
      <w:bookmarkEnd w:id="27"/>
    </w:p>
    <w:p w14:paraId="46C80089" w14:textId="0741AF8F" w:rsidR="00A4299A" w:rsidRPr="00063FFB" w:rsidRDefault="00A4299A" w:rsidP="00063FFB">
      <w:pPr>
        <w:pStyle w:val="EndNoteBibliography"/>
        <w:spacing w:after="0"/>
        <w:ind w:left="720" w:hanging="720"/>
        <w:rPr>
          <w:rFonts w:ascii="Times New Roman" w:hAnsi="Times New Roman" w:cs="Times New Roman"/>
          <w:sz w:val="24"/>
          <w:szCs w:val="24"/>
        </w:rPr>
      </w:pPr>
      <w:bookmarkStart w:id="28" w:name="_ENREF_26"/>
      <w:r w:rsidRPr="00063FFB">
        <w:rPr>
          <w:rFonts w:ascii="Times New Roman" w:hAnsi="Times New Roman" w:cs="Times New Roman"/>
          <w:sz w:val="24"/>
          <w:szCs w:val="24"/>
        </w:rPr>
        <w:t xml:space="preserve">Daniel, K., D. Hirshleifer, and A. Subrahmanyam. 1998. Investor Psychology and Security Market Under- and Overreactions. </w:t>
      </w:r>
      <w:r w:rsidRPr="00063FFB">
        <w:rPr>
          <w:rFonts w:ascii="Times New Roman" w:hAnsi="Times New Roman" w:cs="Times New Roman"/>
          <w:i/>
          <w:sz w:val="24"/>
          <w:szCs w:val="24"/>
        </w:rPr>
        <w:t>Journal of F</w:t>
      </w:r>
      <w:r w:rsidR="00F74C2B">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53 (6): 1839-1885.</w:t>
      </w:r>
      <w:bookmarkEnd w:id="28"/>
    </w:p>
    <w:p w14:paraId="6CF8A5AF"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29" w:name="_ENREF_27"/>
      <w:r w:rsidRPr="00063FFB">
        <w:rPr>
          <w:rFonts w:ascii="Times New Roman" w:hAnsi="Times New Roman" w:cs="Times New Roman"/>
          <w:sz w:val="24"/>
          <w:szCs w:val="24"/>
        </w:rPr>
        <w:t xml:space="preserve">DeAngelo, L. E. 1990. Equity Valuation and Corporate Control. </w:t>
      </w:r>
      <w:r w:rsidRPr="00063FFB">
        <w:rPr>
          <w:rFonts w:ascii="Times New Roman" w:hAnsi="Times New Roman" w:cs="Times New Roman"/>
          <w:i/>
          <w:sz w:val="24"/>
          <w:szCs w:val="24"/>
        </w:rPr>
        <w:t>Accounting Review</w:t>
      </w:r>
      <w:r w:rsidRPr="00063FFB">
        <w:rPr>
          <w:rFonts w:ascii="Times New Roman" w:hAnsi="Times New Roman" w:cs="Times New Roman"/>
          <w:sz w:val="24"/>
          <w:szCs w:val="24"/>
        </w:rPr>
        <w:t xml:space="preserve"> 65 (1): 93-112.</w:t>
      </w:r>
      <w:bookmarkEnd w:id="29"/>
    </w:p>
    <w:p w14:paraId="04DCDDA3"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0" w:name="_ENREF_28"/>
      <w:r w:rsidRPr="00063FFB">
        <w:rPr>
          <w:rFonts w:ascii="Times New Roman" w:hAnsi="Times New Roman" w:cs="Times New Roman"/>
          <w:sz w:val="24"/>
          <w:szCs w:val="24"/>
        </w:rPr>
        <w:t xml:space="preserve">Dechow, P. M., W. Ge, and C. M. Schrand. 2010. Understanding Earnings Quality: A Review of the Proxies, Their Determinants and Their Consequences. </w:t>
      </w:r>
      <w:r w:rsidRPr="00063FFB">
        <w:rPr>
          <w:rFonts w:ascii="Times New Roman" w:hAnsi="Times New Roman" w:cs="Times New Roman"/>
          <w:i/>
          <w:sz w:val="24"/>
          <w:szCs w:val="24"/>
        </w:rPr>
        <w:t>Journal of Accounting &amp; Economics</w:t>
      </w:r>
      <w:r w:rsidRPr="00063FFB">
        <w:rPr>
          <w:rFonts w:ascii="Times New Roman" w:hAnsi="Times New Roman" w:cs="Times New Roman"/>
          <w:sz w:val="24"/>
          <w:szCs w:val="24"/>
        </w:rPr>
        <w:t xml:space="preserve"> 50: 344-401.</w:t>
      </w:r>
      <w:bookmarkEnd w:id="30"/>
    </w:p>
    <w:p w14:paraId="3C5C57A3"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1" w:name="_ENREF_29"/>
      <w:r w:rsidRPr="00063FFB">
        <w:rPr>
          <w:rFonts w:ascii="Times New Roman" w:hAnsi="Times New Roman" w:cs="Times New Roman"/>
          <w:sz w:val="24"/>
          <w:szCs w:val="24"/>
        </w:rPr>
        <w:t xml:space="preserve">Diether, K. B., C. J. Malloy, and A. Scherbina. 2002. Differences of Opinion and the Cross Section of Stock Returns. </w:t>
      </w:r>
      <w:r w:rsidRPr="00063FFB">
        <w:rPr>
          <w:rFonts w:ascii="Times New Roman" w:hAnsi="Times New Roman" w:cs="Times New Roman"/>
          <w:i/>
          <w:sz w:val="24"/>
          <w:szCs w:val="24"/>
        </w:rPr>
        <w:t>Journal of FInance</w:t>
      </w:r>
      <w:r w:rsidRPr="00063FFB">
        <w:rPr>
          <w:rFonts w:ascii="Times New Roman" w:hAnsi="Times New Roman" w:cs="Times New Roman"/>
          <w:sz w:val="24"/>
          <w:szCs w:val="24"/>
        </w:rPr>
        <w:t xml:space="preserve"> 57 (5): 2113-2141.</w:t>
      </w:r>
      <w:bookmarkEnd w:id="31"/>
    </w:p>
    <w:p w14:paraId="79778969"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2" w:name="_ENREF_30"/>
      <w:r w:rsidRPr="00063FFB">
        <w:rPr>
          <w:rFonts w:ascii="Times New Roman" w:hAnsi="Times New Roman" w:cs="Times New Roman"/>
          <w:sz w:val="24"/>
          <w:szCs w:val="24"/>
        </w:rPr>
        <w:t xml:space="preserve">Fama, E. F., and K. R. French. 1997. Industry costs of equity.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43 (2): 153-193.</w:t>
      </w:r>
      <w:bookmarkEnd w:id="32"/>
    </w:p>
    <w:p w14:paraId="66DF14CA"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3" w:name="_ENREF_31"/>
      <w:r w:rsidRPr="00063FFB">
        <w:rPr>
          <w:rFonts w:ascii="Times New Roman" w:hAnsi="Times New Roman" w:cs="Times New Roman"/>
          <w:sz w:val="24"/>
          <w:szCs w:val="24"/>
        </w:rPr>
        <w:t xml:space="preserve">———. 2021. The Value Premium. </w:t>
      </w:r>
      <w:r w:rsidRPr="00063FFB">
        <w:rPr>
          <w:rFonts w:ascii="Times New Roman" w:hAnsi="Times New Roman" w:cs="Times New Roman"/>
          <w:i/>
          <w:sz w:val="24"/>
          <w:szCs w:val="24"/>
        </w:rPr>
        <w:t>Review of Asset Pricing Studies</w:t>
      </w:r>
      <w:r w:rsidRPr="00063FFB">
        <w:rPr>
          <w:rFonts w:ascii="Times New Roman" w:hAnsi="Times New Roman" w:cs="Times New Roman"/>
          <w:sz w:val="24"/>
          <w:szCs w:val="24"/>
        </w:rPr>
        <w:t xml:space="preserve"> 11 (1): 105–121.</w:t>
      </w:r>
      <w:bookmarkEnd w:id="33"/>
    </w:p>
    <w:p w14:paraId="438C3025" w14:textId="0B559513" w:rsidR="00A4299A" w:rsidRPr="00063FFB" w:rsidRDefault="00A4299A" w:rsidP="00063FFB">
      <w:pPr>
        <w:pStyle w:val="EndNoteBibliography"/>
        <w:spacing w:after="0"/>
        <w:ind w:left="720" w:hanging="720"/>
        <w:rPr>
          <w:rFonts w:ascii="Times New Roman" w:hAnsi="Times New Roman" w:cs="Times New Roman"/>
          <w:sz w:val="24"/>
          <w:szCs w:val="24"/>
        </w:rPr>
      </w:pPr>
      <w:bookmarkStart w:id="34" w:name="_ENREF_32"/>
      <w:r w:rsidRPr="00063FFB">
        <w:rPr>
          <w:rFonts w:ascii="Times New Roman" w:hAnsi="Times New Roman" w:cs="Times New Roman"/>
          <w:sz w:val="24"/>
          <w:szCs w:val="24"/>
        </w:rPr>
        <w:t>FASB. 2021. Statement of Financial Accounting Concepts No. 8, edited by FAS Board. Norwalk, Connecticut.</w:t>
      </w:r>
      <w:bookmarkEnd w:id="34"/>
    </w:p>
    <w:p w14:paraId="50A34788"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5" w:name="_ENREF_33"/>
      <w:r w:rsidRPr="00063FFB">
        <w:rPr>
          <w:rFonts w:ascii="Times New Roman" w:hAnsi="Times New Roman" w:cs="Times New Roman"/>
          <w:sz w:val="24"/>
          <w:szCs w:val="24"/>
        </w:rPr>
        <w:t xml:space="preserve">Feltham, G. A., and J. A. Ohlson. 1995. Valuation and Clean Surplus Accounting for Operating and Financial Activities. </w:t>
      </w:r>
      <w:r w:rsidRPr="00063FFB">
        <w:rPr>
          <w:rFonts w:ascii="Times New Roman" w:hAnsi="Times New Roman" w:cs="Times New Roman"/>
          <w:i/>
          <w:sz w:val="24"/>
          <w:szCs w:val="24"/>
        </w:rPr>
        <w:t>Contemporary Accounting Research</w:t>
      </w:r>
      <w:r w:rsidRPr="00063FFB">
        <w:rPr>
          <w:rFonts w:ascii="Times New Roman" w:hAnsi="Times New Roman" w:cs="Times New Roman"/>
          <w:sz w:val="24"/>
          <w:szCs w:val="24"/>
        </w:rPr>
        <w:t xml:space="preserve"> 11 (2): 689-731.</w:t>
      </w:r>
      <w:bookmarkEnd w:id="35"/>
    </w:p>
    <w:p w14:paraId="3BCA3691"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6" w:name="_ENREF_34"/>
      <w:r w:rsidRPr="00063FFB">
        <w:rPr>
          <w:rFonts w:ascii="Times New Roman" w:hAnsi="Times New Roman" w:cs="Times New Roman"/>
          <w:sz w:val="24"/>
          <w:szCs w:val="24"/>
        </w:rPr>
        <w:t xml:space="preserve">Francis, J., R. LaFond, P. Olsson, and K. Schipper. 2005. The market pricing of accruals quality. </w:t>
      </w:r>
      <w:r w:rsidRPr="00063FFB">
        <w:rPr>
          <w:rFonts w:ascii="Times New Roman" w:hAnsi="Times New Roman" w:cs="Times New Roman"/>
          <w:i/>
          <w:sz w:val="24"/>
          <w:szCs w:val="24"/>
        </w:rPr>
        <w:t>Journal of Accounting &amp; Economics</w:t>
      </w:r>
      <w:r w:rsidRPr="00063FFB">
        <w:rPr>
          <w:rFonts w:ascii="Times New Roman" w:hAnsi="Times New Roman" w:cs="Times New Roman"/>
          <w:sz w:val="24"/>
          <w:szCs w:val="24"/>
        </w:rPr>
        <w:t xml:space="preserve"> 39 (2): 295-327.</w:t>
      </w:r>
      <w:bookmarkEnd w:id="36"/>
    </w:p>
    <w:p w14:paraId="1A41DA4D" w14:textId="61BD152A" w:rsidR="00A4299A" w:rsidRPr="00063FFB" w:rsidRDefault="00A4299A" w:rsidP="00063FFB">
      <w:pPr>
        <w:pStyle w:val="EndNoteBibliography"/>
        <w:spacing w:after="0"/>
        <w:ind w:left="720" w:hanging="720"/>
        <w:rPr>
          <w:rFonts w:ascii="Times New Roman" w:hAnsi="Times New Roman" w:cs="Times New Roman"/>
          <w:sz w:val="24"/>
          <w:szCs w:val="24"/>
        </w:rPr>
      </w:pPr>
      <w:bookmarkStart w:id="37" w:name="_ENREF_35"/>
      <w:r w:rsidRPr="00063FFB">
        <w:rPr>
          <w:rFonts w:ascii="Times New Roman" w:hAnsi="Times New Roman" w:cs="Times New Roman"/>
          <w:sz w:val="24"/>
          <w:szCs w:val="24"/>
        </w:rPr>
        <w:t xml:space="preserve">Francis, J., R. LaFond, P. M. Olsson, and K. Schipper. 2004. Costs of Equity and Earnings Attributes. </w:t>
      </w:r>
      <w:r w:rsidR="0011406A" w:rsidRPr="0011406A">
        <w:rPr>
          <w:rFonts w:ascii="Times New Roman" w:hAnsi="Times New Roman" w:cs="Times New Roman"/>
          <w:i/>
          <w:iCs/>
          <w:sz w:val="24"/>
          <w:szCs w:val="24"/>
        </w:rPr>
        <w:t>The</w:t>
      </w:r>
      <w:r w:rsidR="0011406A">
        <w:rPr>
          <w:rFonts w:ascii="Times New Roman" w:hAnsi="Times New Roman" w:cs="Times New Roman"/>
          <w:sz w:val="24"/>
          <w:szCs w:val="24"/>
        </w:rPr>
        <w:t xml:space="preserve"> </w:t>
      </w:r>
      <w:r w:rsidRPr="00063FFB">
        <w:rPr>
          <w:rFonts w:ascii="Times New Roman" w:hAnsi="Times New Roman" w:cs="Times New Roman"/>
          <w:i/>
          <w:sz w:val="24"/>
          <w:szCs w:val="24"/>
        </w:rPr>
        <w:t>Accounting Review</w:t>
      </w:r>
      <w:r w:rsidRPr="00063FFB">
        <w:rPr>
          <w:rFonts w:ascii="Times New Roman" w:hAnsi="Times New Roman" w:cs="Times New Roman"/>
          <w:sz w:val="24"/>
          <w:szCs w:val="24"/>
        </w:rPr>
        <w:t xml:space="preserve"> 79 (4): 967-1010.</w:t>
      </w:r>
      <w:bookmarkEnd w:id="37"/>
    </w:p>
    <w:p w14:paraId="2458E745"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8" w:name="_ENREF_36"/>
      <w:r w:rsidRPr="00063FFB">
        <w:rPr>
          <w:rFonts w:ascii="Times New Roman" w:hAnsi="Times New Roman" w:cs="Times New Roman"/>
          <w:sz w:val="24"/>
          <w:szCs w:val="24"/>
        </w:rPr>
        <w:t xml:space="preserve">Francis, J., P. Olsson, and D. R. Oswald. 2000. Comparing the Accuracy and Explainability of Dividend, Free Cash Flow, and Abnormal Earnings Equity Value Estimates. </w:t>
      </w:r>
      <w:r w:rsidRPr="00063FFB">
        <w:rPr>
          <w:rFonts w:ascii="Times New Roman" w:hAnsi="Times New Roman" w:cs="Times New Roman"/>
          <w:i/>
          <w:sz w:val="24"/>
          <w:szCs w:val="24"/>
        </w:rPr>
        <w:t>Journal of Accounting Research</w:t>
      </w:r>
      <w:r w:rsidRPr="00063FFB">
        <w:rPr>
          <w:rFonts w:ascii="Times New Roman" w:hAnsi="Times New Roman" w:cs="Times New Roman"/>
          <w:sz w:val="24"/>
          <w:szCs w:val="24"/>
        </w:rPr>
        <w:t xml:space="preserve"> 38 (1): 45-70.</w:t>
      </w:r>
      <w:bookmarkEnd w:id="38"/>
    </w:p>
    <w:p w14:paraId="65FB08A5"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39" w:name="_ENREF_37"/>
      <w:r w:rsidRPr="00063FFB">
        <w:rPr>
          <w:rFonts w:ascii="Times New Roman" w:hAnsi="Times New Roman" w:cs="Times New Roman"/>
          <w:sz w:val="24"/>
          <w:szCs w:val="24"/>
        </w:rPr>
        <w:t xml:space="preserve">Frankel, R., and C. M. C. Lee. 1998. Accounting valuation, market expectation, and cross-sectional stock returns. </w:t>
      </w:r>
      <w:r w:rsidRPr="00063FFB">
        <w:rPr>
          <w:rFonts w:ascii="Times New Roman" w:hAnsi="Times New Roman" w:cs="Times New Roman"/>
          <w:i/>
          <w:sz w:val="24"/>
          <w:szCs w:val="24"/>
        </w:rPr>
        <w:t>Journal of Accounting &amp; Economics</w:t>
      </w:r>
      <w:r w:rsidRPr="00063FFB">
        <w:rPr>
          <w:rFonts w:ascii="Times New Roman" w:hAnsi="Times New Roman" w:cs="Times New Roman"/>
          <w:sz w:val="24"/>
          <w:szCs w:val="24"/>
        </w:rPr>
        <w:t xml:space="preserve"> 25 (3): 283-319.</w:t>
      </w:r>
      <w:bookmarkEnd w:id="39"/>
    </w:p>
    <w:p w14:paraId="33ECB58F"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0" w:name="_ENREF_38"/>
      <w:r w:rsidRPr="00063FFB">
        <w:rPr>
          <w:rFonts w:ascii="Times New Roman" w:hAnsi="Times New Roman" w:cs="Times New Roman"/>
          <w:sz w:val="24"/>
          <w:szCs w:val="24"/>
        </w:rPr>
        <w:t xml:space="preserve">Glosten, L. R., and P. R. Milgrom. 1985. Bid, Ask and Transaction Prices in a Specialist Market with Heterogeneously Informed Traders.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14 (1): 71-100.</w:t>
      </w:r>
      <w:bookmarkEnd w:id="40"/>
    </w:p>
    <w:p w14:paraId="6748BAB9" w14:textId="6F322FBD" w:rsidR="00A4299A" w:rsidRPr="00063FFB" w:rsidRDefault="00A4299A" w:rsidP="00063FFB">
      <w:pPr>
        <w:pStyle w:val="EndNoteBibliography"/>
        <w:spacing w:after="0"/>
        <w:ind w:left="720" w:hanging="720"/>
        <w:rPr>
          <w:rFonts w:ascii="Times New Roman" w:hAnsi="Times New Roman" w:cs="Times New Roman"/>
          <w:sz w:val="24"/>
          <w:szCs w:val="24"/>
        </w:rPr>
      </w:pPr>
      <w:bookmarkStart w:id="41" w:name="_ENREF_39"/>
      <w:r w:rsidRPr="00063FFB">
        <w:rPr>
          <w:rFonts w:ascii="Times New Roman" w:hAnsi="Times New Roman" w:cs="Times New Roman"/>
          <w:sz w:val="24"/>
          <w:szCs w:val="24"/>
        </w:rPr>
        <w:t xml:space="preserve">Golubov, A., and T. Konstantinidi. 2019. Where Is the Risk in Value? Evidence from a Market-to-Book Decomposition. </w:t>
      </w:r>
      <w:r w:rsidRPr="00063FFB">
        <w:rPr>
          <w:rFonts w:ascii="Times New Roman" w:hAnsi="Times New Roman" w:cs="Times New Roman"/>
          <w:i/>
          <w:sz w:val="24"/>
          <w:szCs w:val="24"/>
        </w:rPr>
        <w:t>Journal of Finance</w:t>
      </w:r>
      <w:r w:rsidRPr="00063FFB">
        <w:rPr>
          <w:rFonts w:ascii="Times New Roman" w:hAnsi="Times New Roman" w:cs="Times New Roman"/>
          <w:sz w:val="24"/>
          <w:szCs w:val="24"/>
        </w:rPr>
        <w:t xml:space="preserve"> 74 (6): 3135-3186.</w:t>
      </w:r>
      <w:bookmarkEnd w:id="41"/>
    </w:p>
    <w:p w14:paraId="0F5A5FE7"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2" w:name="_ENREF_40"/>
      <w:r w:rsidRPr="00063FFB">
        <w:rPr>
          <w:rFonts w:ascii="Times New Roman" w:hAnsi="Times New Roman" w:cs="Times New Roman"/>
          <w:sz w:val="24"/>
          <w:szCs w:val="24"/>
        </w:rPr>
        <w:t xml:space="preserve">Gompers, P. A., J. Ishii, and A. Metrick. 2010. Extreme Governance: An Analysis of Dual-Class Firms in the United States. </w:t>
      </w:r>
      <w:r w:rsidRPr="00063FFB">
        <w:rPr>
          <w:rFonts w:ascii="Times New Roman" w:hAnsi="Times New Roman" w:cs="Times New Roman"/>
          <w:i/>
          <w:sz w:val="24"/>
          <w:szCs w:val="24"/>
        </w:rPr>
        <w:t>Review of Financial Studies</w:t>
      </w:r>
      <w:r w:rsidRPr="00063FFB">
        <w:rPr>
          <w:rFonts w:ascii="Times New Roman" w:hAnsi="Times New Roman" w:cs="Times New Roman"/>
          <w:sz w:val="24"/>
          <w:szCs w:val="24"/>
        </w:rPr>
        <w:t xml:space="preserve"> 23 (3): 1051-1088.</w:t>
      </w:r>
      <w:bookmarkEnd w:id="42"/>
    </w:p>
    <w:p w14:paraId="0FD33990"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3" w:name="_ENREF_41"/>
      <w:r w:rsidRPr="00063FFB">
        <w:rPr>
          <w:rFonts w:ascii="Times New Roman" w:hAnsi="Times New Roman" w:cs="Times New Roman"/>
          <w:sz w:val="24"/>
          <w:szCs w:val="24"/>
        </w:rPr>
        <w:t xml:space="preserve">Gonçalves, A. S., and G. Leonard. 2023. The fundamental-to-market ratio and the value premium decline.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147 (2): 382-405.</w:t>
      </w:r>
      <w:bookmarkEnd w:id="43"/>
    </w:p>
    <w:p w14:paraId="70F90FDB" w14:textId="300B1F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4" w:name="_ENREF_42"/>
      <w:r w:rsidRPr="00063FFB">
        <w:rPr>
          <w:rFonts w:ascii="Times New Roman" w:hAnsi="Times New Roman" w:cs="Times New Roman"/>
          <w:sz w:val="24"/>
          <w:szCs w:val="24"/>
        </w:rPr>
        <w:t>Heflin, F., K. S. Kolev, and B. Whipple. 202</w:t>
      </w:r>
      <w:r w:rsidR="00BD70EF">
        <w:rPr>
          <w:rFonts w:ascii="Times New Roman" w:hAnsi="Times New Roman" w:cs="Times New Roman"/>
          <w:sz w:val="24"/>
          <w:szCs w:val="24"/>
        </w:rPr>
        <w:t>4</w:t>
      </w:r>
      <w:r w:rsidRPr="00063FFB">
        <w:rPr>
          <w:rFonts w:ascii="Times New Roman" w:hAnsi="Times New Roman" w:cs="Times New Roman"/>
          <w:sz w:val="24"/>
          <w:szCs w:val="24"/>
        </w:rPr>
        <w:t xml:space="preserve">. </w:t>
      </w:r>
      <w:bookmarkStart w:id="45" w:name="_Hlk179652283"/>
      <w:r w:rsidRPr="00063FFB">
        <w:rPr>
          <w:rFonts w:ascii="Times New Roman" w:hAnsi="Times New Roman" w:cs="Times New Roman"/>
          <w:sz w:val="24"/>
          <w:szCs w:val="24"/>
        </w:rPr>
        <w:t>The risk-relevance of non-GAAP earnings</w:t>
      </w:r>
      <w:bookmarkEnd w:id="45"/>
      <w:r w:rsidRPr="00063FFB">
        <w:rPr>
          <w:rFonts w:ascii="Times New Roman" w:hAnsi="Times New Roman" w:cs="Times New Roman"/>
          <w:sz w:val="24"/>
          <w:szCs w:val="24"/>
        </w:rPr>
        <w:t xml:space="preserve">. </w:t>
      </w:r>
      <w:r w:rsidRPr="00063FFB">
        <w:rPr>
          <w:rFonts w:ascii="Times New Roman" w:hAnsi="Times New Roman" w:cs="Times New Roman"/>
          <w:i/>
          <w:sz w:val="24"/>
          <w:szCs w:val="24"/>
        </w:rPr>
        <w:t>Review of Accounting Studies</w:t>
      </w:r>
      <w:r w:rsidRPr="00063FFB">
        <w:rPr>
          <w:rFonts w:ascii="Times New Roman" w:hAnsi="Times New Roman" w:cs="Times New Roman"/>
          <w:sz w:val="24"/>
          <w:szCs w:val="24"/>
        </w:rPr>
        <w:t xml:space="preserve"> </w:t>
      </w:r>
      <w:r w:rsidR="00BD70EF">
        <w:rPr>
          <w:rFonts w:ascii="Times New Roman" w:hAnsi="Times New Roman" w:cs="Times New Roman"/>
          <w:sz w:val="24"/>
          <w:szCs w:val="24"/>
        </w:rPr>
        <w:t>29</w:t>
      </w:r>
      <w:r w:rsidR="00F03C25">
        <w:rPr>
          <w:rFonts w:ascii="Times New Roman" w:hAnsi="Times New Roman" w:cs="Times New Roman"/>
          <w:sz w:val="24"/>
          <w:szCs w:val="24"/>
        </w:rPr>
        <w:t>(1)</w:t>
      </w:r>
      <w:r w:rsidR="00BD70EF">
        <w:rPr>
          <w:rFonts w:ascii="Times New Roman" w:hAnsi="Times New Roman" w:cs="Times New Roman"/>
          <w:sz w:val="24"/>
          <w:szCs w:val="24"/>
        </w:rPr>
        <w:t>: 493-524</w:t>
      </w:r>
      <w:r w:rsidRPr="00063FFB">
        <w:rPr>
          <w:rFonts w:ascii="Times New Roman" w:hAnsi="Times New Roman" w:cs="Times New Roman"/>
          <w:sz w:val="24"/>
          <w:szCs w:val="24"/>
        </w:rPr>
        <w:t>.</w:t>
      </w:r>
      <w:bookmarkEnd w:id="44"/>
    </w:p>
    <w:p w14:paraId="52AD6BD2" w14:textId="727F5F40" w:rsidR="00A4299A" w:rsidRPr="00063FFB" w:rsidRDefault="00A4299A" w:rsidP="00063FFB">
      <w:pPr>
        <w:pStyle w:val="EndNoteBibliography"/>
        <w:spacing w:after="0"/>
        <w:ind w:left="720" w:hanging="720"/>
        <w:rPr>
          <w:rFonts w:ascii="Times New Roman" w:hAnsi="Times New Roman" w:cs="Times New Roman"/>
          <w:sz w:val="24"/>
          <w:szCs w:val="24"/>
        </w:rPr>
      </w:pPr>
      <w:bookmarkStart w:id="46" w:name="_ENREF_43"/>
      <w:r w:rsidRPr="00063FFB">
        <w:rPr>
          <w:rFonts w:ascii="Times New Roman" w:hAnsi="Times New Roman" w:cs="Times New Roman"/>
          <w:sz w:val="24"/>
          <w:szCs w:val="24"/>
        </w:rPr>
        <w:t xml:space="preserve">Hong, H., J. Scheinkman, and W. Xiong. 2006. Asset Float and Speculative Bubbles. </w:t>
      </w:r>
      <w:r w:rsidRPr="00063FFB">
        <w:rPr>
          <w:rFonts w:ascii="Times New Roman" w:hAnsi="Times New Roman" w:cs="Times New Roman"/>
          <w:i/>
          <w:sz w:val="24"/>
          <w:szCs w:val="24"/>
        </w:rPr>
        <w:t>Journal of Finance</w:t>
      </w:r>
      <w:r w:rsidRPr="00063FFB">
        <w:rPr>
          <w:rFonts w:ascii="Times New Roman" w:hAnsi="Times New Roman" w:cs="Times New Roman"/>
          <w:sz w:val="24"/>
          <w:szCs w:val="24"/>
        </w:rPr>
        <w:t xml:space="preserve"> 61 (3): 1073-1117.</w:t>
      </w:r>
      <w:bookmarkEnd w:id="46"/>
    </w:p>
    <w:p w14:paraId="6A080F53"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7" w:name="_ENREF_44"/>
      <w:r w:rsidRPr="00063FFB">
        <w:rPr>
          <w:rFonts w:ascii="Times New Roman" w:hAnsi="Times New Roman" w:cs="Times New Roman"/>
          <w:sz w:val="24"/>
          <w:szCs w:val="24"/>
        </w:rPr>
        <w:lastRenderedPageBreak/>
        <w:t xml:space="preserve">Hribar, P., and D. W. Collins. 2002. Errors in Estimating Accruals: Implications for Empirical Research. </w:t>
      </w:r>
      <w:r w:rsidRPr="00063FFB">
        <w:rPr>
          <w:rFonts w:ascii="Times New Roman" w:hAnsi="Times New Roman" w:cs="Times New Roman"/>
          <w:i/>
          <w:sz w:val="24"/>
          <w:szCs w:val="24"/>
        </w:rPr>
        <w:t>Journal of Accounting Research</w:t>
      </w:r>
      <w:r w:rsidRPr="00063FFB">
        <w:rPr>
          <w:rFonts w:ascii="Times New Roman" w:hAnsi="Times New Roman" w:cs="Times New Roman"/>
          <w:sz w:val="24"/>
          <w:szCs w:val="24"/>
        </w:rPr>
        <w:t xml:space="preserve"> 40 (1): 105-134.</w:t>
      </w:r>
      <w:bookmarkEnd w:id="47"/>
    </w:p>
    <w:p w14:paraId="1C90208E" w14:textId="14B0E2F3" w:rsidR="00A4299A" w:rsidRPr="00063FFB" w:rsidRDefault="00A4299A" w:rsidP="00063FFB">
      <w:pPr>
        <w:pStyle w:val="EndNoteBibliography"/>
        <w:spacing w:after="0"/>
        <w:ind w:left="720" w:hanging="720"/>
        <w:rPr>
          <w:rFonts w:ascii="Times New Roman" w:hAnsi="Times New Roman" w:cs="Times New Roman"/>
          <w:sz w:val="24"/>
          <w:szCs w:val="24"/>
        </w:rPr>
      </w:pPr>
      <w:bookmarkStart w:id="48" w:name="_ENREF_45"/>
      <w:r w:rsidRPr="00063FFB">
        <w:rPr>
          <w:rFonts w:ascii="Times New Roman" w:hAnsi="Times New Roman" w:cs="Times New Roman"/>
          <w:sz w:val="24"/>
          <w:szCs w:val="24"/>
        </w:rPr>
        <w:t xml:space="preserve">Jensen, T. I., B. Kelly, and L. H. Pedersen. 2023. Is There a Replication Crisis in Finance? </w:t>
      </w:r>
      <w:r w:rsidRPr="00063FFB">
        <w:rPr>
          <w:rFonts w:ascii="Times New Roman" w:hAnsi="Times New Roman" w:cs="Times New Roman"/>
          <w:i/>
          <w:sz w:val="24"/>
          <w:szCs w:val="24"/>
        </w:rPr>
        <w:t>Journal of Finance</w:t>
      </w:r>
      <w:r w:rsidRPr="00063FFB">
        <w:rPr>
          <w:rFonts w:ascii="Times New Roman" w:hAnsi="Times New Roman" w:cs="Times New Roman"/>
          <w:sz w:val="24"/>
          <w:szCs w:val="24"/>
        </w:rPr>
        <w:t xml:space="preserve"> 78 (5): 2465-2518.</w:t>
      </w:r>
      <w:bookmarkEnd w:id="48"/>
    </w:p>
    <w:p w14:paraId="58801695"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49" w:name="_ENREF_46"/>
      <w:r w:rsidRPr="00063FFB">
        <w:rPr>
          <w:rFonts w:ascii="Times New Roman" w:hAnsi="Times New Roman" w:cs="Times New Roman"/>
          <w:sz w:val="24"/>
          <w:szCs w:val="24"/>
        </w:rPr>
        <w:t xml:space="preserve">Joos, P., and J. Piotroski. 2017. The best of all possible worlds: unraveling target price optimism using analysts' scenario-based valuations. </w:t>
      </w:r>
      <w:r w:rsidRPr="00063FFB">
        <w:rPr>
          <w:rFonts w:ascii="Times New Roman" w:hAnsi="Times New Roman" w:cs="Times New Roman"/>
          <w:i/>
          <w:sz w:val="24"/>
          <w:szCs w:val="24"/>
        </w:rPr>
        <w:t>Review of Accounting Studies</w:t>
      </w:r>
      <w:r w:rsidRPr="00063FFB">
        <w:rPr>
          <w:rFonts w:ascii="Times New Roman" w:hAnsi="Times New Roman" w:cs="Times New Roman"/>
          <w:sz w:val="24"/>
          <w:szCs w:val="24"/>
        </w:rPr>
        <w:t xml:space="preserve"> 22 (4): 1492-1540.</w:t>
      </w:r>
      <w:bookmarkEnd w:id="49"/>
    </w:p>
    <w:p w14:paraId="2B102841"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0" w:name="_ENREF_47"/>
      <w:r w:rsidRPr="00063FFB">
        <w:rPr>
          <w:rFonts w:ascii="Times New Roman" w:hAnsi="Times New Roman" w:cs="Times New Roman"/>
          <w:sz w:val="24"/>
          <w:szCs w:val="24"/>
        </w:rPr>
        <w:t xml:space="preserve">Joos, P., J. D. Piotroski, and S. Srinivasan. 2016. Can analysts assess fundamental risk and valuation uncertainty? An empirical analysis of scenario-based value estimates.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121 (3): 645-663.</w:t>
      </w:r>
      <w:bookmarkEnd w:id="50"/>
    </w:p>
    <w:p w14:paraId="15735C6D"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1" w:name="_ENREF_49"/>
      <w:r w:rsidRPr="00063FFB">
        <w:rPr>
          <w:rFonts w:ascii="Times New Roman" w:hAnsi="Times New Roman" w:cs="Times New Roman"/>
          <w:sz w:val="24"/>
          <w:szCs w:val="24"/>
        </w:rPr>
        <w:t xml:space="preserve">Konstantinidi, T., and P. F. Pope. 2016. Forecasting Risk in Earnings. </w:t>
      </w:r>
      <w:r w:rsidRPr="00063FFB">
        <w:rPr>
          <w:rFonts w:ascii="Times New Roman" w:hAnsi="Times New Roman" w:cs="Times New Roman"/>
          <w:i/>
          <w:sz w:val="24"/>
          <w:szCs w:val="24"/>
        </w:rPr>
        <w:t>Contemporary Accounting Research</w:t>
      </w:r>
      <w:r w:rsidRPr="00063FFB">
        <w:rPr>
          <w:rFonts w:ascii="Times New Roman" w:hAnsi="Times New Roman" w:cs="Times New Roman"/>
          <w:sz w:val="24"/>
          <w:szCs w:val="24"/>
        </w:rPr>
        <w:t xml:space="preserve"> 33 (2): 487-525.</w:t>
      </w:r>
      <w:bookmarkEnd w:id="51"/>
    </w:p>
    <w:p w14:paraId="0E766059"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2" w:name="_ENREF_50"/>
      <w:r w:rsidRPr="00063FFB">
        <w:rPr>
          <w:rFonts w:ascii="Times New Roman" w:hAnsi="Times New Roman" w:cs="Times New Roman"/>
          <w:sz w:val="24"/>
          <w:szCs w:val="24"/>
        </w:rPr>
        <w:t xml:space="preserve">Kothari, S. P., T. E. Laguerre, and A. J. Leone. 2002. Capitalization versus Expensing: Evidence on the Uncertainty of Future Earnings from Capital Expenditures versus R&amp;D Outlays. </w:t>
      </w:r>
      <w:r w:rsidRPr="00063FFB">
        <w:rPr>
          <w:rFonts w:ascii="Times New Roman" w:hAnsi="Times New Roman" w:cs="Times New Roman"/>
          <w:i/>
          <w:sz w:val="24"/>
          <w:szCs w:val="24"/>
        </w:rPr>
        <w:t>Review of Accounting Studies</w:t>
      </w:r>
      <w:r w:rsidRPr="00063FFB">
        <w:rPr>
          <w:rFonts w:ascii="Times New Roman" w:hAnsi="Times New Roman" w:cs="Times New Roman"/>
          <w:sz w:val="24"/>
          <w:szCs w:val="24"/>
        </w:rPr>
        <w:t xml:space="preserve"> 7 (4): 355-382.</w:t>
      </w:r>
      <w:bookmarkEnd w:id="52"/>
    </w:p>
    <w:p w14:paraId="2FF7713D" w14:textId="2BD9C3C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3" w:name="_ENREF_51"/>
      <w:r w:rsidRPr="00063FFB">
        <w:rPr>
          <w:rFonts w:ascii="Times New Roman" w:hAnsi="Times New Roman" w:cs="Times New Roman"/>
          <w:sz w:val="24"/>
          <w:szCs w:val="24"/>
        </w:rPr>
        <w:t xml:space="preserve">La Porta, R., J. Lakonishok, A. Shleifer, and R. Vishny. 1997. Good News for Value Stocks: Further Evidence on Market Efficiency. </w:t>
      </w:r>
      <w:r w:rsidRPr="00063FFB">
        <w:rPr>
          <w:rFonts w:ascii="Times New Roman" w:hAnsi="Times New Roman" w:cs="Times New Roman"/>
          <w:i/>
          <w:sz w:val="24"/>
          <w:szCs w:val="24"/>
        </w:rPr>
        <w:t>Journal of F</w:t>
      </w:r>
      <w:r w:rsidR="000D4642">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52 (2): 859-874.</w:t>
      </w:r>
      <w:bookmarkEnd w:id="53"/>
    </w:p>
    <w:p w14:paraId="16BF76EA"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4" w:name="_ENREF_52"/>
      <w:r w:rsidRPr="00063FFB">
        <w:rPr>
          <w:rFonts w:ascii="Times New Roman" w:hAnsi="Times New Roman" w:cs="Times New Roman"/>
          <w:sz w:val="24"/>
          <w:szCs w:val="24"/>
        </w:rPr>
        <w:t xml:space="preserve">Lambert, R., C. Leuz, and R. E. Verrecchia. 2007. Accounting Information, Disclosure, and the Cost of Capital. </w:t>
      </w:r>
      <w:r w:rsidRPr="00063FFB">
        <w:rPr>
          <w:rFonts w:ascii="Times New Roman" w:hAnsi="Times New Roman" w:cs="Times New Roman"/>
          <w:i/>
          <w:sz w:val="24"/>
          <w:szCs w:val="24"/>
        </w:rPr>
        <w:t>Journal of Accounting Research</w:t>
      </w:r>
      <w:r w:rsidRPr="00063FFB">
        <w:rPr>
          <w:rFonts w:ascii="Times New Roman" w:hAnsi="Times New Roman" w:cs="Times New Roman"/>
          <w:sz w:val="24"/>
          <w:szCs w:val="24"/>
        </w:rPr>
        <w:t xml:space="preserve"> 45 (2): 385-420.</w:t>
      </w:r>
      <w:bookmarkEnd w:id="54"/>
    </w:p>
    <w:p w14:paraId="55A9A232" w14:textId="7AC07CF1" w:rsidR="00A4299A" w:rsidRPr="00063FFB" w:rsidRDefault="00A4299A" w:rsidP="00063FFB">
      <w:pPr>
        <w:pStyle w:val="EndNoteBibliography"/>
        <w:spacing w:after="0"/>
        <w:ind w:left="720" w:hanging="720"/>
        <w:rPr>
          <w:rFonts w:ascii="Times New Roman" w:hAnsi="Times New Roman" w:cs="Times New Roman"/>
          <w:sz w:val="24"/>
          <w:szCs w:val="24"/>
        </w:rPr>
      </w:pPr>
      <w:bookmarkStart w:id="55" w:name="_ENREF_53"/>
      <w:r w:rsidRPr="00063FFB">
        <w:rPr>
          <w:rFonts w:ascii="Times New Roman" w:hAnsi="Times New Roman" w:cs="Times New Roman"/>
          <w:sz w:val="24"/>
          <w:szCs w:val="24"/>
        </w:rPr>
        <w:t xml:space="preserve">Lewellen, J., and J. Shanken. 2002. Learning, Asset-Pricing Tests, and Market Efficiency. </w:t>
      </w:r>
      <w:r w:rsidRPr="00063FFB">
        <w:rPr>
          <w:rFonts w:ascii="Times New Roman" w:hAnsi="Times New Roman" w:cs="Times New Roman"/>
          <w:i/>
          <w:sz w:val="24"/>
          <w:szCs w:val="24"/>
        </w:rPr>
        <w:t>Journal of F</w:t>
      </w:r>
      <w:r w:rsidR="007B5FC5">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57 (3): 1113-1145.</w:t>
      </w:r>
      <w:bookmarkEnd w:id="55"/>
    </w:p>
    <w:p w14:paraId="72106503"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6" w:name="_ENREF_54"/>
      <w:r w:rsidRPr="00063FFB">
        <w:rPr>
          <w:rFonts w:ascii="Times New Roman" w:hAnsi="Times New Roman" w:cs="Times New Roman"/>
          <w:sz w:val="24"/>
          <w:szCs w:val="24"/>
        </w:rPr>
        <w:t xml:space="preserve">Liu, T. 2020. The Information Provision in the Corporate Acquisition Process: Why Target Firms Obtain Multiple Fairness Opinions.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95 (1): 287-310.</w:t>
      </w:r>
      <w:bookmarkEnd w:id="56"/>
    </w:p>
    <w:p w14:paraId="71CDCAF4" w14:textId="0F421009" w:rsidR="00A4299A" w:rsidRPr="00063FFB" w:rsidRDefault="00A4299A" w:rsidP="00063FFB">
      <w:pPr>
        <w:pStyle w:val="EndNoteBibliography"/>
        <w:spacing w:after="0"/>
        <w:ind w:left="720" w:hanging="720"/>
        <w:rPr>
          <w:rFonts w:ascii="Times New Roman" w:hAnsi="Times New Roman" w:cs="Times New Roman"/>
          <w:sz w:val="24"/>
          <w:szCs w:val="24"/>
        </w:rPr>
      </w:pPr>
      <w:bookmarkStart w:id="57" w:name="_ENREF_55"/>
      <w:r w:rsidRPr="00063FFB">
        <w:rPr>
          <w:rFonts w:ascii="Times New Roman" w:hAnsi="Times New Roman" w:cs="Times New Roman"/>
          <w:sz w:val="24"/>
          <w:szCs w:val="24"/>
        </w:rPr>
        <w:t xml:space="preserve">Miller, E. M. 1977. Risk, Uncertainty, and Divergence of Opinion. </w:t>
      </w:r>
      <w:r w:rsidRPr="00063FFB">
        <w:rPr>
          <w:rFonts w:ascii="Times New Roman" w:hAnsi="Times New Roman" w:cs="Times New Roman"/>
          <w:i/>
          <w:sz w:val="24"/>
          <w:szCs w:val="24"/>
        </w:rPr>
        <w:t>Journal of F</w:t>
      </w:r>
      <w:r w:rsidR="002C4173">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32 (4): 1151-1168.</w:t>
      </w:r>
      <w:bookmarkEnd w:id="57"/>
    </w:p>
    <w:p w14:paraId="607AB5A9"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8" w:name="_ENREF_56"/>
      <w:r w:rsidRPr="00063FFB">
        <w:rPr>
          <w:rFonts w:ascii="Times New Roman" w:hAnsi="Times New Roman" w:cs="Times New Roman"/>
          <w:sz w:val="24"/>
          <w:szCs w:val="24"/>
        </w:rPr>
        <w:t xml:space="preserve">Myers, S. C., and N. S. Majluf. 1984. Corporate Financing And Investment  Decisions When Firms Have Information That Investors Do Not Have.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13 (2): 187-221.</w:t>
      </w:r>
      <w:bookmarkEnd w:id="58"/>
    </w:p>
    <w:p w14:paraId="0758D16D"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59" w:name="_ENREF_57"/>
      <w:r w:rsidRPr="00063FFB">
        <w:rPr>
          <w:rFonts w:ascii="Times New Roman" w:hAnsi="Times New Roman" w:cs="Times New Roman"/>
          <w:sz w:val="24"/>
          <w:szCs w:val="24"/>
        </w:rPr>
        <w:t xml:space="preserve">Nekrasov, A., and P. K. Shroff. 2009. Fundamentals‐Based Risk Measurement in Valuation.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84 (6): 1983-2011.</w:t>
      </w:r>
      <w:bookmarkEnd w:id="59"/>
    </w:p>
    <w:p w14:paraId="041A57F5"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0" w:name="_ENREF_58"/>
      <w:r w:rsidRPr="00063FFB">
        <w:rPr>
          <w:rFonts w:ascii="Times New Roman" w:hAnsi="Times New Roman" w:cs="Times New Roman"/>
          <w:sz w:val="24"/>
          <w:szCs w:val="24"/>
        </w:rPr>
        <w:t xml:space="preserve">Ohlson, J. A. 1995. Earnings, Book Values, and Dividends in Equity Valuation. </w:t>
      </w:r>
      <w:r w:rsidRPr="00063FFB">
        <w:rPr>
          <w:rFonts w:ascii="Times New Roman" w:hAnsi="Times New Roman" w:cs="Times New Roman"/>
          <w:i/>
          <w:sz w:val="24"/>
          <w:szCs w:val="24"/>
        </w:rPr>
        <w:t>Contemporary Accounting Research</w:t>
      </w:r>
      <w:r w:rsidRPr="00063FFB">
        <w:rPr>
          <w:rFonts w:ascii="Times New Roman" w:hAnsi="Times New Roman" w:cs="Times New Roman"/>
          <w:sz w:val="24"/>
          <w:szCs w:val="24"/>
        </w:rPr>
        <w:t xml:space="preserve"> 11 (2): 661-687.</w:t>
      </w:r>
      <w:bookmarkEnd w:id="60"/>
    </w:p>
    <w:p w14:paraId="633CCDEF"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1" w:name="_ENREF_59"/>
      <w:r w:rsidRPr="00063FFB">
        <w:rPr>
          <w:rFonts w:ascii="Times New Roman" w:hAnsi="Times New Roman" w:cs="Times New Roman"/>
          <w:sz w:val="24"/>
          <w:szCs w:val="24"/>
        </w:rPr>
        <w:t xml:space="preserve">Pástor, L., and P. Veronesi. 2009. Learning in Financial Markets. </w:t>
      </w:r>
      <w:r w:rsidRPr="00063FFB">
        <w:rPr>
          <w:rFonts w:ascii="Times New Roman" w:hAnsi="Times New Roman" w:cs="Times New Roman"/>
          <w:i/>
          <w:sz w:val="24"/>
          <w:szCs w:val="24"/>
        </w:rPr>
        <w:t>Annual Review of Financial Economics</w:t>
      </w:r>
      <w:r w:rsidRPr="00063FFB">
        <w:rPr>
          <w:rFonts w:ascii="Times New Roman" w:hAnsi="Times New Roman" w:cs="Times New Roman"/>
          <w:sz w:val="24"/>
          <w:szCs w:val="24"/>
        </w:rPr>
        <w:t xml:space="preserve"> 1 (1): 361-381.</w:t>
      </w:r>
      <w:bookmarkEnd w:id="61"/>
    </w:p>
    <w:p w14:paraId="5B42D0DD"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2" w:name="_ENREF_60"/>
      <w:r w:rsidRPr="00063FFB">
        <w:rPr>
          <w:rFonts w:ascii="Times New Roman" w:hAnsi="Times New Roman" w:cs="Times New Roman"/>
          <w:sz w:val="24"/>
          <w:szCs w:val="24"/>
        </w:rPr>
        <w:t xml:space="preserve">Piotroski, J. D., and E. C. So. 2012. Identifying Expectation Errors in Value/Glamour Strategies: A Fundamental Analysis Approach. </w:t>
      </w:r>
      <w:r w:rsidRPr="00063FFB">
        <w:rPr>
          <w:rFonts w:ascii="Times New Roman" w:hAnsi="Times New Roman" w:cs="Times New Roman"/>
          <w:i/>
          <w:sz w:val="24"/>
          <w:szCs w:val="24"/>
        </w:rPr>
        <w:t>Review of Financial Studies</w:t>
      </w:r>
      <w:r w:rsidRPr="00063FFB">
        <w:rPr>
          <w:rFonts w:ascii="Times New Roman" w:hAnsi="Times New Roman" w:cs="Times New Roman"/>
          <w:sz w:val="24"/>
          <w:szCs w:val="24"/>
        </w:rPr>
        <w:t xml:space="preserve"> 25 (9): 2841-2875.</w:t>
      </w:r>
      <w:bookmarkEnd w:id="62"/>
    </w:p>
    <w:p w14:paraId="66F2FDA9"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3" w:name="_ENREF_61"/>
      <w:r w:rsidRPr="00063FFB">
        <w:rPr>
          <w:rFonts w:ascii="Times New Roman" w:hAnsi="Times New Roman" w:cs="Times New Roman"/>
          <w:sz w:val="24"/>
          <w:szCs w:val="24"/>
        </w:rPr>
        <w:t xml:space="preserve">Pontiff, J. 2006. Costly arbitrage and the myth of idiosyncratic risk. </w:t>
      </w:r>
      <w:r w:rsidRPr="00063FFB">
        <w:rPr>
          <w:rFonts w:ascii="Times New Roman" w:hAnsi="Times New Roman" w:cs="Times New Roman"/>
          <w:i/>
          <w:sz w:val="24"/>
          <w:szCs w:val="24"/>
        </w:rPr>
        <w:t>Journal of Accounting &amp; Economics</w:t>
      </w:r>
      <w:r w:rsidRPr="00063FFB">
        <w:rPr>
          <w:rFonts w:ascii="Times New Roman" w:hAnsi="Times New Roman" w:cs="Times New Roman"/>
          <w:sz w:val="24"/>
          <w:szCs w:val="24"/>
        </w:rPr>
        <w:t xml:space="preserve"> 42 (1/2): 35-52.</w:t>
      </w:r>
      <w:bookmarkEnd w:id="63"/>
    </w:p>
    <w:p w14:paraId="222AAB54"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4" w:name="_ENREF_62"/>
      <w:r w:rsidRPr="00063FFB">
        <w:rPr>
          <w:rFonts w:ascii="Times New Roman" w:hAnsi="Times New Roman" w:cs="Times New Roman"/>
          <w:sz w:val="24"/>
          <w:szCs w:val="24"/>
        </w:rPr>
        <w:t xml:space="preserve">Rhodes–Kropf, M., D. T. Robinson, and S. Viswanathan. 2005. Valuation waves and merger activity: The empirical evidence.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77 (3): 561-603.</w:t>
      </w:r>
      <w:bookmarkEnd w:id="64"/>
    </w:p>
    <w:p w14:paraId="18D0B31A"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5" w:name="_ENREF_63"/>
      <w:r w:rsidRPr="00063FFB">
        <w:rPr>
          <w:rFonts w:ascii="Times New Roman" w:hAnsi="Times New Roman" w:cs="Times New Roman"/>
          <w:sz w:val="24"/>
          <w:szCs w:val="24"/>
        </w:rPr>
        <w:t xml:space="preserve">Sridharan, S. A. 2015. Volatility Forecasting Using Financial Statement Information. </w:t>
      </w:r>
      <w:r w:rsidRPr="00063FFB">
        <w:rPr>
          <w:rFonts w:ascii="Times New Roman" w:hAnsi="Times New Roman" w:cs="Times New Roman"/>
          <w:i/>
          <w:sz w:val="24"/>
          <w:szCs w:val="24"/>
        </w:rPr>
        <w:t>The Accounting Review</w:t>
      </w:r>
      <w:r w:rsidRPr="00063FFB">
        <w:rPr>
          <w:rFonts w:ascii="Times New Roman" w:hAnsi="Times New Roman" w:cs="Times New Roman"/>
          <w:sz w:val="24"/>
          <w:szCs w:val="24"/>
        </w:rPr>
        <w:t xml:space="preserve"> 90 (5): 2079-2106.</w:t>
      </w:r>
      <w:bookmarkEnd w:id="65"/>
    </w:p>
    <w:p w14:paraId="02E21CE3" w14:textId="77777777" w:rsidR="00A4299A" w:rsidRPr="00063FFB" w:rsidRDefault="00A4299A" w:rsidP="00063FFB">
      <w:pPr>
        <w:pStyle w:val="EndNoteBibliography"/>
        <w:spacing w:after="0"/>
        <w:ind w:left="720" w:hanging="720"/>
        <w:rPr>
          <w:rFonts w:ascii="Times New Roman" w:hAnsi="Times New Roman" w:cs="Times New Roman"/>
          <w:sz w:val="24"/>
          <w:szCs w:val="24"/>
        </w:rPr>
      </w:pPr>
      <w:bookmarkStart w:id="66" w:name="_ENREF_64"/>
      <w:r w:rsidRPr="00063FFB">
        <w:rPr>
          <w:rFonts w:ascii="Times New Roman" w:hAnsi="Times New Roman" w:cs="Times New Roman"/>
          <w:sz w:val="24"/>
          <w:szCs w:val="24"/>
        </w:rPr>
        <w:t xml:space="preserve">Stambaugh, R. F., J. Yu, and Y. Yuan. 2012. The short of it: Investor sentiment and anomalies. </w:t>
      </w:r>
      <w:r w:rsidRPr="00063FFB">
        <w:rPr>
          <w:rFonts w:ascii="Times New Roman" w:hAnsi="Times New Roman" w:cs="Times New Roman"/>
          <w:i/>
          <w:sz w:val="24"/>
          <w:szCs w:val="24"/>
        </w:rPr>
        <w:t>Journal of Financial Economics</w:t>
      </w:r>
      <w:r w:rsidRPr="00063FFB">
        <w:rPr>
          <w:rFonts w:ascii="Times New Roman" w:hAnsi="Times New Roman" w:cs="Times New Roman"/>
          <w:sz w:val="24"/>
          <w:szCs w:val="24"/>
        </w:rPr>
        <w:t xml:space="preserve"> 104 (2): 288-302.</w:t>
      </w:r>
      <w:bookmarkEnd w:id="66"/>
    </w:p>
    <w:p w14:paraId="1BCFCE1B" w14:textId="6E5D724C" w:rsidR="008642E4" w:rsidRPr="004F61E3" w:rsidRDefault="00A4299A" w:rsidP="00FB3F39">
      <w:pPr>
        <w:pStyle w:val="EndNoteBibliography"/>
        <w:ind w:left="720" w:hanging="720"/>
        <w:rPr>
          <w:rFonts w:ascii="Times New Roman" w:hAnsi="Times New Roman" w:cs="Times New Roman"/>
          <w:sz w:val="24"/>
          <w:szCs w:val="24"/>
        </w:rPr>
      </w:pPr>
      <w:bookmarkStart w:id="67" w:name="_ENREF_65"/>
      <w:r w:rsidRPr="00063FFB">
        <w:rPr>
          <w:rFonts w:ascii="Times New Roman" w:hAnsi="Times New Roman" w:cs="Times New Roman"/>
          <w:sz w:val="24"/>
          <w:szCs w:val="24"/>
        </w:rPr>
        <w:t xml:space="preserve">———. 2015. Arbitrage Asymmetry and the Idiosyncratic Volatility Puzzle. </w:t>
      </w:r>
      <w:r w:rsidRPr="00063FFB">
        <w:rPr>
          <w:rFonts w:ascii="Times New Roman" w:hAnsi="Times New Roman" w:cs="Times New Roman"/>
          <w:i/>
          <w:sz w:val="24"/>
          <w:szCs w:val="24"/>
        </w:rPr>
        <w:t>Journal of F</w:t>
      </w:r>
      <w:r w:rsidR="006B421B">
        <w:rPr>
          <w:rFonts w:ascii="Times New Roman" w:hAnsi="Times New Roman" w:cs="Times New Roman"/>
          <w:i/>
          <w:sz w:val="24"/>
          <w:szCs w:val="24"/>
        </w:rPr>
        <w:t>i</w:t>
      </w:r>
      <w:r w:rsidRPr="00063FFB">
        <w:rPr>
          <w:rFonts w:ascii="Times New Roman" w:hAnsi="Times New Roman" w:cs="Times New Roman"/>
          <w:i/>
          <w:sz w:val="24"/>
          <w:szCs w:val="24"/>
        </w:rPr>
        <w:t>nance</w:t>
      </w:r>
      <w:r w:rsidRPr="00063FFB">
        <w:rPr>
          <w:rFonts w:ascii="Times New Roman" w:hAnsi="Times New Roman" w:cs="Times New Roman"/>
          <w:sz w:val="24"/>
          <w:szCs w:val="24"/>
        </w:rPr>
        <w:t xml:space="preserve"> 70 (5): 1903-1948.</w:t>
      </w:r>
      <w:bookmarkEnd w:id="67"/>
      <w:r w:rsidR="0021599F" w:rsidRPr="00FB3F39">
        <w:rPr>
          <w:rFonts w:ascii="Times New Roman" w:hAnsi="Times New Roman" w:cs="Times New Roman"/>
          <w:sz w:val="24"/>
          <w:szCs w:val="24"/>
        </w:rPr>
        <w:fldChar w:fldCharType="end"/>
      </w:r>
      <w:r w:rsidR="008642E4" w:rsidRPr="004F61E3">
        <w:rPr>
          <w:rFonts w:ascii="Times New Roman" w:hAnsi="Times New Roman" w:cs="Times New Roman"/>
          <w:sz w:val="24"/>
          <w:szCs w:val="24"/>
        </w:rPr>
        <w:br w:type="page"/>
      </w:r>
    </w:p>
    <w:p w14:paraId="7ED5418B" w14:textId="2AEA4E5E" w:rsidR="00E25C9B" w:rsidRDefault="00507F2E" w:rsidP="00507F2E">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FIGURE</w:t>
      </w:r>
      <w:r w:rsidR="00E25C9B">
        <w:rPr>
          <w:rFonts w:ascii="Times New Roman" w:hAnsi="Times New Roman" w:cs="Times New Roman"/>
          <w:b/>
          <w:sz w:val="20"/>
          <w:szCs w:val="20"/>
        </w:rPr>
        <w:t xml:space="preserve"> </w:t>
      </w:r>
      <w:r w:rsidR="00750EA2">
        <w:rPr>
          <w:rFonts w:ascii="Times New Roman" w:hAnsi="Times New Roman" w:cs="Times New Roman"/>
          <w:b/>
          <w:sz w:val="20"/>
          <w:szCs w:val="20"/>
        </w:rPr>
        <w:t>1</w:t>
      </w:r>
    </w:p>
    <w:p w14:paraId="5640719F" w14:textId="54260A19" w:rsidR="00E25C9B" w:rsidRPr="00507F2E" w:rsidRDefault="00E25C9B" w:rsidP="00507F2E">
      <w:pPr>
        <w:spacing w:after="0"/>
        <w:jc w:val="center"/>
        <w:rPr>
          <w:rFonts w:ascii="Times New Roman" w:hAnsi="Times New Roman" w:cs="Times New Roman"/>
          <w:b/>
          <w:bCs/>
          <w:sz w:val="20"/>
          <w:szCs w:val="20"/>
        </w:rPr>
      </w:pPr>
      <w:r w:rsidRPr="00507F2E">
        <w:rPr>
          <w:rFonts w:ascii="Times New Roman" w:hAnsi="Times New Roman" w:cs="Times New Roman"/>
          <w:b/>
          <w:bCs/>
          <w:sz w:val="20"/>
          <w:szCs w:val="20"/>
        </w:rPr>
        <w:t xml:space="preserve">Illustrative </w:t>
      </w:r>
      <w:r w:rsidR="00507F2E">
        <w:rPr>
          <w:rFonts w:ascii="Times New Roman" w:hAnsi="Times New Roman" w:cs="Times New Roman"/>
          <w:b/>
          <w:bCs/>
          <w:sz w:val="20"/>
          <w:szCs w:val="20"/>
        </w:rPr>
        <w:t>E</w:t>
      </w:r>
      <w:r w:rsidRPr="00507F2E">
        <w:rPr>
          <w:rFonts w:ascii="Times New Roman" w:hAnsi="Times New Roman" w:cs="Times New Roman"/>
          <w:b/>
          <w:bCs/>
          <w:sz w:val="20"/>
          <w:szCs w:val="20"/>
        </w:rPr>
        <w:t xml:space="preserve">xample of </w:t>
      </w:r>
      <w:r w:rsidR="00507F2E">
        <w:rPr>
          <w:rFonts w:ascii="Times New Roman" w:hAnsi="Times New Roman" w:cs="Times New Roman"/>
          <w:b/>
          <w:bCs/>
          <w:sz w:val="20"/>
          <w:szCs w:val="20"/>
        </w:rPr>
        <w:t>V</w:t>
      </w:r>
      <w:r w:rsidRPr="00507F2E">
        <w:rPr>
          <w:rFonts w:ascii="Times New Roman" w:hAnsi="Times New Roman" w:cs="Times New Roman"/>
          <w:b/>
          <w:bCs/>
          <w:sz w:val="20"/>
          <w:szCs w:val="20"/>
        </w:rPr>
        <w:t xml:space="preserve">aluation </w:t>
      </w:r>
      <w:r w:rsidR="00507F2E">
        <w:rPr>
          <w:rFonts w:ascii="Times New Roman" w:hAnsi="Times New Roman" w:cs="Times New Roman"/>
          <w:b/>
          <w:bCs/>
          <w:sz w:val="20"/>
          <w:szCs w:val="20"/>
        </w:rPr>
        <w:t>U</w:t>
      </w:r>
      <w:r w:rsidRPr="00507F2E">
        <w:rPr>
          <w:rFonts w:ascii="Times New Roman" w:hAnsi="Times New Roman" w:cs="Times New Roman"/>
          <w:b/>
          <w:bCs/>
          <w:sz w:val="20"/>
          <w:szCs w:val="20"/>
        </w:rPr>
        <w:t xml:space="preserve">ncertainty </w:t>
      </w:r>
      <w:r w:rsidR="00507F2E">
        <w:rPr>
          <w:rFonts w:ascii="Times New Roman" w:hAnsi="Times New Roman" w:cs="Times New Roman"/>
          <w:b/>
          <w:bCs/>
          <w:sz w:val="20"/>
          <w:szCs w:val="20"/>
        </w:rPr>
        <w:t>E</w:t>
      </w:r>
      <w:r w:rsidRPr="00507F2E">
        <w:rPr>
          <w:rFonts w:ascii="Times New Roman" w:hAnsi="Times New Roman" w:cs="Times New Roman"/>
          <w:b/>
          <w:bCs/>
          <w:sz w:val="20"/>
          <w:szCs w:val="20"/>
        </w:rPr>
        <w:t xml:space="preserve">stimation for </w:t>
      </w:r>
      <w:r w:rsidR="00507F2E">
        <w:rPr>
          <w:rFonts w:ascii="Times New Roman" w:hAnsi="Times New Roman" w:cs="Times New Roman"/>
          <w:b/>
          <w:bCs/>
          <w:sz w:val="20"/>
          <w:szCs w:val="20"/>
        </w:rPr>
        <w:t>T</w:t>
      </w:r>
      <w:r w:rsidRPr="00507F2E">
        <w:rPr>
          <w:rFonts w:ascii="Times New Roman" w:hAnsi="Times New Roman" w:cs="Times New Roman"/>
          <w:b/>
          <w:bCs/>
          <w:sz w:val="20"/>
          <w:szCs w:val="20"/>
        </w:rPr>
        <w:t xml:space="preserve">hree </w:t>
      </w:r>
      <w:r w:rsidR="00507F2E">
        <w:rPr>
          <w:rFonts w:ascii="Times New Roman" w:hAnsi="Times New Roman" w:cs="Times New Roman"/>
          <w:b/>
          <w:bCs/>
          <w:sz w:val="20"/>
          <w:szCs w:val="20"/>
        </w:rPr>
        <w:t>S</w:t>
      </w:r>
      <w:r w:rsidRPr="00507F2E">
        <w:rPr>
          <w:rFonts w:ascii="Times New Roman" w:hAnsi="Times New Roman" w:cs="Times New Roman"/>
          <w:b/>
          <w:bCs/>
          <w:sz w:val="20"/>
          <w:szCs w:val="20"/>
        </w:rPr>
        <w:t xml:space="preserve">ample </w:t>
      </w:r>
      <w:r w:rsidR="00507F2E">
        <w:rPr>
          <w:rFonts w:ascii="Times New Roman" w:hAnsi="Times New Roman" w:cs="Times New Roman"/>
          <w:b/>
          <w:bCs/>
          <w:sz w:val="20"/>
          <w:szCs w:val="20"/>
        </w:rPr>
        <w:t>F</w:t>
      </w:r>
      <w:r w:rsidRPr="00507F2E">
        <w:rPr>
          <w:rFonts w:ascii="Times New Roman" w:hAnsi="Times New Roman" w:cs="Times New Roman"/>
          <w:b/>
          <w:bCs/>
          <w:sz w:val="20"/>
          <w:szCs w:val="20"/>
        </w:rPr>
        <w:t>irms</w:t>
      </w:r>
    </w:p>
    <w:p w14:paraId="0153D1FC" w14:textId="5DB4BF2F" w:rsidR="00E25C9B" w:rsidRDefault="00E25C9B" w:rsidP="00E75484">
      <w:pPr>
        <w:spacing w:before="160" w:after="0"/>
        <w:jc w:val="both"/>
        <w:rPr>
          <w:rFonts w:ascii="Times New Roman" w:hAnsi="Times New Roman" w:cs="Times New Roman"/>
          <w:sz w:val="20"/>
          <w:szCs w:val="20"/>
        </w:rPr>
      </w:pPr>
      <w:r>
        <w:rPr>
          <w:rFonts w:ascii="Times New Roman" w:hAnsi="Times New Roman" w:cs="Times New Roman"/>
          <w:sz w:val="20"/>
          <w:szCs w:val="20"/>
        </w:rPr>
        <w:t xml:space="preserve">This figure plots the predicted quantiles </w:t>
      </w:r>
      <w:r w:rsidRPr="00007E56">
        <w:rPr>
          <w:rFonts w:ascii="Times New Roman" w:hAnsi="Times New Roman" w:cs="Times New Roman"/>
          <w:i/>
          <w:sz w:val="20"/>
          <w:szCs w:val="20"/>
        </w:rPr>
        <w:t>q</w:t>
      </w:r>
      <w:r w:rsidR="00FD6E79" w:rsidRPr="00FD6E79">
        <w:rPr>
          <w:rFonts w:ascii="Times New Roman" w:hAnsi="Times New Roman" w:cs="Times New Roman"/>
          <w:i/>
          <w:sz w:val="20"/>
          <w:szCs w:val="20"/>
          <w:vertAlign w:val="subscript"/>
        </w:rPr>
        <w:t>100</w:t>
      </w:r>
      <w:r w:rsidRPr="00007E56">
        <w:rPr>
          <w:rFonts w:ascii="Times New Roman" w:hAnsi="Times New Roman" w:cs="Times New Roman"/>
          <w:i/>
          <w:sz w:val="20"/>
          <w:szCs w:val="20"/>
          <w:vertAlign w:val="subscript"/>
        </w:rPr>
        <w:t>x</w:t>
      </w:r>
      <w:r>
        <w:rPr>
          <w:rFonts w:ascii="Times New Roman" w:hAnsi="Times New Roman" w:cs="Times New Roman"/>
          <w:sz w:val="20"/>
          <w:szCs w:val="20"/>
        </w:rPr>
        <w:t xml:space="preserve"> of log</w:t>
      </w:r>
      <w:r w:rsidR="007419FF">
        <w:rPr>
          <w:rFonts w:ascii="Times New Roman" w:hAnsi="Times New Roman" w:cs="Times New Roman"/>
          <w:sz w:val="20"/>
          <w:szCs w:val="20"/>
        </w:rPr>
        <w:t xml:space="preserve"> (modified)</w:t>
      </w:r>
      <w:r>
        <w:rPr>
          <w:rFonts w:ascii="Times New Roman" w:hAnsi="Times New Roman" w:cs="Times New Roman"/>
          <w:sz w:val="20"/>
          <w:szCs w:val="20"/>
        </w:rPr>
        <w:t xml:space="preserve"> market equity </w:t>
      </w:r>
      <w:r w:rsidRPr="00C2079A">
        <w:rPr>
          <w:rFonts w:ascii="Times New Roman" w:hAnsi="Times New Roman" w:cs="Times New Roman"/>
          <w:sz w:val="20"/>
          <w:szCs w:val="20"/>
        </w:rPr>
        <w:t>(</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5</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12.5</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25</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37.5</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50</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62.5</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75</w:t>
      </w:r>
      <w:r>
        <w:rPr>
          <w:rFonts w:ascii="Times New Roman" w:hAnsi="Times New Roman" w:cs="Times New Roman"/>
          <w:sz w:val="20"/>
          <w:szCs w:val="20"/>
        </w:rPr>
        <w:t xml:space="preserve">,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87.5</w:t>
      </w:r>
      <w:r>
        <w:rPr>
          <w:rFonts w:ascii="Times New Roman" w:hAnsi="Times New Roman" w:cs="Times New Roman"/>
          <w:sz w:val="20"/>
          <w:szCs w:val="20"/>
        </w:rPr>
        <w:t xml:space="preserve">, and </w:t>
      </w:r>
      <w:r w:rsidRPr="00C2079A">
        <w:rPr>
          <w:rFonts w:ascii="Times New Roman" w:hAnsi="Times New Roman" w:cs="Times New Roman"/>
          <w:i/>
          <w:sz w:val="20"/>
          <w:szCs w:val="20"/>
        </w:rPr>
        <w:t>q</w:t>
      </w:r>
      <w:r w:rsidRPr="00C2079A">
        <w:rPr>
          <w:rFonts w:ascii="Times New Roman" w:hAnsi="Times New Roman" w:cs="Times New Roman"/>
          <w:i/>
          <w:sz w:val="20"/>
          <w:szCs w:val="20"/>
          <w:vertAlign w:val="subscript"/>
        </w:rPr>
        <w:t>95</w:t>
      </w:r>
      <w:r>
        <w:rPr>
          <w:rFonts w:ascii="Times New Roman" w:hAnsi="Times New Roman" w:cs="Times New Roman"/>
          <w:sz w:val="20"/>
          <w:szCs w:val="20"/>
        </w:rPr>
        <w:t>) for three representative firms as of the most recent sample year (June 30, 20</w:t>
      </w:r>
      <w:r w:rsidR="00EF3A49">
        <w:rPr>
          <w:rFonts w:ascii="Times New Roman" w:hAnsi="Times New Roman" w:cs="Times New Roman"/>
          <w:sz w:val="20"/>
          <w:szCs w:val="20"/>
        </w:rPr>
        <w:t>22</w:t>
      </w:r>
      <w:r>
        <w:rPr>
          <w:rFonts w:ascii="Times New Roman" w:hAnsi="Times New Roman" w:cs="Times New Roman"/>
          <w:sz w:val="20"/>
          <w:szCs w:val="20"/>
        </w:rPr>
        <w:t>). The horizontal axis is the estimated log</w:t>
      </w:r>
      <w:r w:rsidR="007419FF">
        <w:rPr>
          <w:rFonts w:ascii="Times New Roman" w:hAnsi="Times New Roman" w:cs="Times New Roman"/>
          <w:sz w:val="20"/>
          <w:szCs w:val="20"/>
        </w:rPr>
        <w:t xml:space="preserve"> (modified)</w:t>
      </w:r>
      <w:r>
        <w:rPr>
          <w:rFonts w:ascii="Times New Roman" w:hAnsi="Times New Roman" w:cs="Times New Roman"/>
          <w:sz w:val="20"/>
          <w:szCs w:val="20"/>
        </w:rPr>
        <w:t xml:space="preserve"> market value of equity. The vertical axis is the quantile of the distribution: </w:t>
      </w:r>
      <w:r w:rsidRPr="00007E56">
        <w:rPr>
          <w:rFonts w:ascii="Times New Roman" w:hAnsi="Times New Roman" w:cs="Times New Roman"/>
          <w:i/>
          <w:sz w:val="20"/>
          <w:szCs w:val="20"/>
        </w:rPr>
        <w:t>x</w:t>
      </w:r>
      <w:r>
        <w:rPr>
          <w:rFonts w:ascii="Times New Roman" w:hAnsi="Times New Roman" w:cs="Times New Roman"/>
          <w:sz w:val="20"/>
          <w:szCs w:val="20"/>
        </w:rPr>
        <w:t xml:space="preserve"> up to</w:t>
      </w:r>
      <w:r w:rsidR="00FD6E79">
        <w:rPr>
          <w:rFonts w:ascii="Times New Roman" w:hAnsi="Times New Roman" w:cs="Times New Roman"/>
          <w:sz w:val="20"/>
          <w:szCs w:val="20"/>
        </w:rPr>
        <w:t xml:space="preserve"> the</w:t>
      </w:r>
      <w:r>
        <w:rPr>
          <w:rFonts w:ascii="Times New Roman" w:hAnsi="Times New Roman" w:cs="Times New Roman"/>
          <w:sz w:val="20"/>
          <w:szCs w:val="20"/>
        </w:rPr>
        <w:t xml:space="preserve"> 50</w:t>
      </w:r>
      <w:r w:rsidRPr="00D852AA">
        <w:rPr>
          <w:rFonts w:ascii="Times New Roman" w:hAnsi="Times New Roman" w:cs="Times New Roman"/>
          <w:sz w:val="20"/>
          <w:szCs w:val="20"/>
          <w:vertAlign w:val="superscript"/>
        </w:rPr>
        <w:t>th</w:t>
      </w:r>
      <w:r>
        <w:rPr>
          <w:rFonts w:ascii="Times New Roman" w:hAnsi="Times New Roman" w:cs="Times New Roman"/>
          <w:sz w:val="20"/>
          <w:szCs w:val="20"/>
        </w:rPr>
        <w:t xml:space="preserve"> percentile, and (</w:t>
      </w:r>
      <w:r w:rsidR="000D6CFE">
        <w:rPr>
          <w:rFonts w:ascii="Times New Roman" w:hAnsi="Times New Roman" w:cs="Times New Roman"/>
          <w:sz w:val="20"/>
          <w:szCs w:val="20"/>
        </w:rPr>
        <w:t>1</w:t>
      </w:r>
      <w:r>
        <w:rPr>
          <w:rFonts w:ascii="Times New Roman" w:hAnsi="Times New Roman" w:cs="Times New Roman"/>
          <w:sz w:val="20"/>
          <w:szCs w:val="20"/>
        </w:rPr>
        <w:t xml:space="preserve"> – </w:t>
      </w:r>
      <w:r>
        <w:rPr>
          <w:rFonts w:ascii="Times New Roman" w:hAnsi="Times New Roman" w:cs="Times New Roman"/>
          <w:i/>
          <w:sz w:val="20"/>
          <w:szCs w:val="20"/>
        </w:rPr>
        <w:t>x</w:t>
      </w:r>
      <w:r w:rsidRPr="00D852AA">
        <w:rPr>
          <w:rFonts w:ascii="Times New Roman" w:hAnsi="Times New Roman" w:cs="Times New Roman"/>
          <w:sz w:val="20"/>
          <w:szCs w:val="20"/>
        </w:rPr>
        <w:t>)</w:t>
      </w:r>
      <w:r>
        <w:rPr>
          <w:rFonts w:ascii="Times New Roman" w:hAnsi="Times New Roman" w:cs="Times New Roman"/>
          <w:sz w:val="20"/>
          <w:szCs w:val="20"/>
        </w:rPr>
        <w:t xml:space="preserve"> above the 50</w:t>
      </w:r>
      <w:r w:rsidRPr="00D852AA">
        <w:rPr>
          <w:rFonts w:ascii="Times New Roman" w:hAnsi="Times New Roman" w:cs="Times New Roman"/>
          <w:sz w:val="20"/>
          <w:szCs w:val="20"/>
          <w:vertAlign w:val="superscript"/>
        </w:rPr>
        <w:t>th</w:t>
      </w:r>
      <w:r>
        <w:rPr>
          <w:rFonts w:ascii="Times New Roman" w:hAnsi="Times New Roman" w:cs="Times New Roman"/>
          <w:sz w:val="20"/>
          <w:szCs w:val="20"/>
        </w:rPr>
        <w:t xml:space="preserve"> percentile. The red line depicts the estimates for </w:t>
      </w:r>
      <w:r w:rsidR="007C2234">
        <w:rPr>
          <w:rFonts w:ascii="Times New Roman" w:hAnsi="Times New Roman" w:cs="Times New Roman"/>
          <w:sz w:val="20"/>
          <w:szCs w:val="20"/>
        </w:rPr>
        <w:t>The York Water Company</w:t>
      </w:r>
      <w:r>
        <w:rPr>
          <w:rFonts w:ascii="Times New Roman" w:hAnsi="Times New Roman" w:cs="Times New Roman"/>
          <w:sz w:val="20"/>
          <w:szCs w:val="20"/>
        </w:rPr>
        <w:t xml:space="preserve"> (FF12 industry - utilities). The blue line depicts the estimates for </w:t>
      </w:r>
      <w:r w:rsidR="007C2234">
        <w:rPr>
          <w:rFonts w:ascii="Times New Roman" w:hAnsi="Times New Roman" w:cs="Times New Roman"/>
          <w:sz w:val="20"/>
          <w:szCs w:val="20"/>
        </w:rPr>
        <w:t>The Timken Company</w:t>
      </w:r>
      <w:r>
        <w:rPr>
          <w:rFonts w:ascii="Times New Roman" w:hAnsi="Times New Roman" w:cs="Times New Roman"/>
          <w:sz w:val="20"/>
          <w:szCs w:val="20"/>
        </w:rPr>
        <w:t xml:space="preserve"> (FF12 industry – manufacturing). The green line depicts the estimates for NVidia Corporation (FF12 industry – business equipment).</w:t>
      </w:r>
    </w:p>
    <w:p w14:paraId="520CCFAD" w14:textId="1F4BF7D0" w:rsidR="00E25C9B" w:rsidRDefault="007C2234">
      <w:pPr>
        <w:rPr>
          <w:rFonts w:ascii="Times New Roman" w:hAnsi="Times New Roman" w:cs="Times New Roman"/>
          <w:b/>
          <w:sz w:val="20"/>
          <w:szCs w:val="20"/>
        </w:rPr>
      </w:pPr>
      <w:r>
        <w:rPr>
          <w:noProof/>
        </w:rPr>
        <w:drawing>
          <wp:inline distT="0" distB="0" distL="0" distR="0" wp14:anchorId="000BD7E2" wp14:editId="61853AEA">
            <wp:extent cx="6021238" cy="3367561"/>
            <wp:effectExtent l="0" t="0" r="0" b="4445"/>
            <wp:docPr id="166111362" name="Chart 1">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087FB5F" w14:textId="77777777" w:rsidR="00B1441B" w:rsidRDefault="00B1441B" w:rsidP="00A02CAA">
      <w:pPr>
        <w:spacing w:after="0"/>
        <w:rPr>
          <w:rFonts w:ascii="Times New Roman" w:hAnsi="Times New Roman" w:cs="Times New Roman"/>
          <w:b/>
          <w:sz w:val="20"/>
          <w:szCs w:val="20"/>
        </w:rPr>
      </w:pPr>
    </w:p>
    <w:p w14:paraId="0BC353AA" w14:textId="77777777" w:rsidR="00B1441B" w:rsidRDefault="00B1441B" w:rsidP="00A02CAA">
      <w:pPr>
        <w:spacing w:after="0"/>
        <w:rPr>
          <w:rFonts w:ascii="Times New Roman" w:hAnsi="Times New Roman" w:cs="Times New Roman"/>
          <w:b/>
          <w:sz w:val="20"/>
          <w:szCs w:val="20"/>
        </w:rPr>
      </w:pPr>
    </w:p>
    <w:p w14:paraId="5F6D66AA" w14:textId="77777777" w:rsidR="00B1441B" w:rsidRDefault="00B1441B" w:rsidP="00A02CAA">
      <w:pPr>
        <w:spacing w:after="0"/>
        <w:rPr>
          <w:rFonts w:ascii="Times New Roman" w:hAnsi="Times New Roman" w:cs="Times New Roman"/>
          <w:b/>
          <w:sz w:val="20"/>
          <w:szCs w:val="20"/>
        </w:rPr>
      </w:pPr>
    </w:p>
    <w:p w14:paraId="030873A9" w14:textId="77777777" w:rsidR="00B1441B" w:rsidRDefault="00B1441B">
      <w:pPr>
        <w:rPr>
          <w:rFonts w:ascii="Times New Roman" w:hAnsi="Times New Roman" w:cs="Times New Roman"/>
          <w:b/>
          <w:sz w:val="20"/>
          <w:szCs w:val="20"/>
        </w:rPr>
      </w:pPr>
      <w:r>
        <w:rPr>
          <w:rFonts w:ascii="Times New Roman" w:hAnsi="Times New Roman" w:cs="Times New Roman"/>
          <w:b/>
          <w:sz w:val="20"/>
          <w:szCs w:val="20"/>
        </w:rPr>
        <w:br w:type="page"/>
      </w:r>
    </w:p>
    <w:p w14:paraId="6F5E8287" w14:textId="531F8B4A" w:rsidR="006A0B5D" w:rsidRPr="00507F2E" w:rsidRDefault="00507F2E" w:rsidP="00507F2E">
      <w:pPr>
        <w:spacing w:after="0"/>
        <w:jc w:val="center"/>
        <w:rPr>
          <w:rFonts w:ascii="Times New Roman" w:hAnsi="Times New Roman" w:cs="Times New Roman"/>
          <w:b/>
          <w:sz w:val="20"/>
          <w:szCs w:val="20"/>
          <w:lang w:val="en-US"/>
        </w:rPr>
      </w:pPr>
      <w:r w:rsidRPr="00507F2E">
        <w:rPr>
          <w:rFonts w:ascii="Times New Roman" w:hAnsi="Times New Roman" w:cs="Times New Roman"/>
          <w:b/>
          <w:sz w:val="20"/>
          <w:szCs w:val="20"/>
        </w:rPr>
        <w:lastRenderedPageBreak/>
        <w:t>FIGURE</w:t>
      </w:r>
      <w:r w:rsidR="006A0B5D" w:rsidRPr="00507F2E">
        <w:rPr>
          <w:rFonts w:ascii="Times New Roman" w:hAnsi="Times New Roman" w:cs="Times New Roman"/>
          <w:b/>
          <w:sz w:val="20"/>
          <w:szCs w:val="20"/>
        </w:rPr>
        <w:t xml:space="preserve"> </w:t>
      </w:r>
      <w:r w:rsidR="00750EA2">
        <w:rPr>
          <w:rFonts w:ascii="Times New Roman" w:hAnsi="Times New Roman" w:cs="Times New Roman"/>
          <w:b/>
          <w:sz w:val="20"/>
          <w:szCs w:val="20"/>
        </w:rPr>
        <w:t>2</w:t>
      </w:r>
    </w:p>
    <w:p w14:paraId="17C26464" w14:textId="6E09F926" w:rsidR="004E0A1C" w:rsidRPr="00507F2E" w:rsidRDefault="006A0B5D" w:rsidP="00507F2E">
      <w:pPr>
        <w:jc w:val="center"/>
        <w:rPr>
          <w:rFonts w:ascii="Times New Roman" w:hAnsi="Times New Roman" w:cs="Times New Roman"/>
          <w:b/>
          <w:sz w:val="20"/>
          <w:szCs w:val="20"/>
        </w:rPr>
      </w:pPr>
      <w:r w:rsidRPr="00507F2E">
        <w:rPr>
          <w:rFonts w:ascii="Times New Roman" w:hAnsi="Times New Roman" w:cs="Times New Roman"/>
          <w:b/>
          <w:sz w:val="20"/>
          <w:szCs w:val="20"/>
        </w:rPr>
        <w:t xml:space="preserve">Cumulative </w:t>
      </w:r>
      <w:r w:rsidR="00507F2E">
        <w:rPr>
          <w:rFonts w:ascii="Times New Roman" w:hAnsi="Times New Roman" w:cs="Times New Roman"/>
          <w:b/>
          <w:sz w:val="20"/>
          <w:szCs w:val="20"/>
        </w:rPr>
        <w:t>P</w:t>
      </w:r>
      <w:r w:rsidRPr="00507F2E">
        <w:rPr>
          <w:rFonts w:ascii="Times New Roman" w:hAnsi="Times New Roman" w:cs="Times New Roman"/>
          <w:b/>
          <w:sz w:val="20"/>
          <w:szCs w:val="20"/>
        </w:rPr>
        <w:t xml:space="preserve">erformance of </w:t>
      </w:r>
      <w:r w:rsidR="00507F2E">
        <w:rPr>
          <w:rFonts w:ascii="Times New Roman" w:hAnsi="Times New Roman" w:cs="Times New Roman"/>
          <w:b/>
          <w:sz w:val="20"/>
          <w:szCs w:val="20"/>
        </w:rPr>
        <w:t>P</w:t>
      </w:r>
      <w:r w:rsidRPr="00507F2E">
        <w:rPr>
          <w:rFonts w:ascii="Times New Roman" w:hAnsi="Times New Roman" w:cs="Times New Roman"/>
          <w:b/>
          <w:sz w:val="20"/>
          <w:szCs w:val="20"/>
        </w:rPr>
        <w:t>rice-to-</w:t>
      </w:r>
      <w:r w:rsidR="00507F2E">
        <w:rPr>
          <w:rFonts w:ascii="Times New Roman" w:hAnsi="Times New Roman" w:cs="Times New Roman"/>
          <w:b/>
          <w:sz w:val="20"/>
          <w:szCs w:val="20"/>
        </w:rPr>
        <w:t>V</w:t>
      </w:r>
      <w:r w:rsidRPr="00507F2E">
        <w:rPr>
          <w:rFonts w:ascii="Times New Roman" w:hAnsi="Times New Roman" w:cs="Times New Roman"/>
          <w:b/>
          <w:sz w:val="20"/>
          <w:szCs w:val="20"/>
        </w:rPr>
        <w:t xml:space="preserve">alue </w:t>
      </w:r>
      <w:r w:rsidR="00507F2E">
        <w:rPr>
          <w:rFonts w:ascii="Times New Roman" w:hAnsi="Times New Roman" w:cs="Times New Roman"/>
          <w:b/>
          <w:sz w:val="20"/>
          <w:szCs w:val="20"/>
        </w:rPr>
        <w:t>S</w:t>
      </w:r>
      <w:r w:rsidRPr="00507F2E">
        <w:rPr>
          <w:rFonts w:ascii="Times New Roman" w:hAnsi="Times New Roman" w:cs="Times New Roman"/>
          <w:b/>
          <w:sz w:val="20"/>
          <w:szCs w:val="20"/>
        </w:rPr>
        <w:t xml:space="preserve">trategies </w:t>
      </w:r>
      <w:r w:rsidR="00507F2E">
        <w:rPr>
          <w:rFonts w:ascii="Times New Roman" w:hAnsi="Times New Roman" w:cs="Times New Roman"/>
          <w:b/>
          <w:sz w:val="20"/>
          <w:szCs w:val="20"/>
        </w:rPr>
        <w:t>C</w:t>
      </w:r>
      <w:r w:rsidRPr="00507F2E">
        <w:rPr>
          <w:rFonts w:ascii="Times New Roman" w:hAnsi="Times New Roman" w:cs="Times New Roman"/>
          <w:b/>
          <w:sz w:val="20"/>
          <w:szCs w:val="20"/>
        </w:rPr>
        <w:t xml:space="preserve">onditional on </w:t>
      </w:r>
      <w:r w:rsidR="00507F2E">
        <w:rPr>
          <w:rFonts w:ascii="Times New Roman" w:hAnsi="Times New Roman" w:cs="Times New Roman"/>
          <w:b/>
          <w:sz w:val="20"/>
          <w:szCs w:val="20"/>
        </w:rPr>
        <w:t>V</w:t>
      </w:r>
      <w:r w:rsidRPr="00507F2E">
        <w:rPr>
          <w:rFonts w:ascii="Times New Roman" w:hAnsi="Times New Roman" w:cs="Times New Roman"/>
          <w:b/>
          <w:sz w:val="20"/>
          <w:szCs w:val="20"/>
        </w:rPr>
        <w:t xml:space="preserve">aluation </w:t>
      </w:r>
      <w:r w:rsidR="00507F2E">
        <w:rPr>
          <w:rFonts w:ascii="Times New Roman" w:hAnsi="Times New Roman" w:cs="Times New Roman"/>
          <w:b/>
          <w:sz w:val="20"/>
          <w:szCs w:val="20"/>
        </w:rPr>
        <w:t>U</w:t>
      </w:r>
      <w:r w:rsidRPr="00507F2E">
        <w:rPr>
          <w:rFonts w:ascii="Times New Roman" w:hAnsi="Times New Roman" w:cs="Times New Roman"/>
          <w:b/>
          <w:sz w:val="20"/>
          <w:szCs w:val="20"/>
        </w:rPr>
        <w:t>ncertainty</w:t>
      </w:r>
    </w:p>
    <w:p w14:paraId="179200CF" w14:textId="1DB658B6" w:rsidR="00947902" w:rsidRDefault="00947902" w:rsidP="004A57C5">
      <w:pPr>
        <w:jc w:val="both"/>
        <w:rPr>
          <w:rFonts w:ascii="Times New Roman" w:hAnsi="Times New Roman" w:cs="Times New Roman"/>
          <w:sz w:val="20"/>
          <w:szCs w:val="20"/>
        </w:rPr>
      </w:pPr>
      <w:r>
        <w:rPr>
          <w:rFonts w:ascii="Times New Roman" w:hAnsi="Times New Roman" w:cs="Times New Roman"/>
          <w:sz w:val="20"/>
          <w:szCs w:val="20"/>
        </w:rPr>
        <w:t xml:space="preserve">This figure depicts the cumulative </w:t>
      </w:r>
      <w:r w:rsidR="00B06309">
        <w:rPr>
          <w:rFonts w:ascii="Times New Roman" w:hAnsi="Times New Roman" w:cs="Times New Roman"/>
          <w:sz w:val="20"/>
          <w:szCs w:val="20"/>
        </w:rPr>
        <w:t xml:space="preserve">return </w:t>
      </w:r>
      <w:r>
        <w:rPr>
          <w:rFonts w:ascii="Times New Roman" w:hAnsi="Times New Roman" w:cs="Times New Roman"/>
          <w:sz w:val="20"/>
          <w:szCs w:val="20"/>
        </w:rPr>
        <w:t>of long-short</w:t>
      </w:r>
      <w:r w:rsidR="00E86CE2">
        <w:rPr>
          <w:rFonts w:ascii="Times New Roman" w:hAnsi="Times New Roman" w:cs="Times New Roman"/>
          <w:sz w:val="20"/>
          <w:szCs w:val="20"/>
        </w:rPr>
        <w:t xml:space="preserve"> trading</w:t>
      </w:r>
      <w:r>
        <w:rPr>
          <w:rFonts w:ascii="Times New Roman" w:hAnsi="Times New Roman" w:cs="Times New Roman"/>
          <w:sz w:val="20"/>
          <w:szCs w:val="20"/>
        </w:rPr>
        <w:t xml:space="preserve"> strategies</w:t>
      </w:r>
      <w:r w:rsidR="00E86CE2">
        <w:rPr>
          <w:rFonts w:ascii="Times New Roman" w:hAnsi="Times New Roman" w:cs="Times New Roman"/>
          <w:sz w:val="20"/>
          <w:szCs w:val="20"/>
        </w:rPr>
        <w:t xml:space="preserve"> formed on the basis of price-to-value,</w:t>
      </w:r>
      <w:r>
        <w:rPr>
          <w:rFonts w:ascii="Times New Roman" w:hAnsi="Times New Roman" w:cs="Times New Roman"/>
          <w:sz w:val="20"/>
          <w:szCs w:val="20"/>
        </w:rPr>
        <w:t xml:space="preserve"> conditional on valuation uncertainty</w:t>
      </w:r>
      <w:r w:rsidR="00966510">
        <w:rPr>
          <w:rFonts w:ascii="Times New Roman" w:hAnsi="Times New Roman" w:cs="Times New Roman"/>
          <w:sz w:val="20"/>
          <w:szCs w:val="20"/>
        </w:rPr>
        <w:t xml:space="preserve"> (VU)</w:t>
      </w:r>
      <w:r>
        <w:rPr>
          <w:rFonts w:ascii="Times New Roman" w:hAnsi="Times New Roman" w:cs="Times New Roman"/>
          <w:sz w:val="20"/>
          <w:szCs w:val="20"/>
        </w:rPr>
        <w:t>.</w:t>
      </w:r>
      <w:r w:rsidR="00ED47B6">
        <w:rPr>
          <w:rFonts w:ascii="Times New Roman" w:hAnsi="Times New Roman" w:cs="Times New Roman"/>
          <w:sz w:val="20"/>
          <w:szCs w:val="20"/>
        </w:rPr>
        <w:t xml:space="preserve"> One unit on the y-scale c</w:t>
      </w:r>
      <w:r w:rsidR="00B06309">
        <w:rPr>
          <w:rFonts w:ascii="Times New Roman" w:hAnsi="Times New Roman" w:cs="Times New Roman"/>
          <w:sz w:val="20"/>
          <w:szCs w:val="20"/>
        </w:rPr>
        <w:t>orresponds to one hundred</w:t>
      </w:r>
      <w:r w:rsidR="00ED47B6">
        <w:rPr>
          <w:rFonts w:ascii="Times New Roman" w:hAnsi="Times New Roman" w:cs="Times New Roman"/>
          <w:sz w:val="20"/>
          <w:szCs w:val="20"/>
        </w:rPr>
        <w:t xml:space="preserve"> </w:t>
      </w:r>
      <w:r w:rsidR="00B06309">
        <w:rPr>
          <w:rFonts w:ascii="Times New Roman" w:hAnsi="Times New Roman" w:cs="Times New Roman"/>
          <w:sz w:val="20"/>
          <w:szCs w:val="20"/>
        </w:rPr>
        <w:t>percent</w:t>
      </w:r>
      <w:r w:rsidR="00ED47B6">
        <w:rPr>
          <w:rFonts w:ascii="Times New Roman" w:hAnsi="Times New Roman" w:cs="Times New Roman"/>
          <w:sz w:val="20"/>
          <w:szCs w:val="20"/>
        </w:rPr>
        <w:t>.</w:t>
      </w:r>
      <w:r w:rsidR="007252E3">
        <w:rPr>
          <w:rFonts w:ascii="Times New Roman" w:hAnsi="Times New Roman" w:cs="Times New Roman"/>
          <w:sz w:val="20"/>
          <w:szCs w:val="20"/>
        </w:rPr>
        <w:t xml:space="preserve"> </w:t>
      </w:r>
      <w:r w:rsidR="00E86CE2">
        <w:rPr>
          <w:rFonts w:ascii="Times New Roman" w:hAnsi="Times New Roman" w:cs="Times New Roman"/>
          <w:sz w:val="20"/>
          <w:szCs w:val="20"/>
        </w:rPr>
        <w:t xml:space="preserve">The </w:t>
      </w:r>
      <w:r w:rsidR="00CA03BB">
        <w:rPr>
          <w:rFonts w:ascii="Times New Roman" w:hAnsi="Times New Roman" w:cs="Times New Roman"/>
          <w:sz w:val="20"/>
          <w:szCs w:val="20"/>
        </w:rPr>
        <w:t>strategies are</w:t>
      </w:r>
      <w:r w:rsidR="00E86CE2">
        <w:rPr>
          <w:rFonts w:ascii="Times New Roman" w:hAnsi="Times New Roman" w:cs="Times New Roman"/>
          <w:sz w:val="20"/>
          <w:szCs w:val="20"/>
        </w:rPr>
        <w:t xml:space="preserve"> long all stocks in the bottom quartile of price-to-value and short all stocks in the top quartile of price-to-value, within each valuation uncertainty quartile. </w:t>
      </w:r>
      <w:r w:rsidR="00335E47">
        <w:rPr>
          <w:rFonts w:ascii="Times New Roman" w:hAnsi="Times New Roman" w:cs="Times New Roman"/>
          <w:sz w:val="20"/>
          <w:szCs w:val="20"/>
        </w:rPr>
        <w:t xml:space="preserve">Portfolio sorts are </w:t>
      </w:r>
      <w:r w:rsidR="00A52D2B">
        <w:rPr>
          <w:rFonts w:ascii="Times New Roman" w:hAnsi="Times New Roman" w:cs="Times New Roman"/>
          <w:sz w:val="20"/>
          <w:szCs w:val="20"/>
        </w:rPr>
        <w:t>per</w:t>
      </w:r>
      <w:r w:rsidR="00E463A3">
        <w:rPr>
          <w:rFonts w:ascii="Times New Roman" w:hAnsi="Times New Roman" w:cs="Times New Roman"/>
          <w:sz w:val="20"/>
          <w:szCs w:val="20"/>
        </w:rPr>
        <w:t xml:space="preserve">formed </w:t>
      </w:r>
      <w:r w:rsidR="005A0D21">
        <w:rPr>
          <w:rFonts w:ascii="Times New Roman" w:hAnsi="Times New Roman" w:cs="Times New Roman"/>
          <w:sz w:val="20"/>
          <w:szCs w:val="20"/>
          <w:lang w:val="en-US"/>
        </w:rPr>
        <w:t>sequentially</w:t>
      </w:r>
      <w:r w:rsidR="00E463A3">
        <w:rPr>
          <w:rFonts w:ascii="Times New Roman" w:hAnsi="Times New Roman" w:cs="Times New Roman"/>
          <w:sz w:val="20"/>
          <w:szCs w:val="20"/>
        </w:rPr>
        <w:t xml:space="preserve"> –</w:t>
      </w:r>
      <w:r w:rsidR="00335E47">
        <w:rPr>
          <w:rFonts w:ascii="Times New Roman" w:hAnsi="Times New Roman" w:cs="Times New Roman"/>
          <w:sz w:val="20"/>
          <w:szCs w:val="20"/>
        </w:rPr>
        <w:t xml:space="preserve"> </w:t>
      </w:r>
      <w:r w:rsidR="005A0D21">
        <w:rPr>
          <w:rFonts w:ascii="Times New Roman" w:hAnsi="Times New Roman" w:cs="Times New Roman"/>
          <w:sz w:val="20"/>
          <w:szCs w:val="20"/>
        </w:rPr>
        <w:t xml:space="preserve">first </w:t>
      </w:r>
      <w:r w:rsidR="00311747">
        <w:rPr>
          <w:rFonts w:ascii="Times New Roman" w:hAnsi="Times New Roman" w:cs="Times New Roman"/>
          <w:sz w:val="20"/>
          <w:szCs w:val="20"/>
        </w:rPr>
        <w:t xml:space="preserve">on </w:t>
      </w:r>
      <w:r w:rsidR="00335E47">
        <w:rPr>
          <w:rFonts w:ascii="Times New Roman" w:hAnsi="Times New Roman" w:cs="Times New Roman"/>
          <w:sz w:val="20"/>
          <w:szCs w:val="20"/>
        </w:rPr>
        <w:t xml:space="preserve">valuation uncertainty </w:t>
      </w:r>
      <w:r w:rsidR="00E463A3">
        <w:rPr>
          <w:rFonts w:ascii="Times New Roman" w:hAnsi="Times New Roman" w:cs="Times New Roman"/>
          <w:sz w:val="20"/>
          <w:szCs w:val="20"/>
        </w:rPr>
        <w:t xml:space="preserve">and then </w:t>
      </w:r>
      <w:r w:rsidR="00311747">
        <w:rPr>
          <w:rFonts w:ascii="Times New Roman" w:hAnsi="Times New Roman" w:cs="Times New Roman"/>
          <w:sz w:val="20"/>
          <w:szCs w:val="20"/>
        </w:rPr>
        <w:t>on price-to-value</w:t>
      </w:r>
      <w:r w:rsidR="00BE44FC">
        <w:rPr>
          <w:rFonts w:ascii="Times New Roman" w:hAnsi="Times New Roman" w:cs="Times New Roman"/>
          <w:sz w:val="20"/>
          <w:szCs w:val="20"/>
        </w:rPr>
        <w:t xml:space="preserve"> – every June 30</w:t>
      </w:r>
      <w:r w:rsidR="00335E47">
        <w:rPr>
          <w:rFonts w:ascii="Times New Roman" w:hAnsi="Times New Roman" w:cs="Times New Roman"/>
          <w:sz w:val="20"/>
          <w:szCs w:val="20"/>
        </w:rPr>
        <w:t>.</w:t>
      </w:r>
      <w:r w:rsidR="00E463A3">
        <w:rPr>
          <w:rFonts w:ascii="Times New Roman" w:hAnsi="Times New Roman" w:cs="Times New Roman"/>
          <w:sz w:val="20"/>
          <w:szCs w:val="20"/>
        </w:rPr>
        <w:t xml:space="preserve"> </w:t>
      </w:r>
      <w:r w:rsidR="00193A4A">
        <w:rPr>
          <w:rFonts w:ascii="Times New Roman" w:hAnsi="Times New Roman" w:cs="Times New Roman"/>
          <w:sz w:val="20"/>
          <w:szCs w:val="20"/>
        </w:rPr>
        <w:t>The universe</w:t>
      </w:r>
      <w:r w:rsidR="00E14A14">
        <w:rPr>
          <w:rFonts w:ascii="Times New Roman" w:hAnsi="Times New Roman" w:cs="Times New Roman"/>
          <w:sz w:val="20"/>
          <w:szCs w:val="20"/>
        </w:rPr>
        <w:t xml:space="preserve"> excludes </w:t>
      </w:r>
      <w:proofErr w:type="spellStart"/>
      <w:r w:rsidR="00E14A14">
        <w:rPr>
          <w:rFonts w:ascii="Times New Roman" w:hAnsi="Times New Roman" w:cs="Times New Roman"/>
          <w:sz w:val="20"/>
          <w:szCs w:val="20"/>
        </w:rPr>
        <w:t>megacaps</w:t>
      </w:r>
      <w:proofErr w:type="spellEnd"/>
      <w:r w:rsidR="00E14A14">
        <w:rPr>
          <w:rFonts w:ascii="Times New Roman" w:hAnsi="Times New Roman" w:cs="Times New Roman"/>
          <w:sz w:val="20"/>
          <w:szCs w:val="20"/>
        </w:rPr>
        <w:t>, defined as stocks with market capitalizations above the 75</w:t>
      </w:r>
      <w:r w:rsidR="00E14A14" w:rsidRPr="00E14A14">
        <w:rPr>
          <w:rFonts w:ascii="Times New Roman" w:hAnsi="Times New Roman" w:cs="Times New Roman"/>
          <w:sz w:val="20"/>
          <w:szCs w:val="20"/>
          <w:vertAlign w:val="superscript"/>
        </w:rPr>
        <w:t>th</w:t>
      </w:r>
      <w:r w:rsidR="00E14A14">
        <w:rPr>
          <w:rFonts w:ascii="Times New Roman" w:hAnsi="Times New Roman" w:cs="Times New Roman"/>
          <w:sz w:val="20"/>
          <w:szCs w:val="20"/>
        </w:rPr>
        <w:t xml:space="preserve"> percentile of market capitalization of NYSE firms. </w:t>
      </w:r>
      <w:r w:rsidR="00193A4A">
        <w:rPr>
          <w:rFonts w:ascii="Times New Roman" w:hAnsi="Times New Roman" w:cs="Times New Roman"/>
          <w:sz w:val="20"/>
          <w:szCs w:val="20"/>
        </w:rPr>
        <w:t>The sample period runs from July 1975 to June 20</w:t>
      </w:r>
      <w:r w:rsidR="00601BD5">
        <w:rPr>
          <w:rFonts w:ascii="Times New Roman" w:hAnsi="Times New Roman" w:cs="Times New Roman"/>
          <w:sz w:val="20"/>
          <w:szCs w:val="20"/>
        </w:rPr>
        <w:t>23</w:t>
      </w:r>
      <w:r w:rsidR="00193A4A">
        <w:rPr>
          <w:rFonts w:ascii="Times New Roman" w:hAnsi="Times New Roman" w:cs="Times New Roman"/>
          <w:sz w:val="20"/>
          <w:szCs w:val="20"/>
        </w:rPr>
        <w:t xml:space="preserve">. </w:t>
      </w:r>
      <w:r w:rsidR="00EA6436">
        <w:rPr>
          <w:rFonts w:ascii="Times New Roman" w:hAnsi="Times New Roman" w:cs="Times New Roman"/>
          <w:sz w:val="20"/>
          <w:szCs w:val="20"/>
        </w:rPr>
        <w:t>Portfolio returns</w:t>
      </w:r>
      <w:r w:rsidR="005A6150">
        <w:rPr>
          <w:rFonts w:ascii="Times New Roman" w:hAnsi="Times New Roman" w:cs="Times New Roman"/>
          <w:sz w:val="20"/>
          <w:szCs w:val="20"/>
        </w:rPr>
        <w:t xml:space="preserve"> are prior </w:t>
      </w:r>
      <w:r w:rsidR="00682D10">
        <w:rPr>
          <w:rFonts w:ascii="Times New Roman" w:hAnsi="Times New Roman" w:cs="Times New Roman"/>
          <w:sz w:val="20"/>
          <w:szCs w:val="20"/>
        </w:rPr>
        <w:t xml:space="preserve">month </w:t>
      </w:r>
      <w:r w:rsidR="005A6150">
        <w:rPr>
          <w:rFonts w:ascii="Times New Roman" w:hAnsi="Times New Roman" w:cs="Times New Roman"/>
          <w:sz w:val="20"/>
          <w:szCs w:val="20"/>
        </w:rPr>
        <w:t xml:space="preserve">gross </w:t>
      </w:r>
      <w:r w:rsidR="00EA6436">
        <w:rPr>
          <w:rFonts w:ascii="Times New Roman" w:hAnsi="Times New Roman" w:cs="Times New Roman"/>
          <w:sz w:val="20"/>
          <w:szCs w:val="20"/>
        </w:rPr>
        <w:t>return weighted (RW) in Panel A</w:t>
      </w:r>
      <w:r w:rsidR="005A6150">
        <w:rPr>
          <w:rFonts w:ascii="Times New Roman" w:hAnsi="Times New Roman" w:cs="Times New Roman"/>
          <w:sz w:val="20"/>
          <w:szCs w:val="20"/>
        </w:rPr>
        <w:t xml:space="preserve"> and value weighted </w:t>
      </w:r>
      <w:r w:rsidR="00EA6436">
        <w:rPr>
          <w:rFonts w:ascii="Times New Roman" w:hAnsi="Times New Roman" w:cs="Times New Roman"/>
          <w:sz w:val="20"/>
          <w:szCs w:val="20"/>
        </w:rPr>
        <w:t xml:space="preserve">(VW) </w:t>
      </w:r>
      <w:r w:rsidR="005A6150">
        <w:rPr>
          <w:rFonts w:ascii="Times New Roman" w:hAnsi="Times New Roman" w:cs="Times New Roman"/>
          <w:sz w:val="20"/>
          <w:szCs w:val="20"/>
        </w:rPr>
        <w:t>in Panel B.</w:t>
      </w:r>
    </w:p>
    <w:p w14:paraId="5735CCAE" w14:textId="77777777" w:rsidR="006A0B5D" w:rsidRDefault="006A0B5D" w:rsidP="004E0A1C">
      <w:pPr>
        <w:spacing w:after="0" w:line="240" w:lineRule="auto"/>
        <w:jc w:val="center"/>
        <w:rPr>
          <w:rFonts w:ascii="Times New Roman" w:hAnsi="Times New Roman" w:cs="Times New Roman"/>
          <w:sz w:val="20"/>
          <w:szCs w:val="20"/>
        </w:rPr>
      </w:pPr>
    </w:p>
    <w:p w14:paraId="45FA13FD" w14:textId="77777777" w:rsidR="006A0B5D" w:rsidRDefault="006A0B5D" w:rsidP="00EF6A2F">
      <w:pPr>
        <w:spacing w:after="0" w:line="240" w:lineRule="auto"/>
        <w:rPr>
          <w:rFonts w:ascii="Times New Roman" w:hAnsi="Times New Roman" w:cs="Times New Roman"/>
          <w:sz w:val="20"/>
          <w:szCs w:val="20"/>
        </w:rPr>
      </w:pPr>
      <w:r w:rsidRPr="006A0B5D">
        <w:rPr>
          <w:rFonts w:ascii="Times New Roman" w:hAnsi="Times New Roman" w:cs="Times New Roman"/>
          <w:sz w:val="20"/>
          <w:szCs w:val="20"/>
        </w:rPr>
        <w:t>Panel A</w:t>
      </w:r>
      <w:r>
        <w:rPr>
          <w:rFonts w:ascii="Times New Roman" w:hAnsi="Times New Roman" w:cs="Times New Roman"/>
          <w:sz w:val="20"/>
          <w:szCs w:val="20"/>
        </w:rPr>
        <w:t>: RW portfolios</w:t>
      </w:r>
    </w:p>
    <w:p w14:paraId="2CB0A675" w14:textId="793203FB" w:rsidR="00071CCE" w:rsidRDefault="00071CCE" w:rsidP="00071CCE">
      <w:pPr>
        <w:spacing w:after="0" w:line="240" w:lineRule="auto"/>
        <w:jc w:val="center"/>
        <w:rPr>
          <w:rFonts w:ascii="Times New Roman" w:hAnsi="Times New Roman" w:cs="Times New Roman"/>
          <w:sz w:val="20"/>
          <w:szCs w:val="20"/>
        </w:rPr>
      </w:pPr>
      <w:r>
        <w:rPr>
          <w:noProof/>
        </w:rPr>
        <w:drawing>
          <wp:inline distT="0" distB="0" distL="0" distR="0" wp14:anchorId="0ECFA8ED" wp14:editId="2ED60CBD">
            <wp:extent cx="3667125" cy="2752260"/>
            <wp:effectExtent l="0" t="0" r="0" b="0"/>
            <wp:docPr id="3" name="Picture 2" descr="Plot of SUM1 by date">
              <a:extLst xmlns:a="http://schemas.openxmlformats.org/drawingml/2006/main">
                <a:ext uri="{FF2B5EF4-FFF2-40B4-BE49-F238E27FC236}">
                  <a16:creationId xmlns:a16="http://schemas.microsoft.com/office/drawing/2014/main" id="{4657F0BA-EAB7-E41E-4121-C066DE4994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lot of SUM1 by date">
                      <a:extLst>
                        <a:ext uri="{FF2B5EF4-FFF2-40B4-BE49-F238E27FC236}">
                          <a16:creationId xmlns:a16="http://schemas.microsoft.com/office/drawing/2014/main" id="{4657F0BA-EAB7-E41E-4121-C066DE49948E}"/>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4705" cy="2780465"/>
                    </a:xfrm>
                    <a:prstGeom prst="rect">
                      <a:avLst/>
                    </a:prstGeom>
                    <a:noFill/>
                  </pic:spPr>
                </pic:pic>
              </a:graphicData>
            </a:graphic>
          </wp:inline>
        </w:drawing>
      </w:r>
    </w:p>
    <w:p w14:paraId="6273A948" w14:textId="77777777" w:rsidR="003229CA" w:rsidRDefault="003229CA" w:rsidP="003229CA">
      <w:pPr>
        <w:spacing w:after="0" w:line="240" w:lineRule="auto"/>
        <w:rPr>
          <w:rFonts w:ascii="Times New Roman" w:hAnsi="Times New Roman" w:cs="Times New Roman"/>
          <w:sz w:val="20"/>
          <w:szCs w:val="20"/>
        </w:rPr>
      </w:pPr>
    </w:p>
    <w:p w14:paraId="76D43C8C" w14:textId="38885D64" w:rsidR="002840C6" w:rsidRPr="006A0B5D" w:rsidRDefault="002840C6" w:rsidP="003229CA">
      <w:pPr>
        <w:spacing w:after="0" w:line="240" w:lineRule="auto"/>
        <w:rPr>
          <w:rFonts w:ascii="Times New Roman" w:hAnsi="Times New Roman" w:cs="Times New Roman"/>
          <w:sz w:val="20"/>
          <w:szCs w:val="20"/>
        </w:rPr>
      </w:pPr>
      <w:r w:rsidRPr="006A0B5D">
        <w:rPr>
          <w:rFonts w:ascii="Times New Roman" w:hAnsi="Times New Roman" w:cs="Times New Roman"/>
          <w:sz w:val="20"/>
          <w:szCs w:val="20"/>
        </w:rPr>
        <w:t xml:space="preserve">Panel </w:t>
      </w:r>
      <w:r>
        <w:rPr>
          <w:rFonts w:ascii="Times New Roman" w:hAnsi="Times New Roman" w:cs="Times New Roman"/>
          <w:sz w:val="20"/>
          <w:szCs w:val="20"/>
        </w:rPr>
        <w:t>B: VW portfolios</w:t>
      </w:r>
    </w:p>
    <w:p w14:paraId="4723B47B" w14:textId="1C0D589A" w:rsidR="002840C6" w:rsidRDefault="009B1E60" w:rsidP="00330188">
      <w:pPr>
        <w:tabs>
          <w:tab w:val="left" w:pos="1701"/>
        </w:tabs>
        <w:spacing w:after="0" w:line="480" w:lineRule="auto"/>
        <w:jc w:val="center"/>
        <w:rPr>
          <w:rFonts w:ascii="Times New Roman" w:hAnsi="Times New Roman" w:cs="Times New Roman"/>
          <w:sz w:val="24"/>
          <w:szCs w:val="24"/>
        </w:rPr>
      </w:pPr>
      <w:r>
        <w:rPr>
          <w:rFonts w:ascii="Arial" w:hAnsi="Arial" w:cs="Arial"/>
          <w:noProof/>
          <w:color w:val="000000"/>
          <w:sz w:val="20"/>
          <w:szCs w:val="20"/>
        </w:rPr>
        <w:drawing>
          <wp:inline distT="0" distB="0" distL="0" distR="0" wp14:anchorId="0A1B8723" wp14:editId="7F04AB8D">
            <wp:extent cx="3671570" cy="2755636"/>
            <wp:effectExtent l="0" t="0" r="5080" b="6985"/>
            <wp:docPr id="1489596673" name="Picture 1" descr="Plot of SUM1 by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t of SUM1 by da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92734" cy="2771520"/>
                    </a:xfrm>
                    <a:prstGeom prst="rect">
                      <a:avLst/>
                    </a:prstGeom>
                    <a:noFill/>
                    <a:ln>
                      <a:noFill/>
                    </a:ln>
                  </pic:spPr>
                </pic:pic>
              </a:graphicData>
            </a:graphic>
          </wp:inline>
        </w:drawing>
      </w:r>
    </w:p>
    <w:p w14:paraId="3127D697" w14:textId="77777777" w:rsidR="00CF175A" w:rsidRDefault="00CF175A" w:rsidP="00B16493">
      <w:pPr>
        <w:spacing w:after="0"/>
        <w:jc w:val="center"/>
        <w:rPr>
          <w:rFonts w:ascii="Times New Roman" w:hAnsi="Times New Roman" w:cs="Times New Roman"/>
          <w:b/>
          <w:sz w:val="20"/>
          <w:szCs w:val="20"/>
        </w:rPr>
      </w:pPr>
    </w:p>
    <w:p w14:paraId="104A3D77" w14:textId="01A1A447" w:rsidR="00B16493" w:rsidRPr="00507F2E" w:rsidRDefault="00B16493" w:rsidP="00B16493">
      <w:pPr>
        <w:spacing w:after="0"/>
        <w:jc w:val="center"/>
        <w:rPr>
          <w:rFonts w:ascii="Times New Roman" w:hAnsi="Times New Roman" w:cs="Times New Roman"/>
          <w:b/>
          <w:sz w:val="20"/>
          <w:szCs w:val="20"/>
          <w:lang w:val="en-US"/>
        </w:rPr>
      </w:pPr>
      <w:r w:rsidRPr="00507F2E">
        <w:rPr>
          <w:rFonts w:ascii="Times New Roman" w:hAnsi="Times New Roman" w:cs="Times New Roman"/>
          <w:b/>
          <w:sz w:val="20"/>
          <w:szCs w:val="20"/>
        </w:rPr>
        <w:lastRenderedPageBreak/>
        <w:t xml:space="preserve">FIGURE </w:t>
      </w:r>
      <w:r w:rsidR="00EA2FDC">
        <w:rPr>
          <w:rFonts w:ascii="Times New Roman" w:hAnsi="Times New Roman" w:cs="Times New Roman"/>
          <w:b/>
          <w:sz w:val="20"/>
          <w:szCs w:val="20"/>
        </w:rPr>
        <w:t>3</w:t>
      </w:r>
    </w:p>
    <w:p w14:paraId="0B24CA70" w14:textId="07F80CA0" w:rsidR="00B16493" w:rsidRPr="00507F2E" w:rsidRDefault="003B0007" w:rsidP="00B16493">
      <w:pPr>
        <w:jc w:val="center"/>
        <w:rPr>
          <w:rFonts w:ascii="Times New Roman" w:hAnsi="Times New Roman" w:cs="Times New Roman"/>
          <w:b/>
          <w:sz w:val="20"/>
          <w:szCs w:val="20"/>
        </w:rPr>
      </w:pPr>
      <w:r>
        <w:rPr>
          <w:rFonts w:ascii="Times New Roman" w:hAnsi="Times New Roman" w:cs="Times New Roman"/>
          <w:b/>
          <w:sz w:val="20"/>
          <w:szCs w:val="20"/>
        </w:rPr>
        <w:t>Evolution of</w:t>
      </w:r>
      <w:r w:rsidR="00A214E1">
        <w:rPr>
          <w:rFonts w:ascii="Times New Roman" w:hAnsi="Times New Roman" w:cs="Times New Roman"/>
          <w:b/>
          <w:sz w:val="20"/>
          <w:szCs w:val="20"/>
        </w:rPr>
        <w:t xml:space="preserve"> </w:t>
      </w:r>
      <w:r w:rsidR="00B16493">
        <w:rPr>
          <w:rFonts w:ascii="Times New Roman" w:hAnsi="Times New Roman" w:cs="Times New Roman"/>
          <w:b/>
          <w:sz w:val="20"/>
          <w:szCs w:val="20"/>
        </w:rPr>
        <w:t xml:space="preserve">Investor Sentiment </w:t>
      </w:r>
    </w:p>
    <w:p w14:paraId="0C14AC04" w14:textId="77777777" w:rsidR="004A05D1" w:rsidRDefault="00435145" w:rsidP="004A05D1">
      <w:pPr>
        <w:jc w:val="both"/>
        <w:rPr>
          <w:rFonts w:ascii="Times New Roman" w:hAnsi="Times New Roman" w:cs="Times New Roman"/>
          <w:sz w:val="20"/>
          <w:szCs w:val="20"/>
        </w:rPr>
      </w:pPr>
      <w:r>
        <w:rPr>
          <w:rFonts w:ascii="Times New Roman" w:hAnsi="Times New Roman" w:cs="Times New Roman"/>
          <w:sz w:val="20"/>
          <w:szCs w:val="20"/>
        </w:rPr>
        <w:t xml:space="preserve">This figure depicts the </w:t>
      </w:r>
      <w:r w:rsidR="00D94E76">
        <w:rPr>
          <w:rFonts w:ascii="Times New Roman" w:hAnsi="Times New Roman" w:cs="Times New Roman"/>
          <w:sz w:val="20"/>
          <w:szCs w:val="20"/>
        </w:rPr>
        <w:t>evolution</w:t>
      </w:r>
      <w:r w:rsidR="002F6160">
        <w:rPr>
          <w:rFonts w:ascii="Times New Roman" w:hAnsi="Times New Roman" w:cs="Times New Roman"/>
          <w:sz w:val="20"/>
          <w:szCs w:val="20"/>
        </w:rPr>
        <w:t xml:space="preserve"> of</w:t>
      </w:r>
      <w:r w:rsidR="00B9772A">
        <w:rPr>
          <w:rFonts w:ascii="Times New Roman" w:hAnsi="Times New Roman" w:cs="Times New Roman"/>
          <w:sz w:val="20"/>
          <w:szCs w:val="20"/>
        </w:rPr>
        <w:t xml:space="preserve"> prior-month </w:t>
      </w:r>
      <w:r w:rsidR="002F6160">
        <w:rPr>
          <w:rFonts w:ascii="Times New Roman" w:hAnsi="Times New Roman" w:cs="Times New Roman"/>
          <w:sz w:val="20"/>
          <w:szCs w:val="20"/>
        </w:rPr>
        <w:t xml:space="preserve">investor sentiment over the period </w:t>
      </w:r>
      <w:r w:rsidR="00E731EC">
        <w:rPr>
          <w:rFonts w:ascii="Times New Roman" w:hAnsi="Times New Roman" w:cs="Times New Roman"/>
          <w:sz w:val="20"/>
          <w:szCs w:val="20"/>
        </w:rPr>
        <w:t xml:space="preserve">from July 1975 to June 2022 (564 months). </w:t>
      </w:r>
      <w:r w:rsidR="00B444F2">
        <w:rPr>
          <w:rFonts w:ascii="Times New Roman" w:hAnsi="Times New Roman" w:cs="Times New Roman"/>
          <w:sz w:val="20"/>
          <w:szCs w:val="20"/>
        </w:rPr>
        <w:t>Investor sentiment is the orthogonalized sentiment index from Baker and Wurgler (2006)</w:t>
      </w:r>
      <w:r w:rsidR="00882F37">
        <w:rPr>
          <w:rFonts w:ascii="Times New Roman" w:hAnsi="Times New Roman" w:cs="Times New Roman"/>
          <w:sz w:val="20"/>
          <w:szCs w:val="20"/>
        </w:rPr>
        <w:t xml:space="preserve"> (</w:t>
      </w:r>
      <w:r w:rsidR="0060636E">
        <w:rPr>
          <w:rFonts w:ascii="Times New Roman" w:eastAsia="Times New Roman" w:hAnsi="Times New Roman" w:cs="Times New Roman"/>
          <w:color w:val="000000"/>
          <w:sz w:val="20"/>
          <w:szCs w:val="20"/>
          <w:lang w:eastAsia="en-CA"/>
        </w:rPr>
        <w:t>SENT</w:t>
      </w:r>
      <w:r w:rsidR="00882F37" w:rsidRPr="005C07AD">
        <w:rPr>
          <w:rFonts w:ascii="Times New Roman" w:hAnsi="Times New Roman" w:cs="Times New Roman"/>
          <w:sz w:val="20"/>
          <w:szCs w:val="20"/>
        </w:rPr>
        <w:t>┴</w:t>
      </w:r>
      <w:r w:rsidR="00882F37">
        <w:rPr>
          <w:rFonts w:ascii="Times New Roman" w:hAnsi="Times New Roman" w:cs="Times New Roman"/>
          <w:sz w:val="20"/>
          <w:szCs w:val="20"/>
        </w:rPr>
        <w:t>)</w:t>
      </w:r>
      <w:r w:rsidR="00B444F2">
        <w:rPr>
          <w:rFonts w:ascii="Times New Roman" w:hAnsi="Times New Roman" w:cs="Times New Roman"/>
          <w:sz w:val="20"/>
          <w:szCs w:val="20"/>
        </w:rPr>
        <w:t>.</w:t>
      </w:r>
      <w:r w:rsidR="005749F3">
        <w:rPr>
          <w:rFonts w:ascii="Times New Roman" w:hAnsi="Times New Roman" w:cs="Times New Roman"/>
          <w:sz w:val="20"/>
          <w:szCs w:val="20"/>
        </w:rPr>
        <w:t xml:space="preserve"> T</w:t>
      </w:r>
      <w:r w:rsidR="0059628A">
        <w:rPr>
          <w:rFonts w:ascii="Times New Roman" w:hAnsi="Times New Roman" w:cs="Times New Roman"/>
          <w:sz w:val="20"/>
          <w:szCs w:val="20"/>
        </w:rPr>
        <w:t xml:space="preserve">he sample </w:t>
      </w:r>
      <w:r w:rsidR="00FB23F0">
        <w:rPr>
          <w:rFonts w:ascii="Times New Roman" w:hAnsi="Times New Roman" w:cs="Times New Roman"/>
          <w:sz w:val="20"/>
          <w:szCs w:val="20"/>
        </w:rPr>
        <w:t xml:space="preserve">is </w:t>
      </w:r>
      <w:r w:rsidR="00042611">
        <w:rPr>
          <w:rFonts w:ascii="Times New Roman" w:hAnsi="Times New Roman" w:cs="Times New Roman"/>
          <w:sz w:val="20"/>
          <w:szCs w:val="20"/>
        </w:rPr>
        <w:t>divided</w:t>
      </w:r>
      <w:r w:rsidR="0059628A">
        <w:rPr>
          <w:rFonts w:ascii="Times New Roman" w:hAnsi="Times New Roman" w:cs="Times New Roman"/>
          <w:sz w:val="20"/>
          <w:szCs w:val="20"/>
        </w:rPr>
        <w:t xml:space="preserve"> into three periods according to prior month investor sentiment</w:t>
      </w:r>
      <w:r w:rsidR="005749F3">
        <w:rPr>
          <w:rFonts w:ascii="Times New Roman" w:hAnsi="Times New Roman" w:cs="Times New Roman"/>
          <w:sz w:val="20"/>
          <w:szCs w:val="20"/>
        </w:rPr>
        <w:t xml:space="preserve"> – low, medium and high</w:t>
      </w:r>
      <w:r w:rsidR="0059628A">
        <w:rPr>
          <w:rFonts w:ascii="Times New Roman" w:hAnsi="Times New Roman" w:cs="Times New Roman"/>
          <w:sz w:val="20"/>
          <w:szCs w:val="20"/>
        </w:rPr>
        <w:t>.</w:t>
      </w:r>
      <w:r w:rsidR="005749F3">
        <w:rPr>
          <w:rFonts w:ascii="Times New Roman" w:hAnsi="Times New Roman" w:cs="Times New Roman"/>
          <w:sz w:val="20"/>
          <w:szCs w:val="20"/>
        </w:rPr>
        <w:t xml:space="preserve"> </w:t>
      </w:r>
      <w:r w:rsidR="00AD5EF4">
        <w:rPr>
          <w:rFonts w:ascii="Times New Roman" w:hAnsi="Times New Roman" w:cs="Times New Roman"/>
          <w:sz w:val="20"/>
          <w:szCs w:val="20"/>
        </w:rPr>
        <w:t xml:space="preserve">The </w:t>
      </w:r>
      <w:r w:rsidR="00B828AA">
        <w:rPr>
          <w:rFonts w:ascii="Times New Roman" w:hAnsi="Times New Roman" w:cs="Times New Roman"/>
          <w:sz w:val="20"/>
          <w:szCs w:val="20"/>
        </w:rPr>
        <w:t>three</w:t>
      </w:r>
      <w:r w:rsidR="00BE2338">
        <w:rPr>
          <w:rFonts w:ascii="Times New Roman" w:hAnsi="Times New Roman" w:cs="Times New Roman"/>
          <w:sz w:val="20"/>
          <w:szCs w:val="20"/>
        </w:rPr>
        <w:t xml:space="preserve">-period </w:t>
      </w:r>
      <w:r w:rsidR="00AD5EF4">
        <w:rPr>
          <w:rFonts w:ascii="Times New Roman" w:hAnsi="Times New Roman" w:cs="Times New Roman"/>
          <w:sz w:val="20"/>
          <w:szCs w:val="20"/>
        </w:rPr>
        <w:t>split is depicted by the red and green horizonal lines: t</w:t>
      </w:r>
      <w:r w:rsidR="005749F3">
        <w:rPr>
          <w:rFonts w:ascii="Times New Roman" w:hAnsi="Times New Roman" w:cs="Times New Roman"/>
          <w:sz w:val="20"/>
          <w:szCs w:val="20"/>
        </w:rPr>
        <w:t xml:space="preserve">he red line </w:t>
      </w:r>
      <w:r w:rsidR="00DC0C66">
        <w:rPr>
          <w:rFonts w:ascii="Times New Roman" w:hAnsi="Times New Roman" w:cs="Times New Roman"/>
          <w:sz w:val="20"/>
          <w:szCs w:val="20"/>
        </w:rPr>
        <w:t>corresponds to</w:t>
      </w:r>
      <w:r w:rsidR="005749F3">
        <w:rPr>
          <w:rFonts w:ascii="Times New Roman" w:hAnsi="Times New Roman" w:cs="Times New Roman"/>
          <w:sz w:val="20"/>
          <w:szCs w:val="20"/>
        </w:rPr>
        <w:t xml:space="preserve"> a </w:t>
      </w:r>
      <w:r w:rsidR="00C71857">
        <w:rPr>
          <w:rFonts w:ascii="Times New Roman" w:hAnsi="Times New Roman" w:cs="Times New Roman"/>
          <w:sz w:val="20"/>
          <w:szCs w:val="20"/>
        </w:rPr>
        <w:t xml:space="preserve">prior-month </w:t>
      </w:r>
      <w:r w:rsidR="005749F3">
        <w:rPr>
          <w:rFonts w:ascii="Times New Roman" w:hAnsi="Times New Roman" w:cs="Times New Roman"/>
          <w:sz w:val="20"/>
          <w:szCs w:val="20"/>
        </w:rPr>
        <w:t xml:space="preserve">sentiment value of </w:t>
      </w:r>
      <w:r w:rsidR="005552F2">
        <w:rPr>
          <w:rFonts w:ascii="Times New Roman" w:hAnsi="Times New Roman" w:cs="Times New Roman"/>
          <w:sz w:val="20"/>
          <w:szCs w:val="20"/>
        </w:rPr>
        <w:t xml:space="preserve">0.343 and the green line </w:t>
      </w:r>
      <w:r w:rsidR="00BD7A73">
        <w:rPr>
          <w:rFonts w:ascii="Times New Roman" w:hAnsi="Times New Roman" w:cs="Times New Roman"/>
          <w:sz w:val="20"/>
          <w:szCs w:val="20"/>
        </w:rPr>
        <w:t xml:space="preserve">corresponds to </w:t>
      </w:r>
      <w:r w:rsidR="005552F2">
        <w:rPr>
          <w:rFonts w:ascii="Times New Roman" w:hAnsi="Times New Roman" w:cs="Times New Roman"/>
          <w:sz w:val="20"/>
          <w:szCs w:val="20"/>
        </w:rPr>
        <w:t xml:space="preserve">a </w:t>
      </w:r>
      <w:r w:rsidR="00C71857">
        <w:rPr>
          <w:rFonts w:ascii="Times New Roman" w:hAnsi="Times New Roman" w:cs="Times New Roman"/>
          <w:sz w:val="20"/>
          <w:szCs w:val="20"/>
        </w:rPr>
        <w:t xml:space="preserve">prior-month </w:t>
      </w:r>
      <w:r w:rsidR="005552F2">
        <w:rPr>
          <w:rFonts w:ascii="Times New Roman" w:hAnsi="Times New Roman" w:cs="Times New Roman"/>
          <w:sz w:val="20"/>
          <w:szCs w:val="20"/>
        </w:rPr>
        <w:t xml:space="preserve">sentiment value of </w:t>
      </w:r>
      <w:r w:rsidR="00DC0C66">
        <w:rPr>
          <w:rFonts w:ascii="Times New Roman" w:hAnsi="Times New Roman" w:cs="Times New Roman"/>
          <w:sz w:val="20"/>
          <w:szCs w:val="20"/>
        </w:rPr>
        <w:t>-0.167.</w:t>
      </w:r>
      <w:r w:rsidR="00AD5EF4">
        <w:rPr>
          <w:rFonts w:ascii="Times New Roman" w:hAnsi="Times New Roman" w:cs="Times New Roman"/>
          <w:sz w:val="20"/>
          <w:szCs w:val="20"/>
        </w:rPr>
        <w:t xml:space="preserve"> </w:t>
      </w:r>
      <w:r w:rsidR="000F738B">
        <w:rPr>
          <w:rFonts w:ascii="Times New Roman" w:hAnsi="Times New Roman" w:cs="Times New Roman"/>
          <w:sz w:val="20"/>
          <w:szCs w:val="20"/>
        </w:rPr>
        <w:t xml:space="preserve">Sentiment values between [-0.167, 0.343] indicate periods of </w:t>
      </w:r>
      <w:r w:rsidR="00B828AA">
        <w:rPr>
          <w:rFonts w:ascii="Times New Roman" w:hAnsi="Times New Roman" w:cs="Times New Roman"/>
          <w:sz w:val="20"/>
          <w:szCs w:val="20"/>
        </w:rPr>
        <w:t>medium</w:t>
      </w:r>
      <w:r w:rsidR="000F738B">
        <w:rPr>
          <w:rFonts w:ascii="Times New Roman" w:hAnsi="Times New Roman" w:cs="Times New Roman"/>
          <w:sz w:val="20"/>
          <w:szCs w:val="20"/>
        </w:rPr>
        <w:t xml:space="preserve"> sentiment. </w:t>
      </w:r>
      <w:r w:rsidR="00B828AA">
        <w:rPr>
          <w:rFonts w:ascii="Times New Roman" w:hAnsi="Times New Roman" w:cs="Times New Roman"/>
          <w:sz w:val="20"/>
          <w:szCs w:val="20"/>
        </w:rPr>
        <w:t>Sentiment values above 0.343 indicate periods of high sentiment and sentiment values below -0.167 indicate periods of low sentiment.</w:t>
      </w:r>
    </w:p>
    <w:p w14:paraId="29FEDB1B" w14:textId="77777777" w:rsidR="00A4094C" w:rsidRDefault="00A4094C" w:rsidP="00A4094C">
      <w:pPr>
        <w:pStyle w:val="NormalWeb"/>
        <w:jc w:val="center"/>
      </w:pPr>
      <w:r>
        <w:rPr>
          <w:noProof/>
        </w:rPr>
        <w:drawing>
          <wp:inline distT="0" distB="0" distL="0" distR="0" wp14:anchorId="31286B95" wp14:editId="5936DC3B">
            <wp:extent cx="4337880" cy="3252235"/>
            <wp:effectExtent l="0" t="0" r="5715" b="571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5975" cy="3265802"/>
                    </a:xfrm>
                    <a:prstGeom prst="rect">
                      <a:avLst/>
                    </a:prstGeom>
                    <a:noFill/>
                    <a:ln>
                      <a:noFill/>
                    </a:ln>
                  </pic:spPr>
                </pic:pic>
              </a:graphicData>
            </a:graphic>
          </wp:inline>
        </w:drawing>
      </w:r>
    </w:p>
    <w:p w14:paraId="3FCFA2A2" w14:textId="4576E468" w:rsidR="001C2129" w:rsidRDefault="001C2129" w:rsidP="00435145">
      <w:pPr>
        <w:tabs>
          <w:tab w:val="left" w:pos="1701"/>
          <w:tab w:val="left" w:pos="7938"/>
        </w:tabs>
        <w:jc w:val="center"/>
        <w:rPr>
          <w:rFonts w:ascii="Times New Roman" w:hAnsi="Times New Roman" w:cs="Times New Roman"/>
          <w:sz w:val="24"/>
          <w:szCs w:val="24"/>
        </w:rPr>
      </w:pPr>
    </w:p>
    <w:p w14:paraId="75863539" w14:textId="77777777" w:rsidR="001C2129" w:rsidRDefault="001C2129">
      <w:pPr>
        <w:rPr>
          <w:rFonts w:ascii="Times New Roman" w:hAnsi="Times New Roman" w:cs="Times New Roman"/>
          <w:sz w:val="24"/>
          <w:szCs w:val="24"/>
        </w:rPr>
      </w:pPr>
      <w:r>
        <w:rPr>
          <w:rFonts w:ascii="Times New Roman" w:hAnsi="Times New Roman" w:cs="Times New Roman"/>
          <w:sz w:val="24"/>
          <w:szCs w:val="24"/>
        </w:rPr>
        <w:br w:type="page"/>
      </w:r>
    </w:p>
    <w:p w14:paraId="05E5BB97" w14:textId="1CE3A70A" w:rsidR="001C2129" w:rsidRDefault="001C2129" w:rsidP="003E2F1D">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FIGURE 4</w:t>
      </w:r>
    </w:p>
    <w:p w14:paraId="595A4D98" w14:textId="77777777" w:rsidR="001C2129" w:rsidRPr="00507F2E" w:rsidRDefault="001C2129" w:rsidP="001C2129">
      <w:pPr>
        <w:jc w:val="center"/>
        <w:rPr>
          <w:rFonts w:ascii="Times New Roman" w:hAnsi="Times New Roman" w:cs="Times New Roman"/>
          <w:b/>
          <w:sz w:val="20"/>
          <w:szCs w:val="20"/>
        </w:rPr>
      </w:pPr>
      <w:r w:rsidRPr="00507F2E">
        <w:rPr>
          <w:rFonts w:ascii="Times New Roman" w:hAnsi="Times New Roman" w:cs="Times New Roman"/>
          <w:b/>
          <w:sz w:val="20"/>
          <w:szCs w:val="20"/>
        </w:rPr>
        <w:t xml:space="preserve">Cumulative </w:t>
      </w:r>
      <w:r>
        <w:rPr>
          <w:rFonts w:ascii="Times New Roman" w:hAnsi="Times New Roman" w:cs="Times New Roman"/>
          <w:b/>
          <w:sz w:val="20"/>
          <w:szCs w:val="20"/>
        </w:rPr>
        <w:t>P</w:t>
      </w:r>
      <w:r w:rsidRPr="00507F2E">
        <w:rPr>
          <w:rFonts w:ascii="Times New Roman" w:hAnsi="Times New Roman" w:cs="Times New Roman"/>
          <w:b/>
          <w:sz w:val="20"/>
          <w:szCs w:val="20"/>
        </w:rPr>
        <w:t xml:space="preserve">erformance of </w:t>
      </w:r>
      <w:r>
        <w:rPr>
          <w:rFonts w:ascii="Times New Roman" w:hAnsi="Times New Roman" w:cs="Times New Roman"/>
          <w:b/>
          <w:sz w:val="20"/>
          <w:szCs w:val="20"/>
        </w:rPr>
        <w:t>P</w:t>
      </w:r>
      <w:r w:rsidRPr="00507F2E">
        <w:rPr>
          <w:rFonts w:ascii="Times New Roman" w:hAnsi="Times New Roman" w:cs="Times New Roman"/>
          <w:b/>
          <w:sz w:val="20"/>
          <w:szCs w:val="20"/>
        </w:rPr>
        <w:t>rice-to-</w:t>
      </w:r>
      <w:r>
        <w:rPr>
          <w:rFonts w:ascii="Times New Roman" w:hAnsi="Times New Roman" w:cs="Times New Roman"/>
          <w:b/>
          <w:sz w:val="20"/>
          <w:szCs w:val="20"/>
        </w:rPr>
        <w:t>Book and Value-to-Book</w:t>
      </w:r>
      <w:r w:rsidRPr="00507F2E">
        <w:rPr>
          <w:rFonts w:ascii="Times New Roman" w:hAnsi="Times New Roman" w:cs="Times New Roman"/>
          <w:b/>
          <w:sz w:val="20"/>
          <w:szCs w:val="20"/>
        </w:rPr>
        <w:t xml:space="preserve"> </w:t>
      </w:r>
      <w:r>
        <w:rPr>
          <w:rFonts w:ascii="Times New Roman" w:hAnsi="Times New Roman" w:cs="Times New Roman"/>
          <w:b/>
          <w:sz w:val="20"/>
          <w:szCs w:val="20"/>
        </w:rPr>
        <w:t>S</w:t>
      </w:r>
      <w:r w:rsidRPr="00507F2E">
        <w:rPr>
          <w:rFonts w:ascii="Times New Roman" w:hAnsi="Times New Roman" w:cs="Times New Roman"/>
          <w:b/>
          <w:sz w:val="20"/>
          <w:szCs w:val="20"/>
        </w:rPr>
        <w:t xml:space="preserve">trategies </w:t>
      </w:r>
      <w:r>
        <w:rPr>
          <w:rFonts w:ascii="Times New Roman" w:hAnsi="Times New Roman" w:cs="Times New Roman"/>
          <w:b/>
          <w:sz w:val="20"/>
          <w:szCs w:val="20"/>
        </w:rPr>
        <w:t>C</w:t>
      </w:r>
      <w:r w:rsidRPr="00507F2E">
        <w:rPr>
          <w:rFonts w:ascii="Times New Roman" w:hAnsi="Times New Roman" w:cs="Times New Roman"/>
          <w:b/>
          <w:sz w:val="20"/>
          <w:szCs w:val="20"/>
        </w:rPr>
        <w:t xml:space="preserve">onditional on </w:t>
      </w:r>
      <w:r>
        <w:rPr>
          <w:rFonts w:ascii="Times New Roman" w:hAnsi="Times New Roman" w:cs="Times New Roman"/>
          <w:b/>
          <w:sz w:val="20"/>
          <w:szCs w:val="20"/>
        </w:rPr>
        <w:t>V</w:t>
      </w:r>
      <w:r w:rsidRPr="00507F2E">
        <w:rPr>
          <w:rFonts w:ascii="Times New Roman" w:hAnsi="Times New Roman" w:cs="Times New Roman"/>
          <w:b/>
          <w:sz w:val="20"/>
          <w:szCs w:val="20"/>
        </w:rPr>
        <w:t xml:space="preserve">aluation </w:t>
      </w:r>
      <w:r>
        <w:rPr>
          <w:rFonts w:ascii="Times New Roman" w:hAnsi="Times New Roman" w:cs="Times New Roman"/>
          <w:b/>
          <w:sz w:val="20"/>
          <w:szCs w:val="20"/>
        </w:rPr>
        <w:t>U</w:t>
      </w:r>
      <w:r w:rsidRPr="00507F2E">
        <w:rPr>
          <w:rFonts w:ascii="Times New Roman" w:hAnsi="Times New Roman" w:cs="Times New Roman"/>
          <w:b/>
          <w:sz w:val="20"/>
          <w:szCs w:val="20"/>
        </w:rPr>
        <w:t>ncertainty</w:t>
      </w:r>
    </w:p>
    <w:p w14:paraId="785FB3D4" w14:textId="5CE895E3" w:rsidR="001C2129" w:rsidRDefault="001C2129" w:rsidP="00A13D05">
      <w:pPr>
        <w:jc w:val="both"/>
        <w:rPr>
          <w:rFonts w:ascii="Times New Roman" w:hAnsi="Times New Roman" w:cs="Times New Roman"/>
          <w:sz w:val="20"/>
          <w:szCs w:val="20"/>
        </w:rPr>
      </w:pPr>
      <w:r>
        <w:rPr>
          <w:rFonts w:ascii="Times New Roman" w:hAnsi="Times New Roman" w:cs="Times New Roman"/>
          <w:sz w:val="20"/>
          <w:szCs w:val="20"/>
        </w:rPr>
        <w:t>This figure depicts the cumulative return of long-short trading strategies formed on the basis of price-to-book (Panel A) or value-to-book (Panel B) conditional on valuation uncertainty</w:t>
      </w:r>
      <w:r w:rsidR="00966510">
        <w:rPr>
          <w:rFonts w:ascii="Times New Roman" w:hAnsi="Times New Roman" w:cs="Times New Roman"/>
          <w:sz w:val="20"/>
          <w:szCs w:val="20"/>
        </w:rPr>
        <w:t xml:space="preserve"> (VU)</w:t>
      </w:r>
      <w:r>
        <w:rPr>
          <w:rFonts w:ascii="Times New Roman" w:hAnsi="Times New Roman" w:cs="Times New Roman"/>
          <w:sz w:val="20"/>
          <w:szCs w:val="20"/>
        </w:rPr>
        <w:t xml:space="preserve">. One unit on the y-scale corresponds to one hundred percent. The strategies are long all stocks in the bottom quartile of price-to-book (value-to-book) and short all stocks in the top quartile of price-to-book (value-to-book) within each valuation uncertainty quartile. </w:t>
      </w:r>
      <w:r w:rsidR="00740F16">
        <w:rPr>
          <w:rFonts w:ascii="Times New Roman" w:hAnsi="Times New Roman" w:cs="Times New Roman"/>
          <w:sz w:val="20"/>
          <w:szCs w:val="20"/>
        </w:rPr>
        <w:t xml:space="preserve">Portfolio sorts are performed </w:t>
      </w:r>
      <w:r w:rsidR="00740F16">
        <w:rPr>
          <w:rFonts w:ascii="Times New Roman" w:hAnsi="Times New Roman" w:cs="Times New Roman"/>
          <w:sz w:val="20"/>
          <w:szCs w:val="20"/>
          <w:lang w:val="en-US"/>
        </w:rPr>
        <w:t>sequentially</w:t>
      </w:r>
      <w:r w:rsidR="00740F16">
        <w:rPr>
          <w:rFonts w:ascii="Times New Roman" w:hAnsi="Times New Roman" w:cs="Times New Roman"/>
          <w:sz w:val="20"/>
          <w:szCs w:val="20"/>
        </w:rPr>
        <w:t xml:space="preserve"> – first on valuation uncertainty and then on price-to-book (value-to-book) – every June 30. </w:t>
      </w:r>
      <w:r>
        <w:rPr>
          <w:rFonts w:ascii="Times New Roman" w:hAnsi="Times New Roman" w:cs="Times New Roman"/>
          <w:sz w:val="20"/>
          <w:szCs w:val="20"/>
        </w:rPr>
        <w:t xml:space="preserve">The universe excludes </w:t>
      </w:r>
      <w:proofErr w:type="spellStart"/>
      <w:r>
        <w:rPr>
          <w:rFonts w:ascii="Times New Roman" w:hAnsi="Times New Roman" w:cs="Times New Roman"/>
          <w:sz w:val="20"/>
          <w:szCs w:val="20"/>
        </w:rPr>
        <w:t>megacaps</w:t>
      </w:r>
      <w:proofErr w:type="spellEnd"/>
      <w:r>
        <w:rPr>
          <w:rFonts w:ascii="Times New Roman" w:hAnsi="Times New Roman" w:cs="Times New Roman"/>
          <w:sz w:val="20"/>
          <w:szCs w:val="20"/>
        </w:rPr>
        <w:t>, defined as stocks with market capitalizations above the 75</w:t>
      </w:r>
      <w:r w:rsidRPr="00E14A14">
        <w:rPr>
          <w:rFonts w:ascii="Times New Roman" w:hAnsi="Times New Roman" w:cs="Times New Roman"/>
          <w:sz w:val="20"/>
          <w:szCs w:val="20"/>
          <w:vertAlign w:val="superscript"/>
        </w:rPr>
        <w:t>th</w:t>
      </w:r>
      <w:r>
        <w:rPr>
          <w:rFonts w:ascii="Times New Roman" w:hAnsi="Times New Roman" w:cs="Times New Roman"/>
          <w:sz w:val="20"/>
          <w:szCs w:val="20"/>
        </w:rPr>
        <w:t xml:space="preserve"> percentile of market capitalization of NYSE firms. The sample period runs from July 1975 to June 2023. Portfolio returns are prior month gross return weighted (RW) in Panel A and value weighted (VW) in Panel B.</w:t>
      </w:r>
    </w:p>
    <w:p w14:paraId="0A82D6A3" w14:textId="77777777" w:rsidR="001C2129" w:rsidRDefault="001C2129" w:rsidP="001C2129">
      <w:pPr>
        <w:spacing w:after="0" w:line="240" w:lineRule="auto"/>
        <w:jc w:val="center"/>
        <w:rPr>
          <w:rFonts w:ascii="Times New Roman" w:hAnsi="Times New Roman" w:cs="Times New Roman"/>
          <w:sz w:val="20"/>
          <w:szCs w:val="20"/>
        </w:rPr>
      </w:pPr>
    </w:p>
    <w:p w14:paraId="3C18ABF8" w14:textId="77777777" w:rsidR="00AD7BAB" w:rsidRDefault="001C2129" w:rsidP="001C2129">
      <w:pPr>
        <w:spacing w:after="0" w:line="240" w:lineRule="auto"/>
        <w:rPr>
          <w:rFonts w:ascii="Times New Roman" w:hAnsi="Times New Roman" w:cs="Times New Roman"/>
          <w:sz w:val="20"/>
          <w:szCs w:val="20"/>
        </w:rPr>
      </w:pPr>
      <w:r w:rsidRPr="006A0B5D">
        <w:rPr>
          <w:rFonts w:ascii="Times New Roman" w:hAnsi="Times New Roman" w:cs="Times New Roman"/>
          <w:sz w:val="20"/>
          <w:szCs w:val="20"/>
        </w:rPr>
        <w:t>Panel A</w:t>
      </w:r>
      <w:r>
        <w:rPr>
          <w:rFonts w:ascii="Times New Roman" w:hAnsi="Times New Roman" w:cs="Times New Roman"/>
          <w:sz w:val="20"/>
          <w:szCs w:val="20"/>
        </w:rPr>
        <w:t>: Price-to-book RW (left) and VW (right) portfolios</w:t>
      </w:r>
    </w:p>
    <w:p w14:paraId="057729C8" w14:textId="77777777" w:rsidR="00AD7BAB" w:rsidRDefault="00AD7BAB" w:rsidP="001C2129">
      <w:pPr>
        <w:spacing w:after="0" w:line="240" w:lineRule="auto"/>
        <w:rPr>
          <w:rFonts w:ascii="Times New Roman" w:hAnsi="Times New Roman" w:cs="Times New Roman"/>
          <w:sz w:val="20"/>
          <w:szCs w:val="20"/>
        </w:rPr>
      </w:pPr>
    </w:p>
    <w:p w14:paraId="2A954F86" w14:textId="2FF1FF36" w:rsidR="00AD7BAB" w:rsidRDefault="00AD7BAB" w:rsidP="001C2129">
      <w:pPr>
        <w:spacing w:after="0" w:line="240" w:lineRule="auto"/>
        <w:rPr>
          <w:rFonts w:ascii="Times New Roman" w:hAnsi="Times New Roman" w:cs="Times New Roman"/>
          <w:sz w:val="20"/>
          <w:szCs w:val="20"/>
        </w:rPr>
      </w:pPr>
      <w:r>
        <w:rPr>
          <w:noProof/>
        </w:rPr>
        <w:drawing>
          <wp:inline distT="0" distB="0" distL="0" distR="0" wp14:anchorId="31568D5F" wp14:editId="22146527">
            <wp:extent cx="2941983" cy="2208023"/>
            <wp:effectExtent l="0" t="0" r="0" b="1905"/>
            <wp:docPr id="9" name="Picture 8" descr="Plot of SUM1 by date">
              <a:extLst xmlns:a="http://schemas.openxmlformats.org/drawingml/2006/main">
                <a:ext uri="{FF2B5EF4-FFF2-40B4-BE49-F238E27FC236}">
                  <a16:creationId xmlns:a16="http://schemas.microsoft.com/office/drawing/2014/main" id="{F8216445-4D10-CD2F-506D-EB80D52E4E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Plot of SUM1 by date">
                      <a:extLst>
                        <a:ext uri="{FF2B5EF4-FFF2-40B4-BE49-F238E27FC236}">
                          <a16:creationId xmlns:a16="http://schemas.microsoft.com/office/drawing/2014/main" id="{F8216445-4D10-CD2F-506D-EB80D52E4E12}"/>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5196" cy="2232950"/>
                    </a:xfrm>
                    <a:prstGeom prst="rect">
                      <a:avLst/>
                    </a:prstGeom>
                    <a:noFill/>
                  </pic:spPr>
                </pic:pic>
              </a:graphicData>
            </a:graphic>
          </wp:inline>
        </w:drawing>
      </w:r>
      <w:r w:rsidR="00A11F84" w:rsidRPr="00A11F84">
        <w:rPr>
          <w:noProof/>
        </w:rPr>
        <w:t xml:space="preserve"> </w:t>
      </w:r>
      <w:r w:rsidR="00A11F84">
        <w:rPr>
          <w:noProof/>
        </w:rPr>
        <w:drawing>
          <wp:inline distT="0" distB="0" distL="0" distR="0" wp14:anchorId="1D54D02E" wp14:editId="60F7EB8D">
            <wp:extent cx="2953619" cy="2216756"/>
            <wp:effectExtent l="0" t="0" r="0" b="0"/>
            <wp:docPr id="8" name="Picture 7" descr="Plot of SUM1 by date">
              <a:extLst xmlns:a="http://schemas.openxmlformats.org/drawingml/2006/main">
                <a:ext uri="{FF2B5EF4-FFF2-40B4-BE49-F238E27FC236}">
                  <a16:creationId xmlns:a16="http://schemas.microsoft.com/office/drawing/2014/main" id="{2E79CACE-F5C6-61E3-99C3-0E0B5CCD64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Plot of SUM1 by date">
                      <a:extLst>
                        <a:ext uri="{FF2B5EF4-FFF2-40B4-BE49-F238E27FC236}">
                          <a16:creationId xmlns:a16="http://schemas.microsoft.com/office/drawing/2014/main" id="{2E79CACE-F5C6-61E3-99C3-0E0B5CCD6453}"/>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6082" cy="2233615"/>
                    </a:xfrm>
                    <a:prstGeom prst="rect">
                      <a:avLst/>
                    </a:prstGeom>
                    <a:noFill/>
                  </pic:spPr>
                </pic:pic>
              </a:graphicData>
            </a:graphic>
          </wp:inline>
        </w:drawing>
      </w:r>
    </w:p>
    <w:p w14:paraId="11D8F16B" w14:textId="62A40728" w:rsidR="00FF1567" w:rsidRDefault="00FF1567" w:rsidP="001C2129">
      <w:pPr>
        <w:spacing w:after="0" w:line="240" w:lineRule="auto"/>
        <w:rPr>
          <w:rFonts w:ascii="Times New Roman" w:hAnsi="Times New Roman" w:cs="Times New Roman"/>
          <w:sz w:val="20"/>
          <w:szCs w:val="20"/>
        </w:rPr>
      </w:pPr>
    </w:p>
    <w:p w14:paraId="47312A22" w14:textId="6E3AE727" w:rsidR="00433963" w:rsidRDefault="001C2129" w:rsidP="00327EE1">
      <w:pPr>
        <w:spacing w:after="0"/>
        <w:rPr>
          <w:noProof/>
        </w:rPr>
      </w:pPr>
      <w:r>
        <w:rPr>
          <w:noProof/>
        </w:rPr>
        <w:t xml:space="preserve"> </w:t>
      </w:r>
    </w:p>
    <w:p w14:paraId="1C780029" w14:textId="77777777" w:rsidR="00327EE1" w:rsidRDefault="00327EE1" w:rsidP="00327EE1">
      <w:pPr>
        <w:spacing w:after="0"/>
        <w:rPr>
          <w:rFonts w:ascii="Times New Roman" w:hAnsi="Times New Roman" w:cs="Times New Roman"/>
          <w:sz w:val="20"/>
          <w:szCs w:val="20"/>
        </w:rPr>
      </w:pPr>
    </w:p>
    <w:p w14:paraId="58352130" w14:textId="4532C15F" w:rsidR="001C2129" w:rsidRDefault="001C2129" w:rsidP="001C2129">
      <w:pPr>
        <w:spacing w:after="0" w:line="240" w:lineRule="auto"/>
        <w:rPr>
          <w:rFonts w:ascii="Times New Roman" w:hAnsi="Times New Roman" w:cs="Times New Roman"/>
          <w:sz w:val="20"/>
          <w:szCs w:val="20"/>
        </w:rPr>
      </w:pPr>
      <w:r w:rsidRPr="006A0B5D">
        <w:rPr>
          <w:rFonts w:ascii="Times New Roman" w:hAnsi="Times New Roman" w:cs="Times New Roman"/>
          <w:sz w:val="20"/>
          <w:szCs w:val="20"/>
        </w:rPr>
        <w:t xml:space="preserve">Panel </w:t>
      </w:r>
      <w:r>
        <w:rPr>
          <w:rFonts w:ascii="Times New Roman" w:hAnsi="Times New Roman" w:cs="Times New Roman"/>
          <w:sz w:val="20"/>
          <w:szCs w:val="20"/>
        </w:rPr>
        <w:t>B: Value-to-book RW (left) and VW (right) portfolios</w:t>
      </w:r>
    </w:p>
    <w:p w14:paraId="4A4112C8" w14:textId="78E61871" w:rsidR="00327EE1" w:rsidRDefault="00327EE1" w:rsidP="001C2129">
      <w:pPr>
        <w:spacing w:after="0" w:line="240" w:lineRule="auto"/>
        <w:rPr>
          <w:rFonts w:ascii="Times New Roman" w:hAnsi="Times New Roman" w:cs="Times New Roman"/>
          <w:sz w:val="20"/>
          <w:szCs w:val="20"/>
        </w:rPr>
      </w:pPr>
      <w:r>
        <w:rPr>
          <w:noProof/>
        </w:rPr>
        <w:drawing>
          <wp:inline distT="0" distB="0" distL="0" distR="0" wp14:anchorId="07F9A3D7" wp14:editId="3852F118">
            <wp:extent cx="2943469" cy="2209137"/>
            <wp:effectExtent l="0" t="0" r="0" b="1270"/>
            <wp:docPr id="6" name="Picture 5" descr="Plot of SUM1 by date">
              <a:extLst xmlns:a="http://schemas.openxmlformats.org/drawingml/2006/main">
                <a:ext uri="{FF2B5EF4-FFF2-40B4-BE49-F238E27FC236}">
                  <a16:creationId xmlns:a16="http://schemas.microsoft.com/office/drawing/2014/main" id="{BF67DF14-3CF8-720D-148E-07F4F2B57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Plot of SUM1 by date">
                      <a:extLst>
                        <a:ext uri="{FF2B5EF4-FFF2-40B4-BE49-F238E27FC236}">
                          <a16:creationId xmlns:a16="http://schemas.microsoft.com/office/drawing/2014/main" id="{BF67DF14-3CF8-720D-148E-07F4F2B578A5}"/>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65342" cy="2225554"/>
                    </a:xfrm>
                    <a:prstGeom prst="rect">
                      <a:avLst/>
                    </a:prstGeom>
                    <a:noFill/>
                  </pic:spPr>
                </pic:pic>
              </a:graphicData>
            </a:graphic>
          </wp:inline>
        </w:drawing>
      </w:r>
      <w:r w:rsidRPr="00327EE1">
        <w:rPr>
          <w:noProof/>
        </w:rPr>
        <w:t xml:space="preserve"> </w:t>
      </w:r>
      <w:r>
        <w:rPr>
          <w:noProof/>
        </w:rPr>
        <w:drawing>
          <wp:inline distT="0" distB="0" distL="0" distR="0" wp14:anchorId="4FFF0EB5" wp14:editId="5565AAB6">
            <wp:extent cx="2941982" cy="2208021"/>
            <wp:effectExtent l="0" t="0" r="0" b="1905"/>
            <wp:docPr id="7" name="Picture 6" descr="Plot of SUM1 by date">
              <a:extLst xmlns:a="http://schemas.openxmlformats.org/drawingml/2006/main">
                <a:ext uri="{FF2B5EF4-FFF2-40B4-BE49-F238E27FC236}">
                  <a16:creationId xmlns:a16="http://schemas.microsoft.com/office/drawing/2014/main" id="{81694ECB-C03B-F9F6-63DB-3123753388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Plot of SUM1 by date">
                      <a:extLst>
                        <a:ext uri="{FF2B5EF4-FFF2-40B4-BE49-F238E27FC236}">
                          <a16:creationId xmlns:a16="http://schemas.microsoft.com/office/drawing/2014/main" id="{81694ECB-C03B-F9F6-63DB-31237533889C}"/>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6756" cy="2211604"/>
                    </a:xfrm>
                    <a:prstGeom prst="rect">
                      <a:avLst/>
                    </a:prstGeom>
                    <a:noFill/>
                  </pic:spPr>
                </pic:pic>
              </a:graphicData>
            </a:graphic>
          </wp:inline>
        </w:drawing>
      </w:r>
    </w:p>
    <w:p w14:paraId="5C457968" w14:textId="6649944F" w:rsidR="00A640BB" w:rsidRPr="006A0B5D" w:rsidRDefault="00A640BB" w:rsidP="00AE2827">
      <w:pPr>
        <w:spacing w:after="0" w:line="240" w:lineRule="auto"/>
        <w:rPr>
          <w:rFonts w:ascii="Times New Roman" w:hAnsi="Times New Roman" w:cs="Times New Roman"/>
          <w:sz w:val="20"/>
          <w:szCs w:val="20"/>
        </w:rPr>
      </w:pPr>
    </w:p>
    <w:p w14:paraId="09470775" w14:textId="1F810BA2" w:rsidR="001C2129" w:rsidRDefault="001C2129" w:rsidP="001C2129">
      <w:pPr>
        <w:tabs>
          <w:tab w:val="left" w:pos="1701"/>
        </w:tabs>
        <w:spacing w:after="0" w:line="480" w:lineRule="auto"/>
        <w:rPr>
          <w:rFonts w:ascii="Times New Roman" w:hAnsi="Times New Roman" w:cs="Times New Roman"/>
          <w:sz w:val="24"/>
          <w:szCs w:val="24"/>
        </w:rPr>
      </w:pPr>
      <w:r w:rsidRPr="004F56E3">
        <w:rPr>
          <w:noProof/>
        </w:rPr>
        <w:t xml:space="preserve"> </w:t>
      </w:r>
    </w:p>
    <w:p w14:paraId="0B6F966D" w14:textId="77777777" w:rsidR="00435145" w:rsidRDefault="00435145" w:rsidP="00435145">
      <w:pPr>
        <w:tabs>
          <w:tab w:val="left" w:pos="1701"/>
          <w:tab w:val="left" w:pos="7938"/>
        </w:tabs>
        <w:jc w:val="center"/>
        <w:rPr>
          <w:rFonts w:ascii="Times New Roman" w:hAnsi="Times New Roman" w:cs="Times New Roman"/>
          <w:sz w:val="24"/>
          <w:szCs w:val="24"/>
        </w:rPr>
        <w:sectPr w:rsidR="00435145" w:rsidSect="00ED7D08">
          <w:footerReference w:type="default" r:id="rId21"/>
          <w:footerReference w:type="first" r:id="rId22"/>
          <w:pgSz w:w="12240" w:h="15840"/>
          <w:pgMar w:top="1440" w:right="1440" w:bottom="1440" w:left="1440" w:header="708" w:footer="708" w:gutter="0"/>
          <w:pgNumType w:start="0"/>
          <w:cols w:space="708"/>
          <w:titlePg/>
          <w:docGrid w:linePitch="360"/>
        </w:sectPr>
      </w:pPr>
    </w:p>
    <w:p w14:paraId="0DA5C747" w14:textId="1F9031AB" w:rsidR="006A0B5D" w:rsidRPr="006A0B5D" w:rsidRDefault="00460990" w:rsidP="0046099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TABLE</w:t>
      </w:r>
      <w:r w:rsidR="0038765D">
        <w:rPr>
          <w:rFonts w:ascii="Times New Roman" w:hAnsi="Times New Roman" w:cs="Times New Roman"/>
          <w:b/>
          <w:sz w:val="20"/>
          <w:szCs w:val="20"/>
        </w:rPr>
        <w:t xml:space="preserve"> </w:t>
      </w:r>
      <w:r w:rsidR="000E3CA2">
        <w:rPr>
          <w:rFonts w:ascii="Times New Roman" w:hAnsi="Times New Roman" w:cs="Times New Roman"/>
          <w:b/>
          <w:sz w:val="20"/>
          <w:szCs w:val="20"/>
        </w:rPr>
        <w:t>1</w:t>
      </w:r>
    </w:p>
    <w:p w14:paraId="2BDA95FB" w14:textId="77DC6EE9" w:rsidR="006A0B5D" w:rsidRPr="00460990" w:rsidRDefault="006A0B5D" w:rsidP="00460990">
      <w:pPr>
        <w:jc w:val="center"/>
        <w:rPr>
          <w:rFonts w:ascii="Times New Roman" w:hAnsi="Times New Roman" w:cs="Times New Roman"/>
          <w:b/>
          <w:bCs/>
          <w:sz w:val="20"/>
          <w:szCs w:val="20"/>
        </w:rPr>
      </w:pPr>
      <w:r w:rsidRPr="00460990">
        <w:rPr>
          <w:rFonts w:ascii="Times New Roman" w:hAnsi="Times New Roman" w:cs="Times New Roman"/>
          <w:b/>
          <w:bCs/>
          <w:sz w:val="20"/>
          <w:szCs w:val="20"/>
        </w:rPr>
        <w:t xml:space="preserve">Valuation </w:t>
      </w:r>
      <w:r w:rsidR="00460990">
        <w:rPr>
          <w:rFonts w:ascii="Times New Roman" w:hAnsi="Times New Roman" w:cs="Times New Roman"/>
          <w:b/>
          <w:bCs/>
          <w:sz w:val="20"/>
          <w:szCs w:val="20"/>
        </w:rPr>
        <w:t>M</w:t>
      </w:r>
      <w:r w:rsidRPr="00460990">
        <w:rPr>
          <w:rFonts w:ascii="Times New Roman" w:hAnsi="Times New Roman" w:cs="Times New Roman"/>
          <w:b/>
          <w:bCs/>
          <w:sz w:val="20"/>
          <w:szCs w:val="20"/>
        </w:rPr>
        <w:t xml:space="preserve">odel </w:t>
      </w:r>
      <w:r w:rsidR="00460990">
        <w:rPr>
          <w:rFonts w:ascii="Times New Roman" w:hAnsi="Times New Roman" w:cs="Times New Roman"/>
          <w:b/>
          <w:bCs/>
          <w:sz w:val="20"/>
          <w:szCs w:val="20"/>
        </w:rPr>
        <w:t>E</w:t>
      </w:r>
      <w:r w:rsidRPr="00460990">
        <w:rPr>
          <w:rFonts w:ascii="Times New Roman" w:hAnsi="Times New Roman" w:cs="Times New Roman"/>
          <w:b/>
          <w:bCs/>
          <w:sz w:val="20"/>
          <w:szCs w:val="20"/>
        </w:rPr>
        <w:t>stimation</w:t>
      </w:r>
    </w:p>
    <w:p w14:paraId="7BB897F2" w14:textId="376550B4" w:rsidR="00AB1B98" w:rsidRDefault="00790D54" w:rsidP="000827E3">
      <w:pPr>
        <w:jc w:val="both"/>
        <w:rPr>
          <w:rFonts w:ascii="Times New Roman" w:hAnsi="Times New Roman" w:cs="Times New Roman"/>
          <w:sz w:val="20"/>
          <w:szCs w:val="20"/>
        </w:rPr>
      </w:pPr>
      <w:r>
        <w:rPr>
          <w:rFonts w:ascii="Times New Roman" w:hAnsi="Times New Roman" w:cs="Times New Roman"/>
          <w:sz w:val="20"/>
          <w:szCs w:val="20"/>
        </w:rPr>
        <w:t xml:space="preserve">This </w:t>
      </w:r>
      <w:r w:rsidR="005F78A1">
        <w:rPr>
          <w:rFonts w:ascii="Times New Roman" w:hAnsi="Times New Roman" w:cs="Times New Roman"/>
          <w:sz w:val="20"/>
          <w:szCs w:val="20"/>
        </w:rPr>
        <w:t xml:space="preserve">table reports results </w:t>
      </w:r>
      <w:r w:rsidR="00C36518">
        <w:rPr>
          <w:rFonts w:ascii="Times New Roman" w:hAnsi="Times New Roman" w:cs="Times New Roman"/>
          <w:sz w:val="20"/>
          <w:szCs w:val="20"/>
        </w:rPr>
        <w:t>from</w:t>
      </w:r>
      <w:r w:rsidR="005F78A1">
        <w:rPr>
          <w:rFonts w:ascii="Times New Roman" w:hAnsi="Times New Roman" w:cs="Times New Roman"/>
          <w:sz w:val="20"/>
          <w:szCs w:val="20"/>
        </w:rPr>
        <w:t xml:space="preserve"> estimating the</w:t>
      </w:r>
      <w:r w:rsidR="007B225D">
        <w:rPr>
          <w:rFonts w:ascii="Times New Roman" w:hAnsi="Times New Roman" w:cs="Times New Roman"/>
          <w:sz w:val="20"/>
          <w:szCs w:val="20"/>
        </w:rPr>
        <w:t xml:space="preserve"> valuation model </w:t>
      </w:r>
      <w:r w:rsidR="00377F22">
        <w:rPr>
          <w:rFonts w:ascii="Times New Roman" w:hAnsi="Times New Roman" w:cs="Times New Roman"/>
          <w:sz w:val="20"/>
          <w:szCs w:val="20"/>
        </w:rPr>
        <w:t>in eq. (</w:t>
      </w:r>
      <w:r w:rsidR="00D56A1D">
        <w:rPr>
          <w:rFonts w:ascii="Times New Roman" w:hAnsi="Times New Roman" w:cs="Times New Roman"/>
          <w:sz w:val="20"/>
          <w:szCs w:val="20"/>
        </w:rPr>
        <w:t>5</w:t>
      </w:r>
      <w:r w:rsidR="00377F22">
        <w:rPr>
          <w:rFonts w:ascii="Times New Roman" w:hAnsi="Times New Roman" w:cs="Times New Roman"/>
          <w:sz w:val="20"/>
          <w:szCs w:val="20"/>
        </w:rPr>
        <w:t xml:space="preserve">) </w:t>
      </w:r>
      <w:r w:rsidR="007B225D">
        <w:rPr>
          <w:rFonts w:ascii="Times New Roman" w:hAnsi="Times New Roman" w:cs="Times New Roman"/>
          <w:sz w:val="20"/>
          <w:szCs w:val="20"/>
        </w:rPr>
        <w:t>using annual cross-sectional regressions</w:t>
      </w:r>
      <w:r w:rsidR="0080417E">
        <w:rPr>
          <w:rFonts w:ascii="Times New Roman" w:hAnsi="Times New Roman" w:cs="Times New Roman"/>
          <w:sz w:val="20"/>
          <w:szCs w:val="20"/>
        </w:rPr>
        <w:t xml:space="preserve"> (Fama-MacBeth style)</w:t>
      </w:r>
      <w:r w:rsidR="007B225D">
        <w:rPr>
          <w:rFonts w:ascii="Times New Roman" w:hAnsi="Times New Roman" w:cs="Times New Roman"/>
          <w:sz w:val="20"/>
          <w:szCs w:val="20"/>
        </w:rPr>
        <w:t xml:space="preserve"> </w:t>
      </w:r>
      <w:r w:rsidR="005F78A1">
        <w:rPr>
          <w:rFonts w:ascii="Times New Roman" w:hAnsi="Times New Roman" w:cs="Times New Roman"/>
          <w:sz w:val="20"/>
          <w:szCs w:val="20"/>
        </w:rPr>
        <w:t xml:space="preserve">for three representative industries </w:t>
      </w:r>
      <w:r w:rsidR="00653C6B">
        <w:rPr>
          <w:rFonts w:ascii="Times New Roman" w:hAnsi="Times New Roman" w:cs="Times New Roman"/>
          <w:sz w:val="20"/>
          <w:szCs w:val="20"/>
        </w:rPr>
        <w:t>in</w:t>
      </w:r>
      <w:r w:rsidR="005F78A1">
        <w:rPr>
          <w:rFonts w:ascii="Times New Roman" w:hAnsi="Times New Roman" w:cs="Times New Roman"/>
          <w:sz w:val="20"/>
          <w:szCs w:val="20"/>
        </w:rPr>
        <w:t xml:space="preserve"> the Fama-French 12-industry classification: </w:t>
      </w:r>
      <w:r w:rsidR="00A65773">
        <w:rPr>
          <w:rFonts w:ascii="Times New Roman" w:hAnsi="Times New Roman" w:cs="Times New Roman"/>
          <w:sz w:val="20"/>
          <w:szCs w:val="20"/>
        </w:rPr>
        <w:t>manufacturing, business equipment, and utilities.</w:t>
      </w:r>
      <w:r w:rsidR="006508B9">
        <w:rPr>
          <w:rFonts w:ascii="Times New Roman" w:hAnsi="Times New Roman" w:cs="Times New Roman"/>
          <w:sz w:val="20"/>
          <w:szCs w:val="20"/>
        </w:rPr>
        <w:t xml:space="preserve"> </w:t>
      </w:r>
      <w:r w:rsidR="00560624">
        <w:rPr>
          <w:rFonts w:ascii="Times New Roman" w:hAnsi="Times New Roman" w:cs="Times New Roman"/>
          <w:sz w:val="20"/>
          <w:szCs w:val="20"/>
        </w:rPr>
        <w:t xml:space="preserve">Columns </w:t>
      </w:r>
      <w:r w:rsidR="00AB1B98">
        <w:rPr>
          <w:rFonts w:ascii="Times New Roman" w:hAnsi="Times New Roman" w:cs="Times New Roman"/>
          <w:sz w:val="20"/>
          <w:szCs w:val="20"/>
        </w:rPr>
        <w:t>(1), (5), and (9) report the OLS estimation results. Columns (2), (6), and (10) report estimation results from quantile regressions estimated at the 25</w:t>
      </w:r>
      <w:r w:rsidR="00AB1B98" w:rsidRPr="000827E3">
        <w:rPr>
          <w:rFonts w:ascii="Times New Roman" w:hAnsi="Times New Roman" w:cs="Times New Roman"/>
          <w:sz w:val="20"/>
          <w:szCs w:val="20"/>
        </w:rPr>
        <w:t>th</w:t>
      </w:r>
      <w:r w:rsidR="00AB1B98">
        <w:rPr>
          <w:rFonts w:ascii="Times New Roman" w:hAnsi="Times New Roman" w:cs="Times New Roman"/>
          <w:sz w:val="20"/>
          <w:szCs w:val="20"/>
        </w:rPr>
        <w:t xml:space="preserve"> percentile. Columns (3), (7), and (11) report estimation results from quantile regressions estimated at the 75</w:t>
      </w:r>
      <w:r w:rsidR="00AB1B98" w:rsidRPr="000827E3">
        <w:rPr>
          <w:rFonts w:ascii="Times New Roman" w:hAnsi="Times New Roman" w:cs="Times New Roman"/>
          <w:sz w:val="20"/>
          <w:szCs w:val="20"/>
        </w:rPr>
        <w:t>th</w:t>
      </w:r>
      <w:r w:rsidR="00AB1B98">
        <w:rPr>
          <w:rFonts w:ascii="Times New Roman" w:hAnsi="Times New Roman" w:cs="Times New Roman"/>
          <w:sz w:val="20"/>
          <w:szCs w:val="20"/>
        </w:rPr>
        <w:t xml:space="preserve"> percentile. Columns (4), (8), and (12) report the so-called IQR coefficients, which equal the difference in coefficients on the same regressor between quantile regressions estimated at the 75</w:t>
      </w:r>
      <w:r w:rsidR="00AB1B98" w:rsidRPr="000827E3">
        <w:rPr>
          <w:rFonts w:ascii="Times New Roman" w:hAnsi="Times New Roman" w:cs="Times New Roman"/>
          <w:sz w:val="20"/>
          <w:szCs w:val="20"/>
          <w:vertAlign w:val="superscript"/>
        </w:rPr>
        <w:t>th</w:t>
      </w:r>
      <w:r w:rsidR="00AB1B98">
        <w:rPr>
          <w:rFonts w:ascii="Times New Roman" w:hAnsi="Times New Roman" w:cs="Times New Roman"/>
          <w:sz w:val="20"/>
          <w:szCs w:val="20"/>
        </w:rPr>
        <w:t xml:space="preserve"> and 25</w:t>
      </w:r>
      <w:r w:rsidR="00AB1B98" w:rsidRPr="00AE2784">
        <w:rPr>
          <w:rFonts w:ascii="Times New Roman" w:hAnsi="Times New Roman" w:cs="Times New Roman"/>
          <w:sz w:val="20"/>
          <w:szCs w:val="20"/>
          <w:vertAlign w:val="superscript"/>
        </w:rPr>
        <w:t>th</w:t>
      </w:r>
      <w:r w:rsidR="00AB1B98">
        <w:rPr>
          <w:rFonts w:ascii="Times New Roman" w:hAnsi="Times New Roman" w:cs="Times New Roman"/>
          <w:sz w:val="20"/>
          <w:szCs w:val="20"/>
        </w:rPr>
        <w:t xml:space="preserve"> percentiles.</w:t>
      </w:r>
      <w:r w:rsidR="005E44FC">
        <w:rPr>
          <w:rFonts w:ascii="Times New Roman" w:hAnsi="Times New Roman" w:cs="Times New Roman"/>
          <w:sz w:val="20"/>
          <w:szCs w:val="20"/>
        </w:rPr>
        <w:t xml:space="preserve"> The </w:t>
      </w:r>
      <w:r w:rsidR="00174EF6">
        <w:rPr>
          <w:rFonts w:ascii="Times New Roman" w:hAnsi="Times New Roman" w:cs="Times New Roman"/>
          <w:sz w:val="20"/>
          <w:szCs w:val="20"/>
        </w:rPr>
        <w:t xml:space="preserve">regression model </w:t>
      </w:r>
      <w:r w:rsidR="005E44FC">
        <w:rPr>
          <w:rFonts w:ascii="Times New Roman" w:hAnsi="Times New Roman" w:cs="Times New Roman"/>
          <w:sz w:val="20"/>
          <w:szCs w:val="20"/>
        </w:rPr>
        <w:t>is:</w:t>
      </w:r>
    </w:p>
    <w:p w14:paraId="73AA0FFA" w14:textId="77777777" w:rsidR="00790D54" w:rsidRPr="001A533F" w:rsidRDefault="005E44FC" w:rsidP="005E44FC">
      <w:pPr>
        <w:jc w:val="center"/>
        <w:rPr>
          <w:rFonts w:ascii="Times New Roman" w:hAnsi="Times New Roman" w:cs="Times New Roman"/>
        </w:rPr>
      </w:pPr>
      <w:proofErr w:type="spellStart"/>
      <w:r w:rsidRPr="001A533F">
        <w:rPr>
          <w:rFonts w:ascii="Times New Roman" w:hAnsi="Times New Roman" w:cs="Times New Roman"/>
          <w:i/>
        </w:rPr>
        <w:t>m</w:t>
      </w:r>
      <w:r w:rsidRPr="001A533F">
        <w:rPr>
          <w:rFonts w:ascii="Times New Roman" w:hAnsi="Times New Roman" w:cs="Times New Roman"/>
          <w:i/>
          <w:vertAlign w:val="subscript"/>
        </w:rPr>
        <w:t>it</w:t>
      </w:r>
      <w:proofErr w:type="spellEnd"/>
      <w:r w:rsidRPr="001A533F">
        <w:rPr>
          <w:rFonts w:ascii="Times New Roman" w:hAnsi="Times New Roman" w:cs="Times New Roman"/>
          <w:i/>
        </w:rPr>
        <w:t xml:space="preserve"> = α</w:t>
      </w:r>
      <w:r w:rsidRPr="001A533F">
        <w:rPr>
          <w:rFonts w:ascii="Times New Roman" w:hAnsi="Times New Roman" w:cs="Times New Roman"/>
          <w:i/>
          <w:vertAlign w:val="subscript"/>
        </w:rPr>
        <w:t>0jt</w:t>
      </w:r>
      <w:r w:rsidRPr="001A533F">
        <w:rPr>
          <w:rFonts w:ascii="Times New Roman" w:hAnsi="Times New Roman" w:cs="Times New Roman"/>
          <w:i/>
        </w:rPr>
        <w:t xml:space="preserve"> + α</w:t>
      </w:r>
      <w:r w:rsidRPr="001A533F">
        <w:rPr>
          <w:rFonts w:ascii="Times New Roman" w:hAnsi="Times New Roman" w:cs="Times New Roman"/>
          <w:i/>
          <w:vertAlign w:val="subscript"/>
        </w:rPr>
        <w:t>1jt</w:t>
      </w:r>
      <w:r w:rsidRPr="001A533F">
        <w:rPr>
          <w:rFonts w:ascii="Times New Roman" w:hAnsi="Times New Roman" w:cs="Times New Roman"/>
          <w:i/>
        </w:rPr>
        <w:t>b</w:t>
      </w:r>
      <w:r w:rsidRPr="001A533F">
        <w:rPr>
          <w:rFonts w:ascii="Times New Roman" w:hAnsi="Times New Roman" w:cs="Times New Roman"/>
          <w:i/>
          <w:vertAlign w:val="subscript"/>
        </w:rPr>
        <w:t xml:space="preserve">it </w:t>
      </w:r>
      <w:r w:rsidRPr="001A533F">
        <w:rPr>
          <w:rFonts w:ascii="Times New Roman" w:hAnsi="Times New Roman" w:cs="Times New Roman"/>
          <w:i/>
        </w:rPr>
        <w:t>+ α</w:t>
      </w:r>
      <w:r w:rsidRPr="001A533F">
        <w:rPr>
          <w:rFonts w:ascii="Times New Roman" w:hAnsi="Times New Roman" w:cs="Times New Roman"/>
          <w:i/>
          <w:vertAlign w:val="subscript"/>
        </w:rPr>
        <w:t xml:space="preserve">2jt </w:t>
      </w:r>
      <w:r w:rsidRPr="001A533F">
        <w:rPr>
          <w:rFonts w:ascii="Times New Roman" w:hAnsi="Times New Roman" w:cs="Times New Roman"/>
        </w:rPr>
        <w:t>|</w:t>
      </w:r>
      <w:proofErr w:type="spellStart"/>
      <w:r w:rsidRPr="001A533F">
        <w:rPr>
          <w:rFonts w:ascii="Times New Roman" w:hAnsi="Times New Roman" w:cs="Times New Roman"/>
          <w:i/>
        </w:rPr>
        <w:t>earn</w:t>
      </w:r>
      <w:r w:rsidRPr="001A533F">
        <w:rPr>
          <w:rFonts w:ascii="Times New Roman" w:hAnsi="Times New Roman" w:cs="Times New Roman"/>
          <w:i/>
          <w:vertAlign w:val="subscript"/>
        </w:rPr>
        <w:t>it</w:t>
      </w:r>
      <w:proofErr w:type="spellEnd"/>
      <w:r w:rsidRPr="001A533F">
        <w:rPr>
          <w:rFonts w:ascii="Times New Roman" w:hAnsi="Times New Roman" w:cs="Times New Roman"/>
        </w:rPr>
        <w:t>|</w:t>
      </w:r>
      <w:r w:rsidRPr="001A533F">
        <w:rPr>
          <w:rFonts w:ascii="Times New Roman" w:hAnsi="Times New Roman" w:cs="Times New Roman"/>
          <w:i/>
        </w:rPr>
        <w:t>+ α</w:t>
      </w:r>
      <w:r w:rsidRPr="001A533F">
        <w:rPr>
          <w:rFonts w:ascii="Times New Roman" w:hAnsi="Times New Roman" w:cs="Times New Roman"/>
          <w:i/>
          <w:vertAlign w:val="subscript"/>
        </w:rPr>
        <w:t>3jt</w:t>
      </w:r>
      <w:r w:rsidRPr="001A533F">
        <w:rPr>
          <w:rFonts w:ascii="Times New Roman" w:hAnsi="Times New Roman" w:cs="Times New Roman"/>
          <w:i/>
        </w:rPr>
        <w:t>I</w:t>
      </w:r>
      <w:r w:rsidRPr="001A533F">
        <w:rPr>
          <w:rFonts w:ascii="Times New Roman" w:hAnsi="Times New Roman" w:cs="Times New Roman"/>
          <w:i/>
          <w:vertAlign w:val="subscript"/>
        </w:rPr>
        <w:t>(EARN&lt;0)</w:t>
      </w:r>
      <w:r w:rsidRPr="001A533F">
        <w:rPr>
          <w:rFonts w:ascii="Times New Roman" w:hAnsi="Times New Roman" w:cs="Times New Roman"/>
        </w:rPr>
        <w:t>×|</w:t>
      </w:r>
      <w:proofErr w:type="spellStart"/>
      <w:r w:rsidRPr="001A533F">
        <w:rPr>
          <w:rFonts w:ascii="Times New Roman" w:hAnsi="Times New Roman" w:cs="Times New Roman"/>
          <w:i/>
        </w:rPr>
        <w:t>earn</w:t>
      </w:r>
      <w:r w:rsidRPr="001A533F">
        <w:rPr>
          <w:rFonts w:ascii="Times New Roman" w:hAnsi="Times New Roman" w:cs="Times New Roman"/>
          <w:i/>
          <w:vertAlign w:val="subscript"/>
        </w:rPr>
        <w:t>it</w:t>
      </w:r>
      <w:proofErr w:type="spellEnd"/>
      <w:r w:rsidRPr="001A533F">
        <w:rPr>
          <w:rFonts w:ascii="Times New Roman" w:hAnsi="Times New Roman" w:cs="Times New Roman"/>
        </w:rPr>
        <w:t>|</w:t>
      </w:r>
      <w:r w:rsidRPr="001A533F">
        <w:rPr>
          <w:rFonts w:ascii="Times New Roman" w:hAnsi="Times New Roman" w:cs="Times New Roman"/>
          <w:i/>
        </w:rPr>
        <w:t xml:space="preserve"> + α</w:t>
      </w:r>
      <w:r w:rsidRPr="001A533F">
        <w:rPr>
          <w:rFonts w:ascii="Times New Roman" w:hAnsi="Times New Roman" w:cs="Times New Roman"/>
          <w:i/>
          <w:vertAlign w:val="subscript"/>
        </w:rPr>
        <w:t>4jt</w:t>
      </w:r>
      <w:r w:rsidRPr="001A533F">
        <w:rPr>
          <w:rFonts w:ascii="Times New Roman" w:hAnsi="Times New Roman" w:cs="Times New Roman"/>
          <w:i/>
        </w:rPr>
        <w:t>LEV</w:t>
      </w:r>
      <w:r w:rsidRPr="001A533F">
        <w:rPr>
          <w:rFonts w:ascii="Times New Roman" w:hAnsi="Times New Roman" w:cs="Times New Roman"/>
          <w:i/>
          <w:vertAlign w:val="subscript"/>
        </w:rPr>
        <w:t>it</w:t>
      </w:r>
      <w:r w:rsidRPr="001A533F">
        <w:rPr>
          <w:rFonts w:ascii="Times New Roman" w:hAnsi="Times New Roman" w:cs="Times New Roman"/>
          <w:i/>
        </w:rPr>
        <w:t xml:space="preserve"> + α</w:t>
      </w:r>
      <w:r w:rsidRPr="001A533F">
        <w:rPr>
          <w:rFonts w:ascii="Times New Roman" w:hAnsi="Times New Roman" w:cs="Times New Roman"/>
          <w:i/>
          <w:vertAlign w:val="subscript"/>
        </w:rPr>
        <w:t>5jt</w:t>
      </w:r>
      <w:r w:rsidRPr="001A533F">
        <w:rPr>
          <w:rFonts w:ascii="Times New Roman" w:hAnsi="Times New Roman" w:cs="Times New Roman"/>
          <w:i/>
        </w:rPr>
        <w:t>rd</w:t>
      </w:r>
      <w:r w:rsidRPr="001A533F">
        <w:rPr>
          <w:rFonts w:ascii="Times New Roman" w:hAnsi="Times New Roman" w:cs="Times New Roman"/>
          <w:i/>
          <w:vertAlign w:val="subscript"/>
        </w:rPr>
        <w:t>it</w:t>
      </w:r>
      <w:r w:rsidRPr="001A533F">
        <w:rPr>
          <w:rFonts w:ascii="Times New Roman" w:hAnsi="Times New Roman" w:cs="Times New Roman"/>
          <w:i/>
        </w:rPr>
        <w:t xml:space="preserve"> + </w:t>
      </w:r>
      <w:proofErr w:type="spellStart"/>
      <w:r w:rsidRPr="001A533F">
        <w:rPr>
          <w:rFonts w:ascii="Times New Roman" w:hAnsi="Times New Roman" w:cs="Times New Roman"/>
          <w:i/>
        </w:rPr>
        <w:t>ε</w:t>
      </w:r>
      <w:r w:rsidRPr="001A533F">
        <w:rPr>
          <w:rFonts w:ascii="Times New Roman" w:hAnsi="Times New Roman" w:cs="Times New Roman"/>
          <w:i/>
          <w:vertAlign w:val="subscript"/>
        </w:rPr>
        <w:t>it</w:t>
      </w:r>
      <w:proofErr w:type="spellEnd"/>
      <w:r w:rsidRPr="001A533F">
        <w:rPr>
          <w:rFonts w:ascii="Times New Roman" w:hAnsi="Times New Roman" w:cs="Times New Roman"/>
          <w:i/>
        </w:rPr>
        <w:t>,</w:t>
      </w:r>
    </w:p>
    <w:p w14:paraId="5E33EDC4" w14:textId="379057F1" w:rsidR="006A0B5D" w:rsidRPr="00A3594E" w:rsidRDefault="005E44FC" w:rsidP="008F656C">
      <w:pPr>
        <w:jc w:val="both"/>
        <w:rPr>
          <w:rFonts w:ascii="Times New Roman" w:hAnsi="Times New Roman" w:cs="Times New Roman"/>
          <w:sz w:val="20"/>
          <w:szCs w:val="20"/>
        </w:rPr>
      </w:pPr>
      <w:r w:rsidRPr="005E44FC">
        <w:rPr>
          <w:rFonts w:ascii="Times New Roman" w:hAnsi="Times New Roman" w:cs="Times New Roman"/>
          <w:sz w:val="20"/>
          <w:szCs w:val="20"/>
        </w:rPr>
        <w:t xml:space="preserve">where </w:t>
      </w:r>
      <w:proofErr w:type="spellStart"/>
      <w:r w:rsidRPr="001A533F">
        <w:rPr>
          <w:rFonts w:ascii="Times New Roman" w:hAnsi="Times New Roman" w:cs="Times New Roman"/>
          <w:i/>
        </w:rPr>
        <w:t>m</w:t>
      </w:r>
      <w:r w:rsidRPr="001A533F">
        <w:rPr>
          <w:rFonts w:ascii="Times New Roman" w:hAnsi="Times New Roman" w:cs="Times New Roman"/>
          <w:i/>
          <w:vertAlign w:val="subscript"/>
        </w:rPr>
        <w:t>it</w:t>
      </w:r>
      <w:proofErr w:type="spellEnd"/>
      <w:r w:rsidRPr="005E44FC">
        <w:rPr>
          <w:rFonts w:ascii="Times New Roman" w:hAnsi="Times New Roman" w:cs="Times New Roman"/>
          <w:sz w:val="20"/>
          <w:szCs w:val="20"/>
          <w:vertAlign w:val="subscript"/>
        </w:rPr>
        <w:t xml:space="preserve"> </w:t>
      </w:r>
      <w:r w:rsidRPr="005E44FC">
        <w:rPr>
          <w:rFonts w:ascii="Times New Roman" w:hAnsi="Times New Roman" w:cs="Times New Roman"/>
          <w:sz w:val="20"/>
          <w:szCs w:val="20"/>
        </w:rPr>
        <w:t>is log</w:t>
      </w:r>
      <w:r w:rsidR="00E24F75">
        <w:rPr>
          <w:rFonts w:ascii="Times New Roman" w:hAnsi="Times New Roman" w:cs="Times New Roman"/>
          <w:sz w:val="20"/>
          <w:szCs w:val="20"/>
        </w:rPr>
        <w:t xml:space="preserve"> (modified)</w:t>
      </w:r>
      <w:r w:rsidRPr="005E44FC">
        <w:rPr>
          <w:rFonts w:ascii="Times New Roman" w:hAnsi="Times New Roman" w:cs="Times New Roman"/>
          <w:sz w:val="20"/>
          <w:szCs w:val="20"/>
        </w:rPr>
        <w:t xml:space="preserve"> market value of equity</w:t>
      </w:r>
      <w:r w:rsidRPr="001A533F">
        <w:rPr>
          <w:rFonts w:ascii="Times New Roman" w:hAnsi="Times New Roman" w:cs="Times New Roman"/>
        </w:rPr>
        <w:t xml:space="preserve">, </w:t>
      </w:r>
      <w:r w:rsidRPr="001A533F">
        <w:rPr>
          <w:rFonts w:ascii="Times New Roman" w:hAnsi="Times New Roman" w:cs="Times New Roman"/>
          <w:i/>
        </w:rPr>
        <w:t>b</w:t>
      </w:r>
      <w:r w:rsidRPr="001A533F">
        <w:rPr>
          <w:rFonts w:ascii="Times New Roman" w:hAnsi="Times New Roman" w:cs="Times New Roman"/>
          <w:i/>
          <w:vertAlign w:val="subscript"/>
        </w:rPr>
        <w:t>it</w:t>
      </w:r>
      <w:r w:rsidRPr="005E44FC">
        <w:rPr>
          <w:rFonts w:ascii="Times New Roman" w:hAnsi="Times New Roman" w:cs="Times New Roman"/>
          <w:sz w:val="24"/>
          <w:szCs w:val="24"/>
        </w:rPr>
        <w:t xml:space="preserve"> </w:t>
      </w:r>
      <w:r w:rsidRPr="005E44FC">
        <w:rPr>
          <w:rFonts w:ascii="Times New Roman" w:hAnsi="Times New Roman" w:cs="Times New Roman"/>
          <w:sz w:val="20"/>
          <w:szCs w:val="20"/>
        </w:rPr>
        <w:t xml:space="preserve">is log book value of </w:t>
      </w:r>
      <w:r w:rsidRPr="00E9403C">
        <w:rPr>
          <w:rFonts w:ascii="Times New Roman" w:hAnsi="Times New Roman" w:cs="Times New Roman"/>
          <w:sz w:val="20"/>
          <w:szCs w:val="20"/>
        </w:rPr>
        <w:t xml:space="preserve">equity, </w:t>
      </w:r>
      <w:r w:rsidRPr="00DD74AD">
        <w:rPr>
          <w:rFonts w:ascii="Times New Roman" w:hAnsi="Times New Roman" w:cs="Times New Roman"/>
          <w:sz w:val="20"/>
          <w:szCs w:val="20"/>
        </w:rPr>
        <w:t>|</w:t>
      </w:r>
      <w:proofErr w:type="spellStart"/>
      <w:r w:rsidRPr="00DD74AD">
        <w:rPr>
          <w:rFonts w:ascii="Times New Roman" w:hAnsi="Times New Roman" w:cs="Times New Roman"/>
          <w:i/>
          <w:sz w:val="20"/>
          <w:szCs w:val="20"/>
        </w:rPr>
        <w:t>earn</w:t>
      </w:r>
      <w:r w:rsidRPr="00DD74AD">
        <w:rPr>
          <w:rFonts w:ascii="Times New Roman" w:hAnsi="Times New Roman" w:cs="Times New Roman"/>
          <w:i/>
          <w:sz w:val="20"/>
          <w:szCs w:val="20"/>
          <w:vertAlign w:val="subscript"/>
        </w:rPr>
        <w:t>it</w:t>
      </w:r>
      <w:proofErr w:type="spellEnd"/>
      <w:r w:rsidRPr="00DD74AD">
        <w:rPr>
          <w:rFonts w:ascii="Times New Roman" w:hAnsi="Times New Roman" w:cs="Times New Roman"/>
          <w:sz w:val="20"/>
          <w:szCs w:val="20"/>
        </w:rPr>
        <w:t>|</w:t>
      </w:r>
      <w:r w:rsidRPr="00E9403C">
        <w:rPr>
          <w:rFonts w:ascii="Times New Roman" w:hAnsi="Times New Roman" w:cs="Times New Roman"/>
          <w:sz w:val="20"/>
          <w:szCs w:val="20"/>
        </w:rPr>
        <w:t xml:space="preserve"> </w:t>
      </w:r>
      <w:r w:rsidR="00762075" w:rsidRPr="00D928EC">
        <w:rPr>
          <w:rFonts w:ascii="Times New Roman" w:hAnsi="Times New Roman" w:cs="Times New Roman"/>
          <w:sz w:val="20"/>
          <w:szCs w:val="20"/>
        </w:rPr>
        <w:t>is log absolute adjusted earnings,</w:t>
      </w:r>
      <w:r w:rsidR="00762075" w:rsidRPr="00301DCC">
        <w:rPr>
          <w:rFonts w:ascii="Times New Roman" w:hAnsi="Times New Roman" w:cs="Times New Roman"/>
          <w:sz w:val="20"/>
          <w:szCs w:val="20"/>
        </w:rPr>
        <w:t xml:space="preserve"> </w:t>
      </w:r>
      <w:r w:rsidRPr="00DD74AD">
        <w:rPr>
          <w:rFonts w:ascii="Times New Roman" w:hAnsi="Times New Roman" w:cs="Times New Roman"/>
          <w:i/>
          <w:sz w:val="20"/>
          <w:szCs w:val="20"/>
        </w:rPr>
        <w:t>I</w:t>
      </w:r>
      <w:r w:rsidRPr="00DD74AD">
        <w:rPr>
          <w:rFonts w:ascii="Times New Roman" w:hAnsi="Times New Roman" w:cs="Times New Roman"/>
          <w:i/>
          <w:sz w:val="20"/>
          <w:szCs w:val="20"/>
          <w:vertAlign w:val="subscript"/>
        </w:rPr>
        <w:t>(EARN&lt;0)</w:t>
      </w:r>
      <w:r w:rsidR="00762075" w:rsidRPr="00E9403C">
        <w:rPr>
          <w:rFonts w:ascii="Times New Roman" w:hAnsi="Times New Roman" w:cs="Times New Roman"/>
          <w:sz w:val="20"/>
          <w:szCs w:val="20"/>
          <w:vertAlign w:val="subscript"/>
        </w:rPr>
        <w:t xml:space="preserve"> </w:t>
      </w:r>
      <w:r w:rsidR="00762075" w:rsidRPr="00D928EC">
        <w:rPr>
          <w:rFonts w:ascii="Times New Roman" w:hAnsi="Times New Roman" w:cs="Times New Roman"/>
          <w:sz w:val="20"/>
          <w:szCs w:val="20"/>
        </w:rPr>
        <w:t xml:space="preserve">is </w:t>
      </w:r>
      <w:r w:rsidR="00762075" w:rsidRPr="00EF22A6">
        <w:rPr>
          <w:rFonts w:ascii="Times New Roman" w:hAnsi="Times New Roman" w:cs="Times New Roman"/>
          <w:sz w:val="20"/>
          <w:szCs w:val="20"/>
        </w:rPr>
        <w:t>an indicator</w:t>
      </w:r>
      <w:r w:rsidR="00762075" w:rsidRPr="00EF22A6">
        <w:rPr>
          <w:rFonts w:ascii="Times New Roman" w:hAnsi="Times New Roman" w:cs="Times New Roman"/>
          <w:sz w:val="20"/>
          <w:szCs w:val="20"/>
          <w:vertAlign w:val="subscript"/>
        </w:rPr>
        <w:t xml:space="preserve"> </w:t>
      </w:r>
      <w:r w:rsidR="00762075" w:rsidRPr="00EF22A6">
        <w:rPr>
          <w:rFonts w:ascii="Times New Roman" w:hAnsi="Times New Roman" w:cs="Times New Roman"/>
          <w:sz w:val="20"/>
          <w:szCs w:val="20"/>
        </w:rPr>
        <w:t>for firms with negative adjusted earnings</w:t>
      </w:r>
      <w:r w:rsidRPr="00EF22A6">
        <w:rPr>
          <w:rFonts w:ascii="Times New Roman" w:hAnsi="Times New Roman" w:cs="Times New Roman"/>
          <w:i/>
          <w:sz w:val="20"/>
          <w:szCs w:val="20"/>
        </w:rPr>
        <w:t>,</w:t>
      </w:r>
      <w:r w:rsidRPr="00DD74AD">
        <w:rPr>
          <w:rFonts w:ascii="Times New Roman" w:hAnsi="Times New Roman" w:cs="Times New Roman"/>
          <w:i/>
          <w:sz w:val="20"/>
          <w:szCs w:val="20"/>
          <w:vertAlign w:val="subscript"/>
        </w:rPr>
        <w:t xml:space="preserve"> </w:t>
      </w:r>
      <w:proofErr w:type="spellStart"/>
      <w:r w:rsidRPr="00DD74AD">
        <w:rPr>
          <w:rFonts w:ascii="Times New Roman" w:hAnsi="Times New Roman" w:cs="Times New Roman"/>
          <w:i/>
          <w:sz w:val="20"/>
          <w:szCs w:val="20"/>
        </w:rPr>
        <w:t>LEV</w:t>
      </w:r>
      <w:r w:rsidRPr="00DD74AD">
        <w:rPr>
          <w:rFonts w:ascii="Times New Roman" w:hAnsi="Times New Roman" w:cs="Times New Roman"/>
          <w:i/>
          <w:sz w:val="20"/>
          <w:szCs w:val="20"/>
          <w:vertAlign w:val="subscript"/>
        </w:rPr>
        <w:t>it</w:t>
      </w:r>
      <w:proofErr w:type="spellEnd"/>
      <w:r w:rsidR="00762075" w:rsidRPr="00DD74AD">
        <w:rPr>
          <w:rFonts w:ascii="Times New Roman" w:hAnsi="Times New Roman" w:cs="Times New Roman"/>
          <w:i/>
          <w:sz w:val="20"/>
          <w:szCs w:val="20"/>
          <w:vertAlign w:val="subscript"/>
        </w:rPr>
        <w:t xml:space="preserve"> </w:t>
      </w:r>
      <w:r w:rsidR="00762075" w:rsidRPr="00E9403C">
        <w:rPr>
          <w:rFonts w:ascii="Times New Roman" w:hAnsi="Times New Roman" w:cs="Times New Roman"/>
          <w:sz w:val="20"/>
          <w:szCs w:val="20"/>
        </w:rPr>
        <w:t>is book leverage,</w:t>
      </w:r>
      <w:r w:rsidRPr="00DD74AD">
        <w:rPr>
          <w:rFonts w:ascii="Times New Roman" w:hAnsi="Times New Roman" w:cs="Times New Roman"/>
          <w:i/>
          <w:sz w:val="20"/>
          <w:szCs w:val="20"/>
          <w:vertAlign w:val="subscript"/>
        </w:rPr>
        <w:t xml:space="preserve"> </w:t>
      </w:r>
      <w:proofErr w:type="spellStart"/>
      <w:r w:rsidRPr="00DD74AD">
        <w:rPr>
          <w:rFonts w:ascii="Times New Roman" w:hAnsi="Times New Roman" w:cs="Times New Roman"/>
          <w:i/>
          <w:sz w:val="20"/>
          <w:szCs w:val="20"/>
        </w:rPr>
        <w:t>rd</w:t>
      </w:r>
      <w:r w:rsidRPr="00DD74AD">
        <w:rPr>
          <w:rFonts w:ascii="Times New Roman" w:hAnsi="Times New Roman" w:cs="Times New Roman"/>
          <w:i/>
          <w:sz w:val="20"/>
          <w:szCs w:val="20"/>
          <w:vertAlign w:val="subscript"/>
        </w:rPr>
        <w:t>it</w:t>
      </w:r>
      <w:proofErr w:type="spellEnd"/>
      <w:r w:rsidR="00A3594E" w:rsidRPr="00E9403C">
        <w:rPr>
          <w:rFonts w:ascii="Times New Roman" w:hAnsi="Times New Roman" w:cs="Times New Roman"/>
          <w:sz w:val="20"/>
          <w:szCs w:val="20"/>
        </w:rPr>
        <w:t xml:space="preserve"> is log</w:t>
      </w:r>
      <w:r w:rsidR="00E90F80">
        <w:rPr>
          <w:rFonts w:ascii="Times New Roman" w:hAnsi="Times New Roman" w:cs="Times New Roman"/>
          <w:sz w:val="20"/>
          <w:szCs w:val="20"/>
        </w:rPr>
        <w:t xml:space="preserve">(1 + </w:t>
      </w:r>
      <w:r w:rsidR="00A3594E" w:rsidRPr="00E9403C">
        <w:rPr>
          <w:rFonts w:ascii="Times New Roman" w:hAnsi="Times New Roman" w:cs="Times New Roman"/>
          <w:sz w:val="20"/>
          <w:szCs w:val="20"/>
        </w:rPr>
        <w:t>capitalized R&amp;D</w:t>
      </w:r>
      <w:r w:rsidR="00E90F80">
        <w:rPr>
          <w:rFonts w:ascii="Times New Roman" w:hAnsi="Times New Roman" w:cs="Times New Roman"/>
          <w:sz w:val="20"/>
          <w:szCs w:val="20"/>
        </w:rPr>
        <w:t>)</w:t>
      </w:r>
      <w:r w:rsidR="00A3594E">
        <w:rPr>
          <w:rFonts w:ascii="Times New Roman" w:hAnsi="Times New Roman" w:cs="Times New Roman"/>
          <w:sz w:val="20"/>
          <w:szCs w:val="20"/>
        </w:rPr>
        <w:t xml:space="preserve">, and </w:t>
      </w:r>
      <w:proofErr w:type="spellStart"/>
      <w:r w:rsidR="00A3594E" w:rsidRPr="001A533F">
        <w:rPr>
          <w:rFonts w:ascii="Times New Roman" w:hAnsi="Times New Roman" w:cs="Times New Roman"/>
          <w:i/>
        </w:rPr>
        <w:t>ε</w:t>
      </w:r>
      <w:r w:rsidR="00A3594E" w:rsidRPr="001A533F">
        <w:rPr>
          <w:rFonts w:ascii="Times New Roman" w:hAnsi="Times New Roman" w:cs="Times New Roman"/>
          <w:i/>
          <w:vertAlign w:val="subscript"/>
        </w:rPr>
        <w:t>it</w:t>
      </w:r>
      <w:proofErr w:type="spellEnd"/>
      <w:r w:rsidR="00A3594E">
        <w:rPr>
          <w:rFonts w:ascii="Times New Roman" w:hAnsi="Times New Roman" w:cs="Times New Roman"/>
          <w:i/>
          <w:sz w:val="24"/>
          <w:szCs w:val="24"/>
          <w:vertAlign w:val="subscript"/>
        </w:rPr>
        <w:t xml:space="preserve"> </w:t>
      </w:r>
      <w:r w:rsidR="00A3594E" w:rsidRPr="00A3594E">
        <w:rPr>
          <w:rFonts w:ascii="Times New Roman" w:hAnsi="Times New Roman" w:cs="Times New Roman"/>
          <w:sz w:val="20"/>
          <w:szCs w:val="20"/>
        </w:rPr>
        <w:t>is an error term.</w:t>
      </w:r>
      <w:r w:rsidR="00B75901">
        <w:rPr>
          <w:rFonts w:ascii="Times New Roman" w:hAnsi="Times New Roman" w:cs="Times New Roman"/>
          <w:sz w:val="20"/>
          <w:szCs w:val="20"/>
        </w:rPr>
        <w:t xml:space="preserve"> The </w:t>
      </w:r>
      <w:r w:rsidR="00EE41B5">
        <w:rPr>
          <w:rFonts w:ascii="Times New Roman" w:hAnsi="Times New Roman" w:cs="Times New Roman"/>
          <w:sz w:val="20"/>
          <w:szCs w:val="20"/>
        </w:rPr>
        <w:t xml:space="preserve">estimation </w:t>
      </w:r>
      <w:r w:rsidR="00B75901">
        <w:rPr>
          <w:rFonts w:ascii="Times New Roman" w:hAnsi="Times New Roman" w:cs="Times New Roman"/>
          <w:sz w:val="20"/>
          <w:szCs w:val="20"/>
        </w:rPr>
        <w:t xml:space="preserve">sample </w:t>
      </w:r>
      <w:r w:rsidR="001F0878">
        <w:rPr>
          <w:rFonts w:ascii="Times New Roman" w:hAnsi="Times New Roman" w:cs="Times New Roman"/>
          <w:sz w:val="20"/>
          <w:szCs w:val="20"/>
        </w:rPr>
        <w:t>includes 12</w:t>
      </w:r>
      <w:r w:rsidR="00990177">
        <w:rPr>
          <w:rFonts w:ascii="Times New Roman" w:hAnsi="Times New Roman" w:cs="Times New Roman"/>
          <w:sz w:val="20"/>
          <w:szCs w:val="20"/>
        </w:rPr>
        <w:t>9</w:t>
      </w:r>
      <w:r w:rsidR="001F0878">
        <w:rPr>
          <w:rFonts w:ascii="Times New Roman" w:hAnsi="Times New Roman" w:cs="Times New Roman"/>
          <w:sz w:val="20"/>
          <w:szCs w:val="20"/>
        </w:rPr>
        <w:t>,</w:t>
      </w:r>
      <w:r w:rsidR="00990177">
        <w:rPr>
          <w:rFonts w:ascii="Times New Roman" w:hAnsi="Times New Roman" w:cs="Times New Roman"/>
          <w:sz w:val="20"/>
          <w:szCs w:val="20"/>
        </w:rPr>
        <w:t>074</w:t>
      </w:r>
      <w:r w:rsidR="001F0878">
        <w:rPr>
          <w:rFonts w:ascii="Times New Roman" w:hAnsi="Times New Roman" w:cs="Times New Roman"/>
          <w:sz w:val="20"/>
          <w:szCs w:val="20"/>
        </w:rPr>
        <w:t xml:space="preserve"> firm-year observations. The sample period </w:t>
      </w:r>
      <w:r w:rsidR="00B75901">
        <w:rPr>
          <w:rFonts w:ascii="Times New Roman" w:hAnsi="Times New Roman" w:cs="Times New Roman"/>
          <w:sz w:val="20"/>
          <w:szCs w:val="20"/>
        </w:rPr>
        <w:t>runs from 1975 to 20</w:t>
      </w:r>
      <w:r w:rsidR="00D554C7">
        <w:rPr>
          <w:rFonts w:ascii="Times New Roman" w:hAnsi="Times New Roman" w:cs="Times New Roman"/>
          <w:sz w:val="20"/>
          <w:szCs w:val="20"/>
        </w:rPr>
        <w:t>22</w:t>
      </w:r>
      <w:r w:rsidR="00B75901">
        <w:rPr>
          <w:rFonts w:ascii="Times New Roman" w:hAnsi="Times New Roman" w:cs="Times New Roman"/>
          <w:sz w:val="20"/>
          <w:szCs w:val="20"/>
        </w:rPr>
        <w:t xml:space="preserve"> (4</w:t>
      </w:r>
      <w:r w:rsidR="00D554C7">
        <w:rPr>
          <w:rFonts w:ascii="Times New Roman" w:hAnsi="Times New Roman" w:cs="Times New Roman"/>
          <w:sz w:val="20"/>
          <w:szCs w:val="20"/>
        </w:rPr>
        <w:t>8</w:t>
      </w:r>
      <w:r w:rsidR="00B75901">
        <w:rPr>
          <w:rFonts w:ascii="Times New Roman" w:hAnsi="Times New Roman" w:cs="Times New Roman"/>
          <w:sz w:val="20"/>
          <w:szCs w:val="20"/>
        </w:rPr>
        <w:t xml:space="preserve"> years).</w:t>
      </w:r>
      <w:r w:rsidR="00CA5D9F">
        <w:rPr>
          <w:rFonts w:ascii="Times New Roman" w:hAnsi="Times New Roman" w:cs="Times New Roman"/>
          <w:sz w:val="20"/>
          <w:szCs w:val="20"/>
        </w:rPr>
        <w:t xml:space="preserve"> Detailed variable definitions are provided in the</w:t>
      </w:r>
      <w:r w:rsidR="00851822">
        <w:rPr>
          <w:rFonts w:ascii="Times New Roman" w:hAnsi="Times New Roman" w:cs="Times New Roman"/>
          <w:sz w:val="20"/>
          <w:szCs w:val="20"/>
        </w:rPr>
        <w:t xml:space="preserve"> </w:t>
      </w:r>
      <w:r w:rsidR="00CA5D9F">
        <w:rPr>
          <w:rFonts w:ascii="Times New Roman" w:hAnsi="Times New Roman" w:cs="Times New Roman"/>
          <w:sz w:val="20"/>
          <w:szCs w:val="20"/>
        </w:rPr>
        <w:t>Appendix.</w:t>
      </w:r>
    </w:p>
    <w:tbl>
      <w:tblPr>
        <w:tblW w:w="5000" w:type="pct"/>
        <w:tblLook w:val="04A0" w:firstRow="1" w:lastRow="0" w:firstColumn="1" w:lastColumn="0" w:noHBand="0" w:noVBand="1"/>
      </w:tblPr>
      <w:tblGrid>
        <w:gridCol w:w="1894"/>
        <w:gridCol w:w="805"/>
        <w:gridCol w:w="834"/>
        <w:gridCol w:w="834"/>
        <w:gridCol w:w="800"/>
        <w:gridCol w:w="800"/>
        <w:gridCol w:w="230"/>
        <w:gridCol w:w="846"/>
        <w:gridCol w:w="846"/>
        <w:gridCol w:w="846"/>
        <w:gridCol w:w="801"/>
        <w:gridCol w:w="222"/>
        <w:gridCol w:w="800"/>
        <w:gridCol w:w="800"/>
        <w:gridCol w:w="802"/>
        <w:gridCol w:w="800"/>
      </w:tblGrid>
      <w:tr w:rsidR="006A0B5D" w:rsidRPr="006D41DE" w14:paraId="240EF129" w14:textId="77777777" w:rsidTr="008E1E2D">
        <w:trPr>
          <w:trHeight w:val="300"/>
        </w:trPr>
        <w:tc>
          <w:tcPr>
            <w:tcW w:w="358" w:type="pct"/>
            <w:tcBorders>
              <w:top w:val="single" w:sz="4" w:space="0" w:color="auto"/>
              <w:left w:val="nil"/>
              <w:bottom w:val="nil"/>
              <w:right w:val="nil"/>
            </w:tcBorders>
            <w:noWrap/>
            <w:vAlign w:val="bottom"/>
            <w:hideMark/>
          </w:tcPr>
          <w:p w14:paraId="09357377" w14:textId="77777777" w:rsidR="006A0B5D" w:rsidRPr="006D41DE" w:rsidRDefault="006A0B5D" w:rsidP="006A0B5D">
            <w:pPr>
              <w:spacing w:after="0" w:line="240" w:lineRule="auto"/>
              <w:rPr>
                <w:rFonts w:ascii="Times New Roman" w:eastAsia="Times New Roman" w:hAnsi="Times New Roman" w:cs="Times New Roman"/>
                <w:sz w:val="20"/>
                <w:szCs w:val="20"/>
                <w:lang w:eastAsia="en-CA"/>
              </w:rPr>
            </w:pPr>
          </w:p>
        </w:tc>
        <w:tc>
          <w:tcPr>
            <w:tcW w:w="340" w:type="pct"/>
            <w:tcBorders>
              <w:top w:val="single" w:sz="4" w:space="0" w:color="auto"/>
              <w:left w:val="nil"/>
              <w:bottom w:val="nil"/>
              <w:right w:val="nil"/>
            </w:tcBorders>
            <w:noWrap/>
            <w:vAlign w:val="bottom"/>
            <w:hideMark/>
          </w:tcPr>
          <w:p w14:paraId="629B47FD" w14:textId="77777777" w:rsidR="006A0B5D" w:rsidRPr="006D41DE" w:rsidRDefault="006A0B5D" w:rsidP="006A0B5D">
            <w:pPr>
              <w:spacing w:after="0" w:line="240" w:lineRule="auto"/>
              <w:rPr>
                <w:rFonts w:ascii="Times New Roman" w:eastAsia="Times New Roman" w:hAnsi="Times New Roman" w:cs="Times New Roman"/>
                <w:sz w:val="20"/>
                <w:szCs w:val="20"/>
                <w:lang w:eastAsia="en-CA"/>
              </w:rPr>
            </w:pPr>
          </w:p>
        </w:tc>
        <w:tc>
          <w:tcPr>
            <w:tcW w:w="1336" w:type="pct"/>
            <w:gridSpan w:val="4"/>
            <w:tcBorders>
              <w:top w:val="single" w:sz="4" w:space="0" w:color="auto"/>
              <w:left w:val="nil"/>
              <w:right w:val="nil"/>
            </w:tcBorders>
            <w:noWrap/>
            <w:vAlign w:val="bottom"/>
            <w:hideMark/>
          </w:tcPr>
          <w:p w14:paraId="7A2591BE" w14:textId="77777777" w:rsidR="006A0B5D" w:rsidRPr="006D41DE" w:rsidRDefault="006A0B5D" w:rsidP="006A0B5D">
            <w:pPr>
              <w:spacing w:after="0" w:line="240" w:lineRule="auto"/>
              <w:jc w:val="center"/>
              <w:rPr>
                <w:rFonts w:ascii="Times New Roman" w:eastAsia="Times New Roman" w:hAnsi="Times New Roman" w:cs="Times New Roman"/>
                <w:b/>
                <w:bCs/>
                <w:color w:val="000000"/>
                <w:sz w:val="20"/>
                <w:szCs w:val="20"/>
                <w:lang w:eastAsia="en-CA"/>
              </w:rPr>
            </w:pPr>
            <w:r w:rsidRPr="006D41DE">
              <w:rPr>
                <w:rFonts w:ascii="Times New Roman" w:eastAsia="Times New Roman" w:hAnsi="Times New Roman" w:cs="Times New Roman"/>
                <w:b/>
                <w:bCs/>
                <w:color w:val="000000"/>
                <w:sz w:val="20"/>
                <w:szCs w:val="20"/>
                <w:lang w:eastAsia="en-CA"/>
              </w:rPr>
              <w:t>FF 12 industry: Manufacturing</w:t>
            </w:r>
          </w:p>
        </w:tc>
        <w:tc>
          <w:tcPr>
            <w:tcW w:w="150" w:type="pct"/>
            <w:tcBorders>
              <w:top w:val="single" w:sz="4" w:space="0" w:color="auto"/>
              <w:left w:val="nil"/>
              <w:right w:val="nil"/>
            </w:tcBorders>
            <w:noWrap/>
            <w:vAlign w:val="bottom"/>
            <w:hideMark/>
          </w:tcPr>
          <w:p w14:paraId="0E552841" w14:textId="77777777" w:rsidR="006A0B5D" w:rsidRPr="006D41DE" w:rsidRDefault="006A0B5D" w:rsidP="006A0B5D">
            <w:pPr>
              <w:spacing w:after="0" w:line="240" w:lineRule="auto"/>
              <w:jc w:val="center"/>
              <w:rPr>
                <w:rFonts w:ascii="Times New Roman" w:eastAsia="Times New Roman" w:hAnsi="Times New Roman" w:cs="Times New Roman"/>
                <w:b/>
                <w:bCs/>
                <w:color w:val="000000"/>
                <w:sz w:val="20"/>
                <w:szCs w:val="20"/>
                <w:lang w:eastAsia="en-CA"/>
              </w:rPr>
            </w:pPr>
          </w:p>
        </w:tc>
        <w:tc>
          <w:tcPr>
            <w:tcW w:w="1358" w:type="pct"/>
            <w:gridSpan w:val="4"/>
            <w:tcBorders>
              <w:top w:val="single" w:sz="4" w:space="0" w:color="auto"/>
              <w:left w:val="nil"/>
              <w:right w:val="nil"/>
            </w:tcBorders>
            <w:noWrap/>
            <w:vAlign w:val="bottom"/>
            <w:hideMark/>
          </w:tcPr>
          <w:p w14:paraId="73F5ED66" w14:textId="77777777" w:rsidR="006A0B5D" w:rsidRPr="006D41DE" w:rsidRDefault="006A0B5D" w:rsidP="006A0B5D">
            <w:pPr>
              <w:spacing w:after="0" w:line="240" w:lineRule="auto"/>
              <w:jc w:val="center"/>
              <w:rPr>
                <w:rFonts w:ascii="Times New Roman" w:eastAsia="Times New Roman" w:hAnsi="Times New Roman" w:cs="Times New Roman"/>
                <w:b/>
                <w:bCs/>
                <w:color w:val="000000"/>
                <w:sz w:val="20"/>
                <w:szCs w:val="20"/>
                <w:lang w:eastAsia="en-CA"/>
              </w:rPr>
            </w:pPr>
            <w:r w:rsidRPr="006D41DE">
              <w:rPr>
                <w:rFonts w:ascii="Times New Roman" w:eastAsia="Times New Roman" w:hAnsi="Times New Roman" w:cs="Times New Roman"/>
                <w:b/>
                <w:bCs/>
                <w:color w:val="000000"/>
                <w:sz w:val="20"/>
                <w:szCs w:val="20"/>
                <w:lang w:eastAsia="en-CA"/>
              </w:rPr>
              <w:t>FF 12 industry: Business Equipment</w:t>
            </w:r>
          </w:p>
        </w:tc>
        <w:tc>
          <w:tcPr>
            <w:tcW w:w="131" w:type="pct"/>
            <w:tcBorders>
              <w:top w:val="single" w:sz="4" w:space="0" w:color="auto"/>
              <w:left w:val="nil"/>
              <w:right w:val="nil"/>
            </w:tcBorders>
            <w:noWrap/>
            <w:vAlign w:val="bottom"/>
            <w:hideMark/>
          </w:tcPr>
          <w:p w14:paraId="3CA14D34" w14:textId="77777777" w:rsidR="006A0B5D" w:rsidRPr="006D41DE" w:rsidRDefault="006A0B5D" w:rsidP="006A0B5D">
            <w:pPr>
              <w:spacing w:after="0" w:line="240" w:lineRule="auto"/>
              <w:jc w:val="center"/>
              <w:rPr>
                <w:rFonts w:ascii="Times New Roman" w:eastAsia="Times New Roman" w:hAnsi="Times New Roman" w:cs="Times New Roman"/>
                <w:b/>
                <w:bCs/>
                <w:color w:val="000000"/>
                <w:sz w:val="20"/>
                <w:szCs w:val="20"/>
                <w:lang w:eastAsia="en-CA"/>
              </w:rPr>
            </w:pPr>
          </w:p>
        </w:tc>
        <w:tc>
          <w:tcPr>
            <w:tcW w:w="1326" w:type="pct"/>
            <w:gridSpan w:val="4"/>
            <w:tcBorders>
              <w:top w:val="single" w:sz="4" w:space="0" w:color="auto"/>
              <w:left w:val="nil"/>
              <w:right w:val="nil"/>
            </w:tcBorders>
            <w:noWrap/>
            <w:vAlign w:val="bottom"/>
            <w:hideMark/>
          </w:tcPr>
          <w:p w14:paraId="131B9424" w14:textId="77777777" w:rsidR="006A0B5D" w:rsidRPr="006D41DE" w:rsidRDefault="006A0B5D" w:rsidP="006A0B5D">
            <w:pPr>
              <w:spacing w:after="0" w:line="240" w:lineRule="auto"/>
              <w:jc w:val="center"/>
              <w:rPr>
                <w:rFonts w:ascii="Times New Roman" w:eastAsia="Times New Roman" w:hAnsi="Times New Roman" w:cs="Times New Roman"/>
                <w:b/>
                <w:bCs/>
                <w:color w:val="000000"/>
                <w:sz w:val="20"/>
                <w:szCs w:val="20"/>
                <w:lang w:eastAsia="en-CA"/>
              </w:rPr>
            </w:pPr>
            <w:r w:rsidRPr="006D41DE">
              <w:rPr>
                <w:rFonts w:ascii="Times New Roman" w:eastAsia="Times New Roman" w:hAnsi="Times New Roman" w:cs="Times New Roman"/>
                <w:b/>
                <w:bCs/>
                <w:color w:val="000000"/>
                <w:sz w:val="20"/>
                <w:szCs w:val="20"/>
                <w:lang w:eastAsia="en-CA"/>
              </w:rPr>
              <w:t>FF 12 industry: Utilities</w:t>
            </w:r>
          </w:p>
        </w:tc>
      </w:tr>
      <w:tr w:rsidR="005F68E0" w:rsidRPr="006D41DE" w14:paraId="01CF36EC" w14:textId="77777777" w:rsidTr="008E1E2D">
        <w:trPr>
          <w:trHeight w:val="300"/>
        </w:trPr>
        <w:tc>
          <w:tcPr>
            <w:tcW w:w="358" w:type="pct"/>
            <w:tcBorders>
              <w:top w:val="nil"/>
              <w:left w:val="nil"/>
              <w:bottom w:val="nil"/>
              <w:right w:val="nil"/>
            </w:tcBorders>
            <w:noWrap/>
            <w:vAlign w:val="bottom"/>
            <w:hideMark/>
          </w:tcPr>
          <w:p w14:paraId="6C4681B1" w14:textId="77777777" w:rsidR="006A0B5D" w:rsidRPr="006D41DE" w:rsidRDefault="006A0B5D" w:rsidP="006A0B5D">
            <w:pPr>
              <w:spacing w:after="0" w:line="240" w:lineRule="auto"/>
              <w:jc w:val="center"/>
              <w:rPr>
                <w:rFonts w:ascii="Times New Roman" w:eastAsia="Times New Roman" w:hAnsi="Times New Roman" w:cs="Times New Roman"/>
                <w:b/>
                <w:bCs/>
                <w:color w:val="000000"/>
                <w:sz w:val="20"/>
                <w:szCs w:val="20"/>
                <w:lang w:eastAsia="en-CA"/>
              </w:rPr>
            </w:pPr>
          </w:p>
        </w:tc>
        <w:tc>
          <w:tcPr>
            <w:tcW w:w="340" w:type="pct"/>
            <w:tcBorders>
              <w:top w:val="nil"/>
              <w:left w:val="nil"/>
              <w:bottom w:val="nil"/>
              <w:right w:val="nil"/>
            </w:tcBorders>
            <w:noWrap/>
            <w:vAlign w:val="bottom"/>
            <w:hideMark/>
          </w:tcPr>
          <w:p w14:paraId="67EA4E4C" w14:textId="77777777" w:rsidR="006A0B5D" w:rsidRPr="006D41DE" w:rsidRDefault="006A0B5D" w:rsidP="006A0B5D">
            <w:pPr>
              <w:spacing w:after="0" w:line="240" w:lineRule="auto"/>
              <w:rPr>
                <w:rFonts w:ascii="Times New Roman" w:eastAsia="Times New Roman" w:hAnsi="Times New Roman" w:cs="Times New Roman"/>
                <w:sz w:val="20"/>
                <w:szCs w:val="20"/>
                <w:lang w:eastAsia="en-CA"/>
              </w:rPr>
            </w:pPr>
          </w:p>
        </w:tc>
        <w:tc>
          <w:tcPr>
            <w:tcW w:w="351" w:type="pct"/>
            <w:tcBorders>
              <w:top w:val="nil"/>
              <w:left w:val="nil"/>
              <w:right w:val="nil"/>
            </w:tcBorders>
            <w:noWrap/>
            <w:vAlign w:val="bottom"/>
            <w:hideMark/>
          </w:tcPr>
          <w:p w14:paraId="22CAA223"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OLS</w:t>
            </w:r>
          </w:p>
        </w:tc>
        <w:tc>
          <w:tcPr>
            <w:tcW w:w="351" w:type="pct"/>
            <w:tcBorders>
              <w:top w:val="nil"/>
              <w:left w:val="nil"/>
              <w:right w:val="nil"/>
            </w:tcBorders>
            <w:noWrap/>
            <w:vAlign w:val="bottom"/>
            <w:hideMark/>
          </w:tcPr>
          <w:p w14:paraId="52BADB1A"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25</w:t>
            </w:r>
            <w:r w:rsidR="0088538D" w:rsidRPr="006D41DE">
              <w:rPr>
                <w:rFonts w:ascii="Times New Roman" w:eastAsia="Times New Roman" w:hAnsi="Times New Roman" w:cs="Times New Roman"/>
                <w:color w:val="000000"/>
                <w:sz w:val="20"/>
                <w:szCs w:val="20"/>
                <w:lang w:eastAsia="en-CA"/>
              </w:rPr>
              <w:t>%</w:t>
            </w:r>
          </w:p>
        </w:tc>
        <w:tc>
          <w:tcPr>
            <w:tcW w:w="314" w:type="pct"/>
            <w:tcBorders>
              <w:top w:val="nil"/>
              <w:left w:val="nil"/>
              <w:right w:val="nil"/>
            </w:tcBorders>
            <w:noWrap/>
            <w:vAlign w:val="bottom"/>
            <w:hideMark/>
          </w:tcPr>
          <w:p w14:paraId="65744BBC"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75</w:t>
            </w:r>
            <w:r w:rsidR="0088538D" w:rsidRPr="006D41DE">
              <w:rPr>
                <w:rFonts w:ascii="Times New Roman" w:eastAsia="Times New Roman" w:hAnsi="Times New Roman" w:cs="Times New Roman"/>
                <w:color w:val="000000"/>
                <w:sz w:val="20"/>
                <w:szCs w:val="20"/>
                <w:lang w:eastAsia="en-CA"/>
              </w:rPr>
              <w:t>%</w:t>
            </w:r>
          </w:p>
        </w:tc>
        <w:tc>
          <w:tcPr>
            <w:tcW w:w="321" w:type="pct"/>
            <w:tcBorders>
              <w:top w:val="nil"/>
              <w:left w:val="nil"/>
              <w:right w:val="nil"/>
            </w:tcBorders>
            <w:noWrap/>
            <w:vAlign w:val="bottom"/>
            <w:hideMark/>
          </w:tcPr>
          <w:p w14:paraId="398A5C97"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IQR</w:t>
            </w:r>
          </w:p>
        </w:tc>
        <w:tc>
          <w:tcPr>
            <w:tcW w:w="150" w:type="pct"/>
            <w:tcBorders>
              <w:top w:val="nil"/>
              <w:left w:val="nil"/>
              <w:right w:val="nil"/>
            </w:tcBorders>
            <w:noWrap/>
            <w:vAlign w:val="bottom"/>
            <w:hideMark/>
          </w:tcPr>
          <w:p w14:paraId="0C0ED8E9"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right w:val="nil"/>
            </w:tcBorders>
            <w:noWrap/>
            <w:vAlign w:val="bottom"/>
            <w:hideMark/>
          </w:tcPr>
          <w:p w14:paraId="30A42422"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OLS</w:t>
            </w:r>
          </w:p>
        </w:tc>
        <w:tc>
          <w:tcPr>
            <w:tcW w:w="344" w:type="pct"/>
            <w:tcBorders>
              <w:top w:val="nil"/>
              <w:left w:val="nil"/>
              <w:right w:val="nil"/>
            </w:tcBorders>
            <w:noWrap/>
            <w:vAlign w:val="bottom"/>
            <w:hideMark/>
          </w:tcPr>
          <w:p w14:paraId="240AFCC0" w14:textId="77777777" w:rsidR="006A0B5D" w:rsidRPr="006D41DE" w:rsidRDefault="0088538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25%</w:t>
            </w:r>
          </w:p>
        </w:tc>
        <w:tc>
          <w:tcPr>
            <w:tcW w:w="344" w:type="pct"/>
            <w:tcBorders>
              <w:top w:val="nil"/>
              <w:left w:val="nil"/>
              <w:right w:val="nil"/>
            </w:tcBorders>
            <w:noWrap/>
            <w:vAlign w:val="bottom"/>
            <w:hideMark/>
          </w:tcPr>
          <w:p w14:paraId="548F27C4" w14:textId="77777777" w:rsidR="006A0B5D" w:rsidRPr="006D41DE" w:rsidRDefault="006A0B5D"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75</w:t>
            </w:r>
            <w:r w:rsidR="001F50F9" w:rsidRPr="006D41DE">
              <w:rPr>
                <w:rFonts w:ascii="Times New Roman" w:eastAsia="Times New Roman" w:hAnsi="Times New Roman" w:cs="Times New Roman"/>
                <w:color w:val="000000"/>
                <w:sz w:val="20"/>
                <w:szCs w:val="20"/>
                <w:lang w:eastAsia="en-CA"/>
              </w:rPr>
              <w:t>%</w:t>
            </w:r>
          </w:p>
        </w:tc>
        <w:tc>
          <w:tcPr>
            <w:tcW w:w="326" w:type="pct"/>
            <w:tcBorders>
              <w:top w:val="nil"/>
              <w:left w:val="nil"/>
              <w:right w:val="nil"/>
            </w:tcBorders>
            <w:noWrap/>
            <w:vAlign w:val="bottom"/>
            <w:hideMark/>
          </w:tcPr>
          <w:p w14:paraId="12F57820"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IQR</w:t>
            </w:r>
          </w:p>
        </w:tc>
        <w:tc>
          <w:tcPr>
            <w:tcW w:w="131" w:type="pct"/>
            <w:tcBorders>
              <w:top w:val="nil"/>
              <w:left w:val="nil"/>
              <w:right w:val="nil"/>
            </w:tcBorders>
            <w:noWrap/>
            <w:vAlign w:val="bottom"/>
            <w:hideMark/>
          </w:tcPr>
          <w:p w14:paraId="6E0E2902"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right w:val="nil"/>
            </w:tcBorders>
            <w:noWrap/>
            <w:vAlign w:val="bottom"/>
            <w:hideMark/>
          </w:tcPr>
          <w:p w14:paraId="30481336"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OLS</w:t>
            </w:r>
          </w:p>
        </w:tc>
        <w:tc>
          <w:tcPr>
            <w:tcW w:w="339" w:type="pct"/>
            <w:tcBorders>
              <w:top w:val="nil"/>
              <w:left w:val="nil"/>
              <w:right w:val="nil"/>
            </w:tcBorders>
            <w:noWrap/>
            <w:vAlign w:val="bottom"/>
            <w:hideMark/>
          </w:tcPr>
          <w:p w14:paraId="5815BE3B"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25</w:t>
            </w:r>
            <w:r w:rsidR="0088538D" w:rsidRPr="006D41DE">
              <w:rPr>
                <w:rFonts w:ascii="Times New Roman" w:eastAsia="Times New Roman" w:hAnsi="Times New Roman" w:cs="Times New Roman"/>
                <w:color w:val="000000"/>
                <w:sz w:val="20"/>
                <w:szCs w:val="20"/>
                <w:lang w:eastAsia="en-CA"/>
              </w:rPr>
              <w:t>%</w:t>
            </w:r>
          </w:p>
        </w:tc>
        <w:tc>
          <w:tcPr>
            <w:tcW w:w="339" w:type="pct"/>
            <w:tcBorders>
              <w:top w:val="nil"/>
              <w:left w:val="nil"/>
              <w:right w:val="nil"/>
            </w:tcBorders>
            <w:noWrap/>
            <w:vAlign w:val="bottom"/>
            <w:hideMark/>
          </w:tcPr>
          <w:p w14:paraId="552FBF70"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75</w:t>
            </w:r>
            <w:r w:rsidR="0088538D" w:rsidRPr="006D41DE">
              <w:rPr>
                <w:rFonts w:ascii="Times New Roman" w:eastAsia="Times New Roman" w:hAnsi="Times New Roman" w:cs="Times New Roman"/>
                <w:color w:val="000000"/>
                <w:sz w:val="20"/>
                <w:szCs w:val="20"/>
                <w:lang w:eastAsia="en-CA"/>
              </w:rPr>
              <w:t>%</w:t>
            </w:r>
          </w:p>
        </w:tc>
        <w:tc>
          <w:tcPr>
            <w:tcW w:w="309" w:type="pct"/>
            <w:tcBorders>
              <w:top w:val="nil"/>
              <w:left w:val="nil"/>
              <w:right w:val="nil"/>
            </w:tcBorders>
            <w:noWrap/>
            <w:vAlign w:val="bottom"/>
            <w:hideMark/>
          </w:tcPr>
          <w:p w14:paraId="23D01C02" w14:textId="77777777" w:rsidR="006A0B5D" w:rsidRPr="006D41DE" w:rsidRDefault="006A0B5D" w:rsidP="006A0B5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IQR</w:t>
            </w:r>
          </w:p>
        </w:tc>
      </w:tr>
      <w:tr w:rsidR="005F68E0" w:rsidRPr="006D41DE" w14:paraId="27B0583E" w14:textId="77777777" w:rsidTr="008E1E2D">
        <w:trPr>
          <w:trHeight w:val="245"/>
        </w:trPr>
        <w:tc>
          <w:tcPr>
            <w:tcW w:w="358" w:type="pct"/>
            <w:tcBorders>
              <w:top w:val="nil"/>
              <w:left w:val="nil"/>
              <w:bottom w:val="nil"/>
              <w:right w:val="nil"/>
            </w:tcBorders>
            <w:noWrap/>
            <w:vAlign w:val="bottom"/>
          </w:tcPr>
          <w:p w14:paraId="057AA613" w14:textId="77777777" w:rsidR="001F50F9" w:rsidRPr="006D41DE" w:rsidRDefault="001F50F9" w:rsidP="001F50F9">
            <w:pPr>
              <w:spacing w:after="0" w:line="240" w:lineRule="auto"/>
              <w:jc w:val="center"/>
              <w:rPr>
                <w:rFonts w:ascii="Times New Roman" w:eastAsia="Times New Roman" w:hAnsi="Times New Roman" w:cs="Times New Roman"/>
                <w:b/>
                <w:bCs/>
                <w:color w:val="000000"/>
                <w:sz w:val="20"/>
                <w:szCs w:val="20"/>
                <w:lang w:eastAsia="en-CA"/>
              </w:rPr>
            </w:pPr>
          </w:p>
        </w:tc>
        <w:tc>
          <w:tcPr>
            <w:tcW w:w="340" w:type="pct"/>
            <w:tcBorders>
              <w:top w:val="nil"/>
              <w:left w:val="nil"/>
              <w:bottom w:val="nil"/>
              <w:right w:val="nil"/>
            </w:tcBorders>
            <w:noWrap/>
            <w:vAlign w:val="bottom"/>
          </w:tcPr>
          <w:p w14:paraId="4D41CC12" w14:textId="77777777" w:rsidR="001F50F9" w:rsidRPr="006D41DE" w:rsidRDefault="001F50F9" w:rsidP="001F50F9">
            <w:pPr>
              <w:spacing w:after="0" w:line="240" w:lineRule="auto"/>
              <w:rPr>
                <w:rFonts w:ascii="Times New Roman" w:eastAsia="Times New Roman" w:hAnsi="Times New Roman" w:cs="Times New Roman"/>
                <w:sz w:val="20"/>
                <w:szCs w:val="20"/>
                <w:lang w:eastAsia="en-CA"/>
              </w:rPr>
            </w:pPr>
          </w:p>
        </w:tc>
        <w:tc>
          <w:tcPr>
            <w:tcW w:w="351" w:type="pct"/>
            <w:tcBorders>
              <w:left w:val="nil"/>
              <w:bottom w:val="single" w:sz="4" w:space="0" w:color="auto"/>
              <w:right w:val="nil"/>
            </w:tcBorders>
            <w:noWrap/>
            <w:vAlign w:val="bottom"/>
          </w:tcPr>
          <w:p w14:paraId="703E9C9A"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(1)</w:t>
            </w:r>
          </w:p>
        </w:tc>
        <w:tc>
          <w:tcPr>
            <w:tcW w:w="351" w:type="pct"/>
            <w:tcBorders>
              <w:left w:val="nil"/>
              <w:bottom w:val="single" w:sz="4" w:space="0" w:color="auto"/>
              <w:right w:val="nil"/>
            </w:tcBorders>
            <w:noWrap/>
            <w:vAlign w:val="bottom"/>
          </w:tcPr>
          <w:p w14:paraId="2D0ABB34"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(2)</w:t>
            </w:r>
          </w:p>
        </w:tc>
        <w:tc>
          <w:tcPr>
            <w:tcW w:w="314" w:type="pct"/>
            <w:tcBorders>
              <w:left w:val="nil"/>
              <w:bottom w:val="single" w:sz="4" w:space="0" w:color="auto"/>
              <w:right w:val="nil"/>
            </w:tcBorders>
            <w:noWrap/>
            <w:vAlign w:val="bottom"/>
          </w:tcPr>
          <w:p w14:paraId="0FBC8C17"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(3)</w:t>
            </w:r>
          </w:p>
        </w:tc>
        <w:tc>
          <w:tcPr>
            <w:tcW w:w="321" w:type="pct"/>
            <w:tcBorders>
              <w:left w:val="nil"/>
              <w:bottom w:val="single" w:sz="4" w:space="0" w:color="auto"/>
              <w:right w:val="nil"/>
            </w:tcBorders>
            <w:noWrap/>
            <w:vAlign w:val="bottom"/>
          </w:tcPr>
          <w:p w14:paraId="4F570BCC"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(4)</w:t>
            </w:r>
          </w:p>
        </w:tc>
        <w:tc>
          <w:tcPr>
            <w:tcW w:w="150" w:type="pct"/>
            <w:tcBorders>
              <w:left w:val="nil"/>
              <w:bottom w:val="nil"/>
              <w:right w:val="nil"/>
            </w:tcBorders>
            <w:noWrap/>
            <w:vAlign w:val="bottom"/>
          </w:tcPr>
          <w:p w14:paraId="596C68D9"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left w:val="nil"/>
              <w:bottom w:val="single" w:sz="4" w:space="0" w:color="auto"/>
              <w:right w:val="nil"/>
            </w:tcBorders>
            <w:noWrap/>
            <w:vAlign w:val="bottom"/>
          </w:tcPr>
          <w:p w14:paraId="2EFF4192"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(5)</w:t>
            </w:r>
          </w:p>
        </w:tc>
        <w:tc>
          <w:tcPr>
            <w:tcW w:w="344" w:type="pct"/>
            <w:tcBorders>
              <w:left w:val="nil"/>
              <w:bottom w:val="single" w:sz="4" w:space="0" w:color="auto"/>
              <w:right w:val="nil"/>
            </w:tcBorders>
            <w:noWrap/>
            <w:vAlign w:val="bottom"/>
          </w:tcPr>
          <w:p w14:paraId="118357BB"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(6)</w:t>
            </w:r>
          </w:p>
        </w:tc>
        <w:tc>
          <w:tcPr>
            <w:tcW w:w="344" w:type="pct"/>
            <w:tcBorders>
              <w:left w:val="nil"/>
              <w:bottom w:val="single" w:sz="4" w:space="0" w:color="auto"/>
              <w:right w:val="nil"/>
            </w:tcBorders>
            <w:noWrap/>
            <w:vAlign w:val="bottom"/>
          </w:tcPr>
          <w:p w14:paraId="76C964AA"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(7)</w:t>
            </w:r>
          </w:p>
        </w:tc>
        <w:tc>
          <w:tcPr>
            <w:tcW w:w="326" w:type="pct"/>
            <w:tcBorders>
              <w:left w:val="nil"/>
              <w:bottom w:val="single" w:sz="4" w:space="0" w:color="auto"/>
              <w:right w:val="nil"/>
            </w:tcBorders>
            <w:noWrap/>
            <w:vAlign w:val="bottom"/>
          </w:tcPr>
          <w:p w14:paraId="2727D5C1"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(8)</w:t>
            </w:r>
          </w:p>
        </w:tc>
        <w:tc>
          <w:tcPr>
            <w:tcW w:w="131" w:type="pct"/>
            <w:tcBorders>
              <w:left w:val="nil"/>
              <w:bottom w:val="nil"/>
              <w:right w:val="nil"/>
            </w:tcBorders>
            <w:noWrap/>
            <w:vAlign w:val="bottom"/>
          </w:tcPr>
          <w:p w14:paraId="3E401AAA"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left w:val="nil"/>
              <w:bottom w:val="single" w:sz="4" w:space="0" w:color="auto"/>
              <w:right w:val="nil"/>
            </w:tcBorders>
            <w:noWrap/>
            <w:vAlign w:val="bottom"/>
          </w:tcPr>
          <w:p w14:paraId="3C4BC586"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(9)</w:t>
            </w:r>
          </w:p>
        </w:tc>
        <w:tc>
          <w:tcPr>
            <w:tcW w:w="339" w:type="pct"/>
            <w:tcBorders>
              <w:left w:val="nil"/>
              <w:bottom w:val="single" w:sz="4" w:space="0" w:color="auto"/>
              <w:right w:val="nil"/>
            </w:tcBorders>
            <w:noWrap/>
            <w:vAlign w:val="bottom"/>
          </w:tcPr>
          <w:p w14:paraId="41E57062"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(10)</w:t>
            </w:r>
          </w:p>
        </w:tc>
        <w:tc>
          <w:tcPr>
            <w:tcW w:w="339" w:type="pct"/>
            <w:tcBorders>
              <w:left w:val="nil"/>
              <w:bottom w:val="single" w:sz="4" w:space="0" w:color="auto"/>
              <w:right w:val="nil"/>
            </w:tcBorders>
            <w:noWrap/>
            <w:vAlign w:val="bottom"/>
          </w:tcPr>
          <w:p w14:paraId="1A153D1D"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(11)</w:t>
            </w:r>
          </w:p>
        </w:tc>
        <w:tc>
          <w:tcPr>
            <w:tcW w:w="309" w:type="pct"/>
            <w:tcBorders>
              <w:left w:val="nil"/>
              <w:bottom w:val="single" w:sz="4" w:space="0" w:color="auto"/>
              <w:right w:val="nil"/>
            </w:tcBorders>
            <w:noWrap/>
            <w:vAlign w:val="bottom"/>
          </w:tcPr>
          <w:p w14:paraId="3BD64F63" w14:textId="77777777" w:rsidR="001F50F9" w:rsidRPr="006D41DE" w:rsidRDefault="001F50F9" w:rsidP="001F50F9">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(12)</w:t>
            </w:r>
          </w:p>
        </w:tc>
      </w:tr>
      <w:tr w:rsidR="005F68E0" w:rsidRPr="006D41DE" w14:paraId="33603E1D" w14:textId="77777777" w:rsidTr="00FB1A77">
        <w:trPr>
          <w:trHeight w:val="363"/>
        </w:trPr>
        <w:tc>
          <w:tcPr>
            <w:tcW w:w="358" w:type="pct"/>
            <w:tcBorders>
              <w:top w:val="nil"/>
              <w:left w:val="nil"/>
              <w:bottom w:val="nil"/>
              <w:right w:val="nil"/>
            </w:tcBorders>
            <w:noWrap/>
            <w:vAlign w:val="bottom"/>
            <w:hideMark/>
          </w:tcPr>
          <w:p w14:paraId="3335FCBE" w14:textId="77777777" w:rsidR="008E1E2D" w:rsidRPr="006D41DE" w:rsidRDefault="008E1E2D" w:rsidP="008E1E2D">
            <w:pPr>
              <w:spacing w:after="0" w:line="240" w:lineRule="auto"/>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Intercept</w:t>
            </w:r>
          </w:p>
        </w:tc>
        <w:tc>
          <w:tcPr>
            <w:tcW w:w="340" w:type="pct"/>
            <w:tcBorders>
              <w:top w:val="nil"/>
              <w:left w:val="nil"/>
              <w:bottom w:val="nil"/>
              <w:right w:val="nil"/>
            </w:tcBorders>
            <w:noWrap/>
            <w:vAlign w:val="bottom"/>
            <w:hideMark/>
          </w:tcPr>
          <w:p w14:paraId="392DE409" w14:textId="77777777" w:rsidR="008E1E2D" w:rsidRPr="006D41DE" w:rsidRDefault="008E1E2D" w:rsidP="008E1E2D">
            <w:pPr>
              <w:spacing w:after="0" w:line="240" w:lineRule="auto"/>
              <w:rPr>
                <w:rFonts w:ascii="Times New Roman" w:eastAsia="Times New Roman" w:hAnsi="Times New Roman" w:cs="Times New Roman"/>
                <w:color w:val="000000"/>
                <w:sz w:val="20"/>
                <w:szCs w:val="20"/>
                <w:lang w:eastAsia="en-CA"/>
              </w:rPr>
            </w:pPr>
          </w:p>
        </w:tc>
        <w:tc>
          <w:tcPr>
            <w:tcW w:w="351" w:type="pct"/>
            <w:tcBorders>
              <w:top w:val="nil"/>
              <w:left w:val="nil"/>
              <w:bottom w:val="nil"/>
              <w:right w:val="nil"/>
            </w:tcBorders>
            <w:noWrap/>
            <w:vAlign w:val="bottom"/>
            <w:hideMark/>
          </w:tcPr>
          <w:p w14:paraId="3091ED09" w14:textId="3CE1525F"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1.535</w:t>
            </w:r>
          </w:p>
        </w:tc>
        <w:tc>
          <w:tcPr>
            <w:tcW w:w="351" w:type="pct"/>
            <w:tcBorders>
              <w:top w:val="nil"/>
              <w:left w:val="nil"/>
              <w:bottom w:val="nil"/>
              <w:right w:val="nil"/>
            </w:tcBorders>
            <w:noWrap/>
            <w:vAlign w:val="bottom"/>
            <w:hideMark/>
          </w:tcPr>
          <w:p w14:paraId="693F3BD9" w14:textId="2E506AA6"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1.066</w:t>
            </w:r>
          </w:p>
        </w:tc>
        <w:tc>
          <w:tcPr>
            <w:tcW w:w="314" w:type="pct"/>
            <w:tcBorders>
              <w:top w:val="nil"/>
              <w:left w:val="nil"/>
              <w:bottom w:val="nil"/>
              <w:right w:val="nil"/>
            </w:tcBorders>
            <w:noWrap/>
            <w:vAlign w:val="bottom"/>
            <w:hideMark/>
          </w:tcPr>
          <w:p w14:paraId="39E7DBE8" w14:textId="5EDA1660"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2.028</w:t>
            </w:r>
          </w:p>
        </w:tc>
        <w:tc>
          <w:tcPr>
            <w:tcW w:w="321" w:type="pct"/>
            <w:tcBorders>
              <w:top w:val="nil"/>
              <w:left w:val="nil"/>
              <w:bottom w:val="nil"/>
              <w:right w:val="nil"/>
            </w:tcBorders>
            <w:noWrap/>
            <w:vAlign w:val="bottom"/>
            <w:hideMark/>
          </w:tcPr>
          <w:p w14:paraId="0EEC3896" w14:textId="67CCA95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0.961</w:t>
            </w:r>
          </w:p>
        </w:tc>
        <w:tc>
          <w:tcPr>
            <w:tcW w:w="150" w:type="pct"/>
            <w:tcBorders>
              <w:top w:val="nil"/>
              <w:left w:val="nil"/>
              <w:bottom w:val="nil"/>
              <w:right w:val="nil"/>
            </w:tcBorders>
            <w:noWrap/>
            <w:vAlign w:val="bottom"/>
            <w:hideMark/>
          </w:tcPr>
          <w:p w14:paraId="17439C26"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17CA267D" w14:textId="5829F9E9"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1.854</w:t>
            </w:r>
          </w:p>
        </w:tc>
        <w:tc>
          <w:tcPr>
            <w:tcW w:w="344" w:type="pct"/>
            <w:tcBorders>
              <w:top w:val="nil"/>
              <w:left w:val="nil"/>
              <w:bottom w:val="nil"/>
              <w:right w:val="nil"/>
            </w:tcBorders>
            <w:noWrap/>
            <w:vAlign w:val="bottom"/>
            <w:hideMark/>
          </w:tcPr>
          <w:p w14:paraId="4133443B" w14:textId="11C2400C"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1.287</w:t>
            </w:r>
          </w:p>
        </w:tc>
        <w:tc>
          <w:tcPr>
            <w:tcW w:w="344" w:type="pct"/>
            <w:tcBorders>
              <w:top w:val="nil"/>
              <w:left w:val="nil"/>
              <w:bottom w:val="nil"/>
              <w:right w:val="nil"/>
            </w:tcBorders>
            <w:noWrap/>
            <w:vAlign w:val="bottom"/>
            <w:hideMark/>
          </w:tcPr>
          <w:p w14:paraId="66CD5576" w14:textId="310F466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2.421</w:t>
            </w:r>
          </w:p>
        </w:tc>
        <w:tc>
          <w:tcPr>
            <w:tcW w:w="326" w:type="pct"/>
            <w:tcBorders>
              <w:top w:val="nil"/>
              <w:left w:val="nil"/>
              <w:bottom w:val="nil"/>
              <w:right w:val="nil"/>
            </w:tcBorders>
            <w:noWrap/>
            <w:vAlign w:val="bottom"/>
            <w:hideMark/>
          </w:tcPr>
          <w:p w14:paraId="6E547B63" w14:textId="3E0D2AC8"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1.134</w:t>
            </w:r>
          </w:p>
        </w:tc>
        <w:tc>
          <w:tcPr>
            <w:tcW w:w="131" w:type="pct"/>
            <w:tcBorders>
              <w:top w:val="nil"/>
              <w:left w:val="nil"/>
              <w:bottom w:val="nil"/>
              <w:right w:val="nil"/>
            </w:tcBorders>
            <w:noWrap/>
            <w:vAlign w:val="bottom"/>
            <w:hideMark/>
          </w:tcPr>
          <w:p w14:paraId="3A0E77E8"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581ACB55" w14:textId="21D59A15"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1.461</w:t>
            </w:r>
          </w:p>
        </w:tc>
        <w:tc>
          <w:tcPr>
            <w:tcW w:w="339" w:type="pct"/>
            <w:tcBorders>
              <w:top w:val="nil"/>
              <w:left w:val="nil"/>
              <w:bottom w:val="nil"/>
              <w:right w:val="nil"/>
            </w:tcBorders>
            <w:noWrap/>
            <w:vAlign w:val="bottom"/>
            <w:hideMark/>
          </w:tcPr>
          <w:p w14:paraId="16F763BB" w14:textId="77E5C92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1.480</w:t>
            </w:r>
          </w:p>
        </w:tc>
        <w:tc>
          <w:tcPr>
            <w:tcW w:w="339" w:type="pct"/>
            <w:tcBorders>
              <w:top w:val="nil"/>
              <w:left w:val="nil"/>
              <w:bottom w:val="nil"/>
              <w:right w:val="nil"/>
            </w:tcBorders>
            <w:noWrap/>
            <w:vAlign w:val="bottom"/>
            <w:hideMark/>
          </w:tcPr>
          <w:p w14:paraId="2BB9CD55" w14:textId="620BABC6"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1.657</w:t>
            </w:r>
          </w:p>
        </w:tc>
        <w:tc>
          <w:tcPr>
            <w:tcW w:w="309" w:type="pct"/>
            <w:tcBorders>
              <w:top w:val="nil"/>
              <w:left w:val="nil"/>
              <w:bottom w:val="nil"/>
              <w:right w:val="nil"/>
            </w:tcBorders>
            <w:noWrap/>
            <w:vAlign w:val="bottom"/>
            <w:hideMark/>
          </w:tcPr>
          <w:p w14:paraId="12070BE6" w14:textId="79F066A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0.176</w:t>
            </w:r>
          </w:p>
        </w:tc>
      </w:tr>
      <w:tr w:rsidR="005F68E0" w:rsidRPr="006D41DE" w14:paraId="0EFC4D7B" w14:textId="77777777" w:rsidTr="008E1E2D">
        <w:trPr>
          <w:trHeight w:val="300"/>
        </w:trPr>
        <w:tc>
          <w:tcPr>
            <w:tcW w:w="358" w:type="pct"/>
            <w:tcBorders>
              <w:top w:val="nil"/>
              <w:left w:val="nil"/>
              <w:bottom w:val="nil"/>
              <w:right w:val="nil"/>
            </w:tcBorders>
            <w:noWrap/>
            <w:vAlign w:val="bottom"/>
            <w:hideMark/>
          </w:tcPr>
          <w:p w14:paraId="0E3BA3EC"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0" w:type="pct"/>
            <w:tcBorders>
              <w:top w:val="nil"/>
              <w:left w:val="nil"/>
              <w:bottom w:val="nil"/>
              <w:right w:val="nil"/>
            </w:tcBorders>
            <w:noWrap/>
            <w:vAlign w:val="bottom"/>
            <w:hideMark/>
          </w:tcPr>
          <w:p w14:paraId="210C4FDB" w14:textId="77777777" w:rsidR="008E1E2D" w:rsidRPr="006D41DE" w:rsidRDefault="008E1E2D" w:rsidP="008E1E2D">
            <w:pPr>
              <w:spacing w:after="0" w:line="240" w:lineRule="auto"/>
              <w:rPr>
                <w:rFonts w:ascii="Times New Roman" w:eastAsia="Times New Roman" w:hAnsi="Times New Roman" w:cs="Times New Roman"/>
                <w:sz w:val="20"/>
                <w:szCs w:val="20"/>
                <w:lang w:eastAsia="en-CA"/>
              </w:rPr>
            </w:pPr>
          </w:p>
        </w:tc>
        <w:tc>
          <w:tcPr>
            <w:tcW w:w="351" w:type="pct"/>
            <w:tcBorders>
              <w:top w:val="nil"/>
              <w:left w:val="nil"/>
              <w:bottom w:val="nil"/>
              <w:right w:val="nil"/>
            </w:tcBorders>
            <w:noWrap/>
            <w:vAlign w:val="bottom"/>
            <w:hideMark/>
          </w:tcPr>
          <w:p w14:paraId="70604418" w14:textId="0EBA0F28"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51" w:type="pct"/>
            <w:tcBorders>
              <w:top w:val="nil"/>
              <w:left w:val="nil"/>
              <w:bottom w:val="nil"/>
              <w:right w:val="nil"/>
            </w:tcBorders>
            <w:noWrap/>
            <w:vAlign w:val="bottom"/>
            <w:hideMark/>
          </w:tcPr>
          <w:p w14:paraId="38214E1F" w14:textId="5524B2A1"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14" w:type="pct"/>
            <w:tcBorders>
              <w:top w:val="nil"/>
              <w:left w:val="nil"/>
              <w:bottom w:val="nil"/>
              <w:right w:val="nil"/>
            </w:tcBorders>
            <w:noWrap/>
            <w:vAlign w:val="bottom"/>
            <w:hideMark/>
          </w:tcPr>
          <w:p w14:paraId="70BEC969" w14:textId="37BDAF92"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1" w:type="pct"/>
            <w:tcBorders>
              <w:top w:val="nil"/>
              <w:left w:val="nil"/>
              <w:bottom w:val="nil"/>
              <w:right w:val="nil"/>
            </w:tcBorders>
            <w:noWrap/>
            <w:vAlign w:val="bottom"/>
            <w:hideMark/>
          </w:tcPr>
          <w:p w14:paraId="6241AC4A" w14:textId="7D220710"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0" w:type="pct"/>
            <w:tcBorders>
              <w:top w:val="nil"/>
              <w:left w:val="nil"/>
              <w:bottom w:val="nil"/>
              <w:right w:val="nil"/>
            </w:tcBorders>
            <w:noWrap/>
            <w:vAlign w:val="bottom"/>
            <w:hideMark/>
          </w:tcPr>
          <w:p w14:paraId="0C7B897F"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7A569537" w14:textId="4FD758B3"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66A75524" w14:textId="2E73DE1C"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3C7A3127" w14:textId="1A95F4EA"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6" w:type="pct"/>
            <w:tcBorders>
              <w:top w:val="nil"/>
              <w:left w:val="nil"/>
              <w:bottom w:val="nil"/>
              <w:right w:val="nil"/>
            </w:tcBorders>
            <w:noWrap/>
            <w:vAlign w:val="bottom"/>
            <w:hideMark/>
          </w:tcPr>
          <w:p w14:paraId="36BC6E4D" w14:textId="3757A1D8"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31" w:type="pct"/>
            <w:tcBorders>
              <w:top w:val="nil"/>
              <w:left w:val="nil"/>
              <w:bottom w:val="nil"/>
              <w:right w:val="nil"/>
            </w:tcBorders>
            <w:noWrap/>
            <w:vAlign w:val="bottom"/>
            <w:hideMark/>
          </w:tcPr>
          <w:p w14:paraId="75E03E3C"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36C081D4" w14:textId="73D9DC61"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12416993" w14:textId="7AA9707C"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727BF1C8" w14:textId="19783BD4"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09" w:type="pct"/>
            <w:tcBorders>
              <w:top w:val="nil"/>
              <w:left w:val="nil"/>
              <w:bottom w:val="nil"/>
              <w:right w:val="nil"/>
            </w:tcBorders>
            <w:noWrap/>
            <w:vAlign w:val="bottom"/>
            <w:hideMark/>
          </w:tcPr>
          <w:p w14:paraId="17F78D81" w14:textId="5E48A4B5"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0.088</w:t>
            </w:r>
            <w:r>
              <w:rPr>
                <w:rFonts w:ascii="Times New Roman" w:eastAsia="Times New Roman" w:hAnsi="Times New Roman" w:cs="Times New Roman"/>
                <w:color w:val="000000"/>
                <w:sz w:val="20"/>
                <w:szCs w:val="20"/>
                <w:lang w:val="en-GB" w:eastAsia="en-GB"/>
              </w:rPr>
              <w:t>)</w:t>
            </w:r>
          </w:p>
        </w:tc>
      </w:tr>
      <w:tr w:rsidR="005F68E0" w:rsidRPr="006D41DE" w14:paraId="08FCF5C4" w14:textId="77777777" w:rsidTr="008E1E2D">
        <w:trPr>
          <w:trHeight w:val="300"/>
        </w:trPr>
        <w:tc>
          <w:tcPr>
            <w:tcW w:w="358" w:type="pct"/>
            <w:tcBorders>
              <w:top w:val="nil"/>
              <w:left w:val="nil"/>
              <w:bottom w:val="nil"/>
              <w:right w:val="nil"/>
            </w:tcBorders>
            <w:noWrap/>
            <w:vAlign w:val="bottom"/>
            <w:hideMark/>
          </w:tcPr>
          <w:p w14:paraId="00352355"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r w:rsidRPr="006D41DE">
              <w:rPr>
                <w:rFonts w:ascii="Times New Roman" w:eastAsia="Times New Roman" w:hAnsi="Times New Roman" w:cs="Times New Roman"/>
                <w:i/>
                <w:iCs/>
                <w:color w:val="000000"/>
                <w:sz w:val="20"/>
                <w:szCs w:val="20"/>
                <w:lang w:eastAsia="en-CA"/>
              </w:rPr>
              <w:t>b</w:t>
            </w:r>
          </w:p>
        </w:tc>
        <w:tc>
          <w:tcPr>
            <w:tcW w:w="340" w:type="pct"/>
            <w:tcBorders>
              <w:top w:val="nil"/>
              <w:left w:val="nil"/>
              <w:bottom w:val="nil"/>
              <w:right w:val="nil"/>
            </w:tcBorders>
            <w:noWrap/>
            <w:vAlign w:val="bottom"/>
            <w:hideMark/>
          </w:tcPr>
          <w:p w14:paraId="11991779"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p>
        </w:tc>
        <w:tc>
          <w:tcPr>
            <w:tcW w:w="351" w:type="pct"/>
            <w:tcBorders>
              <w:top w:val="nil"/>
              <w:left w:val="nil"/>
              <w:bottom w:val="nil"/>
              <w:right w:val="nil"/>
            </w:tcBorders>
            <w:noWrap/>
            <w:vAlign w:val="bottom"/>
            <w:hideMark/>
          </w:tcPr>
          <w:p w14:paraId="39263B26" w14:textId="503965AF"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0.565</w:t>
            </w:r>
          </w:p>
        </w:tc>
        <w:tc>
          <w:tcPr>
            <w:tcW w:w="351" w:type="pct"/>
            <w:tcBorders>
              <w:top w:val="nil"/>
              <w:left w:val="nil"/>
              <w:bottom w:val="nil"/>
              <w:right w:val="nil"/>
            </w:tcBorders>
            <w:noWrap/>
            <w:vAlign w:val="bottom"/>
            <w:hideMark/>
          </w:tcPr>
          <w:p w14:paraId="0AB7FFE0" w14:textId="7EE30A8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0.569</w:t>
            </w:r>
          </w:p>
        </w:tc>
        <w:tc>
          <w:tcPr>
            <w:tcW w:w="314" w:type="pct"/>
            <w:tcBorders>
              <w:top w:val="nil"/>
              <w:left w:val="nil"/>
              <w:bottom w:val="nil"/>
              <w:right w:val="nil"/>
            </w:tcBorders>
            <w:noWrap/>
            <w:vAlign w:val="bottom"/>
            <w:hideMark/>
          </w:tcPr>
          <w:p w14:paraId="4FDFDC9C" w14:textId="281CE40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0.524</w:t>
            </w:r>
          </w:p>
        </w:tc>
        <w:tc>
          <w:tcPr>
            <w:tcW w:w="321" w:type="pct"/>
            <w:tcBorders>
              <w:top w:val="nil"/>
              <w:left w:val="nil"/>
              <w:bottom w:val="nil"/>
              <w:right w:val="nil"/>
            </w:tcBorders>
            <w:noWrap/>
            <w:vAlign w:val="bottom"/>
            <w:hideMark/>
          </w:tcPr>
          <w:p w14:paraId="5A1F3B44" w14:textId="6E073681"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-0.046</w:t>
            </w:r>
          </w:p>
        </w:tc>
        <w:tc>
          <w:tcPr>
            <w:tcW w:w="150" w:type="pct"/>
            <w:tcBorders>
              <w:top w:val="nil"/>
              <w:left w:val="nil"/>
              <w:bottom w:val="nil"/>
              <w:right w:val="nil"/>
            </w:tcBorders>
            <w:noWrap/>
            <w:vAlign w:val="bottom"/>
            <w:hideMark/>
          </w:tcPr>
          <w:p w14:paraId="7B317D6F"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34A61472" w14:textId="1D91956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0.541</w:t>
            </w:r>
          </w:p>
        </w:tc>
        <w:tc>
          <w:tcPr>
            <w:tcW w:w="344" w:type="pct"/>
            <w:tcBorders>
              <w:top w:val="nil"/>
              <w:left w:val="nil"/>
              <w:bottom w:val="nil"/>
              <w:right w:val="nil"/>
            </w:tcBorders>
            <w:noWrap/>
            <w:vAlign w:val="bottom"/>
            <w:hideMark/>
          </w:tcPr>
          <w:p w14:paraId="626B1C79" w14:textId="6B63F8F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0.555</w:t>
            </w:r>
          </w:p>
        </w:tc>
        <w:tc>
          <w:tcPr>
            <w:tcW w:w="344" w:type="pct"/>
            <w:tcBorders>
              <w:top w:val="nil"/>
              <w:left w:val="nil"/>
              <w:bottom w:val="nil"/>
              <w:right w:val="nil"/>
            </w:tcBorders>
            <w:noWrap/>
            <w:vAlign w:val="bottom"/>
            <w:hideMark/>
          </w:tcPr>
          <w:p w14:paraId="42303D9A" w14:textId="7553E93E"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0.501</w:t>
            </w:r>
          </w:p>
        </w:tc>
        <w:tc>
          <w:tcPr>
            <w:tcW w:w="326" w:type="pct"/>
            <w:tcBorders>
              <w:top w:val="nil"/>
              <w:left w:val="nil"/>
              <w:bottom w:val="nil"/>
              <w:right w:val="nil"/>
            </w:tcBorders>
            <w:noWrap/>
            <w:vAlign w:val="bottom"/>
            <w:hideMark/>
          </w:tcPr>
          <w:p w14:paraId="4FB80926" w14:textId="2A7AC070"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-0.054</w:t>
            </w:r>
          </w:p>
        </w:tc>
        <w:tc>
          <w:tcPr>
            <w:tcW w:w="131" w:type="pct"/>
            <w:tcBorders>
              <w:top w:val="nil"/>
              <w:left w:val="nil"/>
              <w:bottom w:val="nil"/>
              <w:right w:val="nil"/>
            </w:tcBorders>
            <w:noWrap/>
            <w:vAlign w:val="bottom"/>
            <w:hideMark/>
          </w:tcPr>
          <w:p w14:paraId="6243C63A"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5D188D97" w14:textId="31B049E2"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0.584</w:t>
            </w:r>
          </w:p>
        </w:tc>
        <w:tc>
          <w:tcPr>
            <w:tcW w:w="339" w:type="pct"/>
            <w:tcBorders>
              <w:top w:val="nil"/>
              <w:left w:val="nil"/>
              <w:bottom w:val="nil"/>
              <w:right w:val="nil"/>
            </w:tcBorders>
            <w:noWrap/>
            <w:vAlign w:val="bottom"/>
            <w:hideMark/>
          </w:tcPr>
          <w:p w14:paraId="11FCB0A0" w14:textId="0BAD0F3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0.494</w:t>
            </w:r>
          </w:p>
        </w:tc>
        <w:tc>
          <w:tcPr>
            <w:tcW w:w="339" w:type="pct"/>
            <w:tcBorders>
              <w:top w:val="nil"/>
              <w:left w:val="nil"/>
              <w:bottom w:val="nil"/>
              <w:right w:val="nil"/>
            </w:tcBorders>
            <w:noWrap/>
            <w:vAlign w:val="bottom"/>
            <w:hideMark/>
          </w:tcPr>
          <w:p w14:paraId="2610AAA4" w14:textId="1671D72B"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0.558</w:t>
            </w:r>
          </w:p>
        </w:tc>
        <w:tc>
          <w:tcPr>
            <w:tcW w:w="309" w:type="pct"/>
            <w:tcBorders>
              <w:top w:val="nil"/>
              <w:left w:val="nil"/>
              <w:bottom w:val="nil"/>
              <w:right w:val="nil"/>
            </w:tcBorders>
            <w:noWrap/>
            <w:vAlign w:val="bottom"/>
            <w:hideMark/>
          </w:tcPr>
          <w:p w14:paraId="686F181D" w14:textId="5D2CAA6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0.064</w:t>
            </w:r>
          </w:p>
        </w:tc>
      </w:tr>
      <w:tr w:rsidR="005F68E0" w:rsidRPr="006D41DE" w14:paraId="062E9F12" w14:textId="77777777" w:rsidTr="008E1E2D">
        <w:trPr>
          <w:trHeight w:val="300"/>
        </w:trPr>
        <w:tc>
          <w:tcPr>
            <w:tcW w:w="358" w:type="pct"/>
            <w:tcBorders>
              <w:top w:val="nil"/>
              <w:left w:val="nil"/>
              <w:bottom w:val="nil"/>
              <w:right w:val="nil"/>
            </w:tcBorders>
            <w:noWrap/>
            <w:vAlign w:val="bottom"/>
            <w:hideMark/>
          </w:tcPr>
          <w:p w14:paraId="6B6D22E3"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0" w:type="pct"/>
            <w:tcBorders>
              <w:top w:val="nil"/>
              <w:left w:val="nil"/>
              <w:bottom w:val="nil"/>
              <w:right w:val="nil"/>
            </w:tcBorders>
            <w:noWrap/>
            <w:vAlign w:val="bottom"/>
            <w:hideMark/>
          </w:tcPr>
          <w:p w14:paraId="54E051A1" w14:textId="77777777" w:rsidR="008E1E2D" w:rsidRPr="006D41DE" w:rsidRDefault="008E1E2D" w:rsidP="008E1E2D">
            <w:pPr>
              <w:spacing w:after="0" w:line="240" w:lineRule="auto"/>
              <w:rPr>
                <w:rFonts w:ascii="Times New Roman" w:eastAsia="Times New Roman" w:hAnsi="Times New Roman" w:cs="Times New Roman"/>
                <w:sz w:val="20"/>
                <w:szCs w:val="20"/>
                <w:lang w:eastAsia="en-CA"/>
              </w:rPr>
            </w:pPr>
          </w:p>
        </w:tc>
        <w:tc>
          <w:tcPr>
            <w:tcW w:w="351" w:type="pct"/>
            <w:tcBorders>
              <w:top w:val="nil"/>
              <w:left w:val="nil"/>
              <w:bottom w:val="nil"/>
              <w:right w:val="nil"/>
            </w:tcBorders>
            <w:noWrap/>
            <w:vAlign w:val="bottom"/>
            <w:hideMark/>
          </w:tcPr>
          <w:p w14:paraId="3CA86E5F" w14:textId="6F3F8969"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51" w:type="pct"/>
            <w:tcBorders>
              <w:top w:val="nil"/>
              <w:left w:val="nil"/>
              <w:bottom w:val="nil"/>
              <w:right w:val="nil"/>
            </w:tcBorders>
            <w:noWrap/>
            <w:vAlign w:val="bottom"/>
            <w:hideMark/>
          </w:tcPr>
          <w:p w14:paraId="249F0708" w14:textId="2CD3CF30"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14" w:type="pct"/>
            <w:tcBorders>
              <w:top w:val="nil"/>
              <w:left w:val="nil"/>
              <w:bottom w:val="nil"/>
              <w:right w:val="nil"/>
            </w:tcBorders>
            <w:noWrap/>
            <w:vAlign w:val="bottom"/>
            <w:hideMark/>
          </w:tcPr>
          <w:p w14:paraId="03DD938E" w14:textId="69E92C1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1" w:type="pct"/>
            <w:tcBorders>
              <w:top w:val="nil"/>
              <w:left w:val="nil"/>
              <w:bottom w:val="nil"/>
              <w:right w:val="nil"/>
            </w:tcBorders>
            <w:noWrap/>
            <w:vAlign w:val="bottom"/>
            <w:hideMark/>
          </w:tcPr>
          <w:p w14:paraId="6672534C" w14:textId="7F051EBE"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0.002</w:t>
            </w:r>
            <w:r>
              <w:rPr>
                <w:rFonts w:ascii="Times New Roman" w:eastAsia="Times New Roman" w:hAnsi="Times New Roman" w:cs="Times New Roman"/>
                <w:color w:val="000000"/>
                <w:sz w:val="20"/>
                <w:szCs w:val="20"/>
                <w:lang w:val="en-GB" w:eastAsia="en-GB"/>
              </w:rPr>
              <w:t>)</w:t>
            </w:r>
          </w:p>
        </w:tc>
        <w:tc>
          <w:tcPr>
            <w:tcW w:w="150" w:type="pct"/>
            <w:tcBorders>
              <w:top w:val="nil"/>
              <w:left w:val="nil"/>
              <w:bottom w:val="nil"/>
              <w:right w:val="nil"/>
            </w:tcBorders>
            <w:noWrap/>
            <w:vAlign w:val="bottom"/>
            <w:hideMark/>
          </w:tcPr>
          <w:p w14:paraId="4AF28AF6"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55C9DEFA" w14:textId="06217BFE"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3C7BEDF8" w14:textId="52ADB80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79651211" w14:textId="72B78534"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6" w:type="pct"/>
            <w:tcBorders>
              <w:top w:val="nil"/>
              <w:left w:val="nil"/>
              <w:bottom w:val="nil"/>
              <w:right w:val="nil"/>
            </w:tcBorders>
            <w:noWrap/>
            <w:vAlign w:val="bottom"/>
            <w:hideMark/>
          </w:tcPr>
          <w:p w14:paraId="35730140" w14:textId="4DDB4693"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31" w:type="pct"/>
            <w:tcBorders>
              <w:top w:val="nil"/>
              <w:left w:val="nil"/>
              <w:bottom w:val="nil"/>
              <w:right w:val="nil"/>
            </w:tcBorders>
            <w:noWrap/>
            <w:vAlign w:val="bottom"/>
            <w:hideMark/>
          </w:tcPr>
          <w:p w14:paraId="1803BD75"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6287F6BC" w14:textId="62C0668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15118435" w14:textId="12181545"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5C09AD09" w14:textId="078DAC5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09" w:type="pct"/>
            <w:tcBorders>
              <w:top w:val="nil"/>
              <w:left w:val="nil"/>
              <w:bottom w:val="nil"/>
              <w:right w:val="nil"/>
            </w:tcBorders>
            <w:noWrap/>
            <w:vAlign w:val="bottom"/>
            <w:hideMark/>
          </w:tcPr>
          <w:p w14:paraId="7A400C8E" w14:textId="21C65440"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0.134</w:t>
            </w:r>
            <w:r>
              <w:rPr>
                <w:rFonts w:ascii="Times New Roman" w:eastAsia="Times New Roman" w:hAnsi="Times New Roman" w:cs="Times New Roman"/>
                <w:color w:val="000000"/>
                <w:sz w:val="20"/>
                <w:szCs w:val="20"/>
                <w:lang w:val="en-GB" w:eastAsia="en-GB"/>
              </w:rPr>
              <w:t>)</w:t>
            </w:r>
          </w:p>
        </w:tc>
      </w:tr>
      <w:tr w:rsidR="005F68E0" w:rsidRPr="006D41DE" w14:paraId="345705A6" w14:textId="77777777" w:rsidTr="008E1E2D">
        <w:trPr>
          <w:trHeight w:val="300"/>
        </w:trPr>
        <w:tc>
          <w:tcPr>
            <w:tcW w:w="358" w:type="pct"/>
            <w:tcBorders>
              <w:top w:val="nil"/>
              <w:left w:val="nil"/>
              <w:bottom w:val="nil"/>
              <w:right w:val="nil"/>
            </w:tcBorders>
            <w:noWrap/>
            <w:vAlign w:val="bottom"/>
            <w:hideMark/>
          </w:tcPr>
          <w:p w14:paraId="45993634"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r w:rsidRPr="006D41DE">
              <w:rPr>
                <w:rFonts w:ascii="Times New Roman" w:eastAsia="Times New Roman" w:hAnsi="Times New Roman" w:cs="Times New Roman"/>
                <w:i/>
                <w:iCs/>
                <w:color w:val="000000"/>
                <w:sz w:val="20"/>
                <w:szCs w:val="20"/>
                <w:lang w:eastAsia="en-CA"/>
              </w:rPr>
              <w:t>|earn|</w:t>
            </w:r>
          </w:p>
        </w:tc>
        <w:tc>
          <w:tcPr>
            <w:tcW w:w="340" w:type="pct"/>
            <w:tcBorders>
              <w:top w:val="nil"/>
              <w:left w:val="nil"/>
              <w:bottom w:val="nil"/>
              <w:right w:val="nil"/>
            </w:tcBorders>
            <w:noWrap/>
            <w:vAlign w:val="bottom"/>
            <w:hideMark/>
          </w:tcPr>
          <w:p w14:paraId="21C1395E"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p>
        </w:tc>
        <w:tc>
          <w:tcPr>
            <w:tcW w:w="351" w:type="pct"/>
            <w:tcBorders>
              <w:top w:val="nil"/>
              <w:left w:val="nil"/>
              <w:bottom w:val="nil"/>
              <w:right w:val="nil"/>
            </w:tcBorders>
            <w:noWrap/>
            <w:vAlign w:val="bottom"/>
            <w:hideMark/>
          </w:tcPr>
          <w:p w14:paraId="0CC281C6" w14:textId="63BBD339"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0.346</w:t>
            </w:r>
          </w:p>
        </w:tc>
        <w:tc>
          <w:tcPr>
            <w:tcW w:w="351" w:type="pct"/>
            <w:tcBorders>
              <w:top w:val="nil"/>
              <w:left w:val="nil"/>
              <w:bottom w:val="nil"/>
              <w:right w:val="nil"/>
            </w:tcBorders>
            <w:noWrap/>
            <w:vAlign w:val="bottom"/>
            <w:hideMark/>
          </w:tcPr>
          <w:p w14:paraId="1CF94C5E" w14:textId="2C5AFBB9"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0.403</w:t>
            </w:r>
          </w:p>
        </w:tc>
        <w:tc>
          <w:tcPr>
            <w:tcW w:w="314" w:type="pct"/>
            <w:tcBorders>
              <w:top w:val="nil"/>
              <w:left w:val="nil"/>
              <w:bottom w:val="nil"/>
              <w:right w:val="nil"/>
            </w:tcBorders>
            <w:noWrap/>
            <w:vAlign w:val="bottom"/>
            <w:hideMark/>
          </w:tcPr>
          <w:p w14:paraId="22F377E9" w14:textId="3DF26ADB"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0.369</w:t>
            </w:r>
          </w:p>
        </w:tc>
        <w:tc>
          <w:tcPr>
            <w:tcW w:w="321" w:type="pct"/>
            <w:tcBorders>
              <w:top w:val="nil"/>
              <w:left w:val="nil"/>
              <w:bottom w:val="nil"/>
              <w:right w:val="nil"/>
            </w:tcBorders>
            <w:noWrap/>
            <w:vAlign w:val="bottom"/>
            <w:hideMark/>
          </w:tcPr>
          <w:p w14:paraId="714BDD3D" w14:textId="74DA4625"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-0.034</w:t>
            </w:r>
          </w:p>
        </w:tc>
        <w:tc>
          <w:tcPr>
            <w:tcW w:w="150" w:type="pct"/>
            <w:tcBorders>
              <w:top w:val="nil"/>
              <w:left w:val="nil"/>
              <w:bottom w:val="nil"/>
              <w:right w:val="nil"/>
            </w:tcBorders>
            <w:noWrap/>
            <w:vAlign w:val="bottom"/>
            <w:hideMark/>
          </w:tcPr>
          <w:p w14:paraId="067364D3"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13EFA947" w14:textId="791ADB89"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0.328</w:t>
            </w:r>
          </w:p>
        </w:tc>
        <w:tc>
          <w:tcPr>
            <w:tcW w:w="344" w:type="pct"/>
            <w:tcBorders>
              <w:top w:val="nil"/>
              <w:left w:val="nil"/>
              <w:bottom w:val="nil"/>
              <w:right w:val="nil"/>
            </w:tcBorders>
            <w:noWrap/>
            <w:vAlign w:val="bottom"/>
            <w:hideMark/>
          </w:tcPr>
          <w:p w14:paraId="6C3DCC3A" w14:textId="3F1B0109"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0.369</w:t>
            </w:r>
          </w:p>
        </w:tc>
        <w:tc>
          <w:tcPr>
            <w:tcW w:w="344" w:type="pct"/>
            <w:tcBorders>
              <w:top w:val="nil"/>
              <w:left w:val="nil"/>
              <w:bottom w:val="nil"/>
              <w:right w:val="nil"/>
            </w:tcBorders>
            <w:noWrap/>
            <w:vAlign w:val="bottom"/>
            <w:hideMark/>
          </w:tcPr>
          <w:p w14:paraId="19D0B932" w14:textId="443E050B"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0.355</w:t>
            </w:r>
          </w:p>
        </w:tc>
        <w:tc>
          <w:tcPr>
            <w:tcW w:w="326" w:type="pct"/>
            <w:tcBorders>
              <w:top w:val="nil"/>
              <w:left w:val="nil"/>
              <w:bottom w:val="nil"/>
              <w:right w:val="nil"/>
            </w:tcBorders>
            <w:noWrap/>
            <w:vAlign w:val="bottom"/>
            <w:hideMark/>
          </w:tcPr>
          <w:p w14:paraId="775D6AD5" w14:textId="3143412E"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-0.013</w:t>
            </w:r>
          </w:p>
        </w:tc>
        <w:tc>
          <w:tcPr>
            <w:tcW w:w="131" w:type="pct"/>
            <w:tcBorders>
              <w:top w:val="nil"/>
              <w:left w:val="nil"/>
              <w:bottom w:val="nil"/>
              <w:right w:val="nil"/>
            </w:tcBorders>
            <w:noWrap/>
            <w:vAlign w:val="bottom"/>
            <w:hideMark/>
          </w:tcPr>
          <w:p w14:paraId="55D86C02"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6AB461AA" w14:textId="2AC7328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0.349</w:t>
            </w:r>
          </w:p>
        </w:tc>
        <w:tc>
          <w:tcPr>
            <w:tcW w:w="339" w:type="pct"/>
            <w:tcBorders>
              <w:top w:val="nil"/>
              <w:left w:val="nil"/>
              <w:bottom w:val="nil"/>
              <w:right w:val="nil"/>
            </w:tcBorders>
            <w:noWrap/>
            <w:vAlign w:val="bottom"/>
            <w:hideMark/>
          </w:tcPr>
          <w:p w14:paraId="2513A7E7" w14:textId="3A1DB9EC"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0.458</w:t>
            </w:r>
          </w:p>
        </w:tc>
        <w:tc>
          <w:tcPr>
            <w:tcW w:w="339" w:type="pct"/>
            <w:tcBorders>
              <w:top w:val="nil"/>
              <w:left w:val="nil"/>
              <w:bottom w:val="nil"/>
              <w:right w:val="nil"/>
            </w:tcBorders>
            <w:noWrap/>
            <w:vAlign w:val="bottom"/>
            <w:hideMark/>
          </w:tcPr>
          <w:p w14:paraId="7E1D0708" w14:textId="3BBF4BF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0.373</w:t>
            </w:r>
          </w:p>
        </w:tc>
        <w:tc>
          <w:tcPr>
            <w:tcW w:w="309" w:type="pct"/>
            <w:tcBorders>
              <w:top w:val="nil"/>
              <w:left w:val="nil"/>
              <w:bottom w:val="nil"/>
              <w:right w:val="nil"/>
            </w:tcBorders>
            <w:noWrap/>
            <w:vAlign w:val="bottom"/>
            <w:hideMark/>
          </w:tcPr>
          <w:p w14:paraId="3AA3AE00" w14:textId="7BA1BE94"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-0.084</w:t>
            </w:r>
          </w:p>
        </w:tc>
      </w:tr>
      <w:tr w:rsidR="005F68E0" w:rsidRPr="006D41DE" w14:paraId="349AB1F5" w14:textId="77777777" w:rsidTr="008E1E2D">
        <w:trPr>
          <w:trHeight w:val="300"/>
        </w:trPr>
        <w:tc>
          <w:tcPr>
            <w:tcW w:w="358" w:type="pct"/>
            <w:tcBorders>
              <w:top w:val="nil"/>
              <w:left w:val="nil"/>
              <w:bottom w:val="nil"/>
              <w:right w:val="nil"/>
            </w:tcBorders>
            <w:noWrap/>
            <w:vAlign w:val="bottom"/>
            <w:hideMark/>
          </w:tcPr>
          <w:p w14:paraId="09808E5F"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0" w:type="pct"/>
            <w:tcBorders>
              <w:top w:val="nil"/>
              <w:left w:val="nil"/>
              <w:bottom w:val="nil"/>
              <w:right w:val="nil"/>
            </w:tcBorders>
            <w:noWrap/>
            <w:vAlign w:val="bottom"/>
            <w:hideMark/>
          </w:tcPr>
          <w:p w14:paraId="23E2768E" w14:textId="77777777" w:rsidR="008E1E2D" w:rsidRPr="006D41DE" w:rsidRDefault="008E1E2D" w:rsidP="008E1E2D">
            <w:pPr>
              <w:spacing w:after="0" w:line="240" w:lineRule="auto"/>
              <w:rPr>
                <w:rFonts w:ascii="Times New Roman" w:eastAsia="Times New Roman" w:hAnsi="Times New Roman" w:cs="Times New Roman"/>
                <w:sz w:val="20"/>
                <w:szCs w:val="20"/>
                <w:lang w:eastAsia="en-CA"/>
              </w:rPr>
            </w:pPr>
          </w:p>
        </w:tc>
        <w:tc>
          <w:tcPr>
            <w:tcW w:w="351" w:type="pct"/>
            <w:tcBorders>
              <w:top w:val="nil"/>
              <w:left w:val="nil"/>
              <w:bottom w:val="nil"/>
              <w:right w:val="nil"/>
            </w:tcBorders>
            <w:noWrap/>
            <w:vAlign w:val="bottom"/>
            <w:hideMark/>
          </w:tcPr>
          <w:p w14:paraId="41EAE739" w14:textId="5E0506B9"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51" w:type="pct"/>
            <w:tcBorders>
              <w:top w:val="nil"/>
              <w:left w:val="nil"/>
              <w:bottom w:val="nil"/>
              <w:right w:val="nil"/>
            </w:tcBorders>
            <w:noWrap/>
            <w:vAlign w:val="bottom"/>
            <w:hideMark/>
          </w:tcPr>
          <w:p w14:paraId="6BB5540A" w14:textId="0333D60C"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14" w:type="pct"/>
            <w:tcBorders>
              <w:top w:val="nil"/>
              <w:left w:val="nil"/>
              <w:bottom w:val="nil"/>
              <w:right w:val="nil"/>
            </w:tcBorders>
            <w:noWrap/>
            <w:vAlign w:val="bottom"/>
            <w:hideMark/>
          </w:tcPr>
          <w:p w14:paraId="2665F7C6" w14:textId="0A8311D4"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1" w:type="pct"/>
            <w:tcBorders>
              <w:top w:val="nil"/>
              <w:left w:val="nil"/>
              <w:bottom w:val="nil"/>
              <w:right w:val="nil"/>
            </w:tcBorders>
            <w:noWrap/>
            <w:vAlign w:val="bottom"/>
            <w:hideMark/>
          </w:tcPr>
          <w:p w14:paraId="30DF2F63" w14:textId="473C2811"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0.005</w:t>
            </w:r>
            <w:r>
              <w:rPr>
                <w:rFonts w:ascii="Times New Roman" w:eastAsia="Times New Roman" w:hAnsi="Times New Roman" w:cs="Times New Roman"/>
                <w:color w:val="000000"/>
                <w:sz w:val="20"/>
                <w:szCs w:val="20"/>
                <w:lang w:val="en-GB" w:eastAsia="en-GB"/>
              </w:rPr>
              <w:t>)</w:t>
            </w:r>
          </w:p>
        </w:tc>
        <w:tc>
          <w:tcPr>
            <w:tcW w:w="150" w:type="pct"/>
            <w:tcBorders>
              <w:top w:val="nil"/>
              <w:left w:val="nil"/>
              <w:bottom w:val="nil"/>
              <w:right w:val="nil"/>
            </w:tcBorders>
            <w:noWrap/>
            <w:vAlign w:val="bottom"/>
            <w:hideMark/>
          </w:tcPr>
          <w:p w14:paraId="7D29B53D"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441AE1EA" w14:textId="68872162"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5659B87B" w14:textId="0015614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4B0724CB" w14:textId="20D3B8E6"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6" w:type="pct"/>
            <w:tcBorders>
              <w:top w:val="nil"/>
              <w:left w:val="nil"/>
              <w:bottom w:val="nil"/>
              <w:right w:val="nil"/>
            </w:tcBorders>
            <w:noWrap/>
            <w:vAlign w:val="bottom"/>
            <w:hideMark/>
          </w:tcPr>
          <w:p w14:paraId="6C1B5EFA" w14:textId="5B2FBE59"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0.382</w:t>
            </w:r>
            <w:r>
              <w:rPr>
                <w:rFonts w:ascii="Times New Roman" w:eastAsia="Times New Roman" w:hAnsi="Times New Roman" w:cs="Times New Roman"/>
                <w:color w:val="000000"/>
                <w:sz w:val="20"/>
                <w:szCs w:val="20"/>
                <w:lang w:val="en-GB" w:eastAsia="en-GB"/>
              </w:rPr>
              <w:t>)</w:t>
            </w:r>
          </w:p>
        </w:tc>
        <w:tc>
          <w:tcPr>
            <w:tcW w:w="131" w:type="pct"/>
            <w:tcBorders>
              <w:top w:val="nil"/>
              <w:left w:val="nil"/>
              <w:bottom w:val="nil"/>
              <w:right w:val="nil"/>
            </w:tcBorders>
            <w:noWrap/>
            <w:vAlign w:val="bottom"/>
            <w:hideMark/>
          </w:tcPr>
          <w:p w14:paraId="711797DA"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312969ED" w14:textId="748F5894"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1CD179F3" w14:textId="2F84B458"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2B401261" w14:textId="6199F793"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09" w:type="pct"/>
            <w:tcBorders>
              <w:top w:val="nil"/>
              <w:left w:val="nil"/>
              <w:bottom w:val="nil"/>
              <w:right w:val="nil"/>
            </w:tcBorders>
            <w:noWrap/>
            <w:vAlign w:val="bottom"/>
            <w:hideMark/>
          </w:tcPr>
          <w:p w14:paraId="540DE86E" w14:textId="3A34EA65"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0.043</w:t>
            </w:r>
            <w:r>
              <w:rPr>
                <w:rFonts w:ascii="Times New Roman" w:eastAsia="Times New Roman" w:hAnsi="Times New Roman" w:cs="Times New Roman"/>
                <w:color w:val="000000"/>
                <w:sz w:val="20"/>
                <w:szCs w:val="20"/>
                <w:lang w:val="en-GB" w:eastAsia="en-GB"/>
              </w:rPr>
              <w:t>)</w:t>
            </w:r>
          </w:p>
        </w:tc>
      </w:tr>
      <w:tr w:rsidR="005F68E0" w:rsidRPr="006D41DE" w14:paraId="5A68EAAF" w14:textId="77777777" w:rsidTr="008E1E2D">
        <w:trPr>
          <w:trHeight w:val="300"/>
        </w:trPr>
        <w:tc>
          <w:tcPr>
            <w:tcW w:w="698" w:type="pct"/>
            <w:gridSpan w:val="2"/>
            <w:tcBorders>
              <w:top w:val="nil"/>
              <w:left w:val="nil"/>
              <w:bottom w:val="nil"/>
              <w:right w:val="nil"/>
            </w:tcBorders>
            <w:noWrap/>
            <w:vAlign w:val="bottom"/>
            <w:hideMark/>
          </w:tcPr>
          <w:p w14:paraId="2DA9D05B"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r w:rsidRPr="006D41DE">
              <w:rPr>
                <w:rFonts w:ascii="Times New Roman" w:eastAsia="Times New Roman" w:hAnsi="Times New Roman" w:cs="Times New Roman"/>
                <w:i/>
                <w:iCs/>
                <w:color w:val="000000"/>
                <w:sz w:val="20"/>
                <w:szCs w:val="20"/>
                <w:lang w:eastAsia="en-CA"/>
              </w:rPr>
              <w:t>|earn|×I</w:t>
            </w:r>
            <w:r w:rsidRPr="006D41DE">
              <w:rPr>
                <w:rFonts w:ascii="Times New Roman" w:eastAsia="Times New Roman" w:hAnsi="Times New Roman" w:cs="Times New Roman"/>
                <w:i/>
                <w:iCs/>
                <w:color w:val="000000"/>
                <w:sz w:val="20"/>
                <w:szCs w:val="20"/>
                <w:vertAlign w:val="subscript"/>
                <w:lang w:eastAsia="en-CA"/>
              </w:rPr>
              <w:t>EARN&lt;0</w:t>
            </w:r>
          </w:p>
        </w:tc>
        <w:tc>
          <w:tcPr>
            <w:tcW w:w="351" w:type="pct"/>
            <w:tcBorders>
              <w:top w:val="nil"/>
              <w:left w:val="nil"/>
              <w:bottom w:val="nil"/>
              <w:right w:val="nil"/>
            </w:tcBorders>
            <w:noWrap/>
            <w:vAlign w:val="bottom"/>
            <w:hideMark/>
          </w:tcPr>
          <w:p w14:paraId="66AB106B" w14:textId="41B25D74"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-0.219</w:t>
            </w:r>
          </w:p>
        </w:tc>
        <w:tc>
          <w:tcPr>
            <w:tcW w:w="351" w:type="pct"/>
            <w:tcBorders>
              <w:top w:val="nil"/>
              <w:left w:val="nil"/>
              <w:bottom w:val="nil"/>
              <w:right w:val="nil"/>
            </w:tcBorders>
            <w:noWrap/>
            <w:vAlign w:val="bottom"/>
            <w:hideMark/>
          </w:tcPr>
          <w:p w14:paraId="4BA1BF26" w14:textId="6135B90D"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-0.283</w:t>
            </w:r>
          </w:p>
        </w:tc>
        <w:tc>
          <w:tcPr>
            <w:tcW w:w="314" w:type="pct"/>
            <w:tcBorders>
              <w:top w:val="nil"/>
              <w:left w:val="nil"/>
              <w:bottom w:val="nil"/>
              <w:right w:val="nil"/>
            </w:tcBorders>
            <w:noWrap/>
            <w:vAlign w:val="bottom"/>
            <w:hideMark/>
          </w:tcPr>
          <w:p w14:paraId="172EEC53" w14:textId="425CD88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-0.162</w:t>
            </w:r>
          </w:p>
        </w:tc>
        <w:tc>
          <w:tcPr>
            <w:tcW w:w="321" w:type="pct"/>
            <w:tcBorders>
              <w:top w:val="nil"/>
              <w:left w:val="nil"/>
              <w:bottom w:val="nil"/>
              <w:right w:val="nil"/>
            </w:tcBorders>
            <w:noWrap/>
            <w:vAlign w:val="bottom"/>
            <w:hideMark/>
          </w:tcPr>
          <w:p w14:paraId="7E2CE59E" w14:textId="1533B81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0.121</w:t>
            </w:r>
          </w:p>
        </w:tc>
        <w:tc>
          <w:tcPr>
            <w:tcW w:w="150" w:type="pct"/>
            <w:tcBorders>
              <w:top w:val="nil"/>
              <w:left w:val="nil"/>
              <w:bottom w:val="nil"/>
              <w:right w:val="nil"/>
            </w:tcBorders>
            <w:noWrap/>
            <w:vAlign w:val="bottom"/>
            <w:hideMark/>
          </w:tcPr>
          <w:p w14:paraId="1B71EAD1"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7C4A16AF" w14:textId="1D87F2C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-0.259</w:t>
            </w:r>
          </w:p>
        </w:tc>
        <w:tc>
          <w:tcPr>
            <w:tcW w:w="344" w:type="pct"/>
            <w:tcBorders>
              <w:top w:val="nil"/>
              <w:left w:val="nil"/>
              <w:bottom w:val="nil"/>
              <w:right w:val="nil"/>
            </w:tcBorders>
            <w:noWrap/>
            <w:vAlign w:val="bottom"/>
            <w:hideMark/>
          </w:tcPr>
          <w:p w14:paraId="415531B5" w14:textId="3CFB7DD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-0.316</w:t>
            </w:r>
          </w:p>
        </w:tc>
        <w:tc>
          <w:tcPr>
            <w:tcW w:w="344" w:type="pct"/>
            <w:tcBorders>
              <w:top w:val="nil"/>
              <w:left w:val="nil"/>
              <w:bottom w:val="nil"/>
              <w:right w:val="nil"/>
            </w:tcBorders>
            <w:noWrap/>
            <w:vAlign w:val="bottom"/>
            <w:hideMark/>
          </w:tcPr>
          <w:p w14:paraId="7C60C996" w14:textId="2374F6B2"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-0.235</w:t>
            </w:r>
          </w:p>
        </w:tc>
        <w:tc>
          <w:tcPr>
            <w:tcW w:w="326" w:type="pct"/>
            <w:tcBorders>
              <w:top w:val="nil"/>
              <w:left w:val="nil"/>
              <w:bottom w:val="nil"/>
              <w:right w:val="nil"/>
            </w:tcBorders>
            <w:noWrap/>
            <w:vAlign w:val="bottom"/>
            <w:hideMark/>
          </w:tcPr>
          <w:p w14:paraId="282281B8" w14:textId="58AA5A6E"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0.081</w:t>
            </w:r>
          </w:p>
        </w:tc>
        <w:tc>
          <w:tcPr>
            <w:tcW w:w="131" w:type="pct"/>
            <w:tcBorders>
              <w:top w:val="nil"/>
              <w:left w:val="nil"/>
              <w:bottom w:val="nil"/>
              <w:right w:val="nil"/>
            </w:tcBorders>
            <w:noWrap/>
            <w:vAlign w:val="bottom"/>
            <w:hideMark/>
          </w:tcPr>
          <w:p w14:paraId="4ED73DFE"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3272246C" w14:textId="793A82D2"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-0.123</w:t>
            </w:r>
          </w:p>
        </w:tc>
        <w:tc>
          <w:tcPr>
            <w:tcW w:w="339" w:type="pct"/>
            <w:tcBorders>
              <w:top w:val="nil"/>
              <w:left w:val="nil"/>
              <w:bottom w:val="nil"/>
              <w:right w:val="nil"/>
            </w:tcBorders>
            <w:noWrap/>
            <w:vAlign w:val="bottom"/>
            <w:hideMark/>
          </w:tcPr>
          <w:p w14:paraId="5FEC1355" w14:textId="2520DF2D"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-0.132</w:t>
            </w:r>
          </w:p>
        </w:tc>
        <w:tc>
          <w:tcPr>
            <w:tcW w:w="339" w:type="pct"/>
            <w:tcBorders>
              <w:top w:val="nil"/>
              <w:left w:val="nil"/>
              <w:bottom w:val="nil"/>
              <w:right w:val="nil"/>
            </w:tcBorders>
            <w:noWrap/>
            <w:vAlign w:val="bottom"/>
            <w:hideMark/>
          </w:tcPr>
          <w:p w14:paraId="7EAE8462" w14:textId="527E1DA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-0.081</w:t>
            </w:r>
          </w:p>
        </w:tc>
        <w:tc>
          <w:tcPr>
            <w:tcW w:w="309" w:type="pct"/>
            <w:tcBorders>
              <w:top w:val="nil"/>
              <w:left w:val="nil"/>
              <w:bottom w:val="nil"/>
              <w:right w:val="nil"/>
            </w:tcBorders>
            <w:noWrap/>
            <w:vAlign w:val="bottom"/>
            <w:hideMark/>
          </w:tcPr>
          <w:p w14:paraId="0819A202" w14:textId="44D640C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0.051</w:t>
            </w:r>
          </w:p>
        </w:tc>
      </w:tr>
      <w:tr w:rsidR="005F68E0" w:rsidRPr="006D41DE" w14:paraId="52CE34D2" w14:textId="77777777" w:rsidTr="008E1E2D">
        <w:trPr>
          <w:trHeight w:val="300"/>
        </w:trPr>
        <w:tc>
          <w:tcPr>
            <w:tcW w:w="358" w:type="pct"/>
            <w:tcBorders>
              <w:top w:val="nil"/>
              <w:left w:val="nil"/>
              <w:bottom w:val="nil"/>
              <w:right w:val="nil"/>
            </w:tcBorders>
            <w:noWrap/>
            <w:vAlign w:val="bottom"/>
            <w:hideMark/>
          </w:tcPr>
          <w:p w14:paraId="0600321D"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0" w:type="pct"/>
            <w:tcBorders>
              <w:top w:val="nil"/>
              <w:left w:val="nil"/>
              <w:bottom w:val="nil"/>
              <w:right w:val="nil"/>
            </w:tcBorders>
            <w:noWrap/>
            <w:vAlign w:val="bottom"/>
            <w:hideMark/>
          </w:tcPr>
          <w:p w14:paraId="508F43A6" w14:textId="77777777" w:rsidR="008E1E2D" w:rsidRPr="006D41DE" w:rsidRDefault="008E1E2D" w:rsidP="008E1E2D">
            <w:pPr>
              <w:spacing w:after="0" w:line="240" w:lineRule="auto"/>
              <w:rPr>
                <w:rFonts w:ascii="Times New Roman" w:eastAsia="Times New Roman" w:hAnsi="Times New Roman" w:cs="Times New Roman"/>
                <w:sz w:val="20"/>
                <w:szCs w:val="20"/>
                <w:lang w:eastAsia="en-CA"/>
              </w:rPr>
            </w:pPr>
          </w:p>
        </w:tc>
        <w:tc>
          <w:tcPr>
            <w:tcW w:w="351" w:type="pct"/>
            <w:tcBorders>
              <w:top w:val="nil"/>
              <w:left w:val="nil"/>
              <w:bottom w:val="nil"/>
              <w:right w:val="nil"/>
            </w:tcBorders>
            <w:noWrap/>
            <w:vAlign w:val="bottom"/>
            <w:hideMark/>
          </w:tcPr>
          <w:p w14:paraId="23230B3A"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351" w:type="pct"/>
            <w:tcBorders>
              <w:top w:val="nil"/>
              <w:left w:val="nil"/>
              <w:bottom w:val="nil"/>
              <w:right w:val="nil"/>
            </w:tcBorders>
            <w:noWrap/>
            <w:vAlign w:val="bottom"/>
            <w:hideMark/>
          </w:tcPr>
          <w:p w14:paraId="12727455"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314" w:type="pct"/>
            <w:tcBorders>
              <w:top w:val="nil"/>
              <w:left w:val="nil"/>
              <w:bottom w:val="nil"/>
              <w:right w:val="nil"/>
            </w:tcBorders>
            <w:noWrap/>
            <w:vAlign w:val="bottom"/>
            <w:hideMark/>
          </w:tcPr>
          <w:p w14:paraId="4BE5A690"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321" w:type="pct"/>
            <w:tcBorders>
              <w:top w:val="nil"/>
              <w:left w:val="nil"/>
              <w:bottom w:val="nil"/>
              <w:right w:val="nil"/>
            </w:tcBorders>
            <w:noWrap/>
            <w:vAlign w:val="bottom"/>
            <w:hideMark/>
          </w:tcPr>
          <w:p w14:paraId="4433B94E"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150" w:type="pct"/>
            <w:tcBorders>
              <w:top w:val="nil"/>
              <w:left w:val="nil"/>
              <w:bottom w:val="nil"/>
              <w:right w:val="nil"/>
            </w:tcBorders>
            <w:noWrap/>
            <w:vAlign w:val="bottom"/>
            <w:hideMark/>
          </w:tcPr>
          <w:p w14:paraId="0F58BAC2"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5A015AA6"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344" w:type="pct"/>
            <w:tcBorders>
              <w:top w:val="nil"/>
              <w:left w:val="nil"/>
              <w:bottom w:val="nil"/>
              <w:right w:val="nil"/>
            </w:tcBorders>
            <w:noWrap/>
            <w:vAlign w:val="bottom"/>
            <w:hideMark/>
          </w:tcPr>
          <w:p w14:paraId="00FF78A9"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344" w:type="pct"/>
            <w:tcBorders>
              <w:top w:val="nil"/>
              <w:left w:val="nil"/>
              <w:bottom w:val="nil"/>
              <w:right w:val="nil"/>
            </w:tcBorders>
            <w:noWrap/>
            <w:vAlign w:val="bottom"/>
            <w:hideMark/>
          </w:tcPr>
          <w:p w14:paraId="63C4A384"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(0.000)</w:t>
            </w:r>
          </w:p>
        </w:tc>
        <w:tc>
          <w:tcPr>
            <w:tcW w:w="326" w:type="pct"/>
            <w:tcBorders>
              <w:top w:val="nil"/>
              <w:left w:val="nil"/>
              <w:bottom w:val="nil"/>
              <w:right w:val="nil"/>
            </w:tcBorders>
            <w:noWrap/>
            <w:vAlign w:val="bottom"/>
            <w:hideMark/>
          </w:tcPr>
          <w:p w14:paraId="09C1DAAC" w14:textId="773E4435"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w:t>
            </w:r>
            <w:r w:rsidRPr="00E77A18">
              <w:rPr>
                <w:rFonts w:ascii="Times New Roman" w:eastAsia="Times New Roman" w:hAnsi="Times New Roman" w:cs="Times New Roman"/>
                <w:color w:val="000000"/>
                <w:sz w:val="20"/>
                <w:szCs w:val="20"/>
                <w:lang w:val="en-GB" w:eastAsia="en-GB"/>
              </w:rPr>
              <w:t>0.011</w:t>
            </w:r>
            <w:r w:rsidRPr="006D41DE">
              <w:rPr>
                <w:rFonts w:ascii="Times New Roman" w:eastAsia="Times New Roman" w:hAnsi="Times New Roman" w:cs="Times New Roman"/>
                <w:color w:val="000000"/>
                <w:sz w:val="20"/>
                <w:szCs w:val="20"/>
                <w:lang w:eastAsia="en-CA"/>
              </w:rPr>
              <w:t>)</w:t>
            </w:r>
          </w:p>
        </w:tc>
        <w:tc>
          <w:tcPr>
            <w:tcW w:w="131" w:type="pct"/>
            <w:tcBorders>
              <w:top w:val="nil"/>
              <w:left w:val="nil"/>
              <w:bottom w:val="nil"/>
              <w:right w:val="nil"/>
            </w:tcBorders>
            <w:noWrap/>
            <w:vAlign w:val="bottom"/>
            <w:hideMark/>
          </w:tcPr>
          <w:p w14:paraId="6CEE9DA5"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1922C6BE" w14:textId="74F0655C"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0.232</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662F2DFB" w14:textId="1522B125"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0.267</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3B03D08C" w14:textId="6E0D7894"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0.355</w:t>
            </w:r>
            <w:r>
              <w:rPr>
                <w:rFonts w:ascii="Times New Roman" w:eastAsia="Times New Roman" w:hAnsi="Times New Roman" w:cs="Times New Roman"/>
                <w:color w:val="000000"/>
                <w:sz w:val="20"/>
                <w:szCs w:val="20"/>
                <w:lang w:val="en-GB" w:eastAsia="en-GB"/>
              </w:rPr>
              <w:t>)</w:t>
            </w:r>
          </w:p>
        </w:tc>
        <w:tc>
          <w:tcPr>
            <w:tcW w:w="309" w:type="pct"/>
            <w:tcBorders>
              <w:top w:val="nil"/>
              <w:left w:val="nil"/>
              <w:bottom w:val="nil"/>
              <w:right w:val="nil"/>
            </w:tcBorders>
            <w:noWrap/>
            <w:vAlign w:val="bottom"/>
            <w:hideMark/>
          </w:tcPr>
          <w:p w14:paraId="1C6466F3" w14:textId="0F54698E"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0.194</w:t>
            </w:r>
            <w:r>
              <w:rPr>
                <w:rFonts w:ascii="Times New Roman" w:eastAsia="Times New Roman" w:hAnsi="Times New Roman" w:cs="Times New Roman"/>
                <w:color w:val="000000"/>
                <w:sz w:val="20"/>
                <w:szCs w:val="20"/>
                <w:lang w:val="en-GB" w:eastAsia="en-GB"/>
              </w:rPr>
              <w:t>)</w:t>
            </w:r>
          </w:p>
        </w:tc>
      </w:tr>
      <w:tr w:rsidR="005F68E0" w:rsidRPr="006D41DE" w14:paraId="3FD9E73C" w14:textId="77777777" w:rsidTr="008E1E2D">
        <w:trPr>
          <w:trHeight w:val="300"/>
        </w:trPr>
        <w:tc>
          <w:tcPr>
            <w:tcW w:w="358" w:type="pct"/>
            <w:tcBorders>
              <w:top w:val="nil"/>
              <w:left w:val="nil"/>
              <w:bottom w:val="nil"/>
              <w:right w:val="nil"/>
            </w:tcBorders>
            <w:noWrap/>
            <w:vAlign w:val="bottom"/>
            <w:hideMark/>
          </w:tcPr>
          <w:p w14:paraId="4BCD2D23"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r w:rsidRPr="006D41DE">
              <w:rPr>
                <w:rFonts w:ascii="Times New Roman" w:eastAsia="Times New Roman" w:hAnsi="Times New Roman" w:cs="Times New Roman"/>
                <w:i/>
                <w:iCs/>
                <w:color w:val="000000"/>
                <w:sz w:val="20"/>
                <w:szCs w:val="20"/>
                <w:lang w:eastAsia="en-CA"/>
              </w:rPr>
              <w:t>LEV</w:t>
            </w:r>
          </w:p>
        </w:tc>
        <w:tc>
          <w:tcPr>
            <w:tcW w:w="340" w:type="pct"/>
            <w:tcBorders>
              <w:top w:val="nil"/>
              <w:left w:val="nil"/>
              <w:bottom w:val="nil"/>
              <w:right w:val="nil"/>
            </w:tcBorders>
            <w:noWrap/>
            <w:vAlign w:val="bottom"/>
            <w:hideMark/>
          </w:tcPr>
          <w:p w14:paraId="1949712F" w14:textId="77777777" w:rsidR="008E1E2D" w:rsidRPr="006D41DE" w:rsidRDefault="008E1E2D" w:rsidP="008E1E2D">
            <w:pPr>
              <w:spacing w:after="0" w:line="240" w:lineRule="auto"/>
              <w:rPr>
                <w:rFonts w:ascii="Times New Roman" w:eastAsia="Times New Roman" w:hAnsi="Times New Roman" w:cs="Times New Roman"/>
                <w:i/>
                <w:iCs/>
                <w:color w:val="000000"/>
                <w:sz w:val="20"/>
                <w:szCs w:val="20"/>
                <w:lang w:eastAsia="en-CA"/>
              </w:rPr>
            </w:pPr>
          </w:p>
        </w:tc>
        <w:tc>
          <w:tcPr>
            <w:tcW w:w="351" w:type="pct"/>
            <w:tcBorders>
              <w:top w:val="nil"/>
              <w:left w:val="nil"/>
              <w:bottom w:val="nil"/>
              <w:right w:val="nil"/>
            </w:tcBorders>
            <w:noWrap/>
            <w:vAlign w:val="bottom"/>
            <w:hideMark/>
          </w:tcPr>
          <w:p w14:paraId="3187C6E8" w14:textId="5A9BFA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0.074</w:t>
            </w:r>
          </w:p>
        </w:tc>
        <w:tc>
          <w:tcPr>
            <w:tcW w:w="351" w:type="pct"/>
            <w:tcBorders>
              <w:top w:val="nil"/>
              <w:left w:val="nil"/>
              <w:bottom w:val="nil"/>
              <w:right w:val="nil"/>
            </w:tcBorders>
            <w:noWrap/>
            <w:vAlign w:val="bottom"/>
            <w:hideMark/>
          </w:tcPr>
          <w:p w14:paraId="40E679EA" w14:textId="58BEF89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0.005</w:t>
            </w:r>
          </w:p>
        </w:tc>
        <w:tc>
          <w:tcPr>
            <w:tcW w:w="314" w:type="pct"/>
            <w:tcBorders>
              <w:top w:val="nil"/>
              <w:left w:val="nil"/>
              <w:bottom w:val="nil"/>
              <w:right w:val="nil"/>
            </w:tcBorders>
            <w:noWrap/>
            <w:vAlign w:val="bottom"/>
            <w:hideMark/>
          </w:tcPr>
          <w:p w14:paraId="64DFD25C" w14:textId="00EA30A0"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0.067</w:t>
            </w:r>
          </w:p>
        </w:tc>
        <w:tc>
          <w:tcPr>
            <w:tcW w:w="321" w:type="pct"/>
            <w:tcBorders>
              <w:top w:val="nil"/>
              <w:left w:val="nil"/>
              <w:bottom w:val="nil"/>
              <w:right w:val="nil"/>
            </w:tcBorders>
            <w:noWrap/>
            <w:vAlign w:val="bottom"/>
            <w:hideMark/>
          </w:tcPr>
          <w:p w14:paraId="7995F0C8" w14:textId="555ABB4B"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0.062</w:t>
            </w:r>
          </w:p>
        </w:tc>
        <w:tc>
          <w:tcPr>
            <w:tcW w:w="150" w:type="pct"/>
            <w:tcBorders>
              <w:top w:val="nil"/>
              <w:left w:val="nil"/>
              <w:bottom w:val="nil"/>
              <w:right w:val="nil"/>
            </w:tcBorders>
            <w:noWrap/>
            <w:vAlign w:val="bottom"/>
            <w:hideMark/>
          </w:tcPr>
          <w:p w14:paraId="08430EF0"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0FA0BE6B" w14:textId="1C52BF5F"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0.001</w:t>
            </w:r>
          </w:p>
        </w:tc>
        <w:tc>
          <w:tcPr>
            <w:tcW w:w="344" w:type="pct"/>
            <w:tcBorders>
              <w:top w:val="nil"/>
              <w:left w:val="nil"/>
              <w:bottom w:val="nil"/>
              <w:right w:val="nil"/>
            </w:tcBorders>
            <w:noWrap/>
            <w:vAlign w:val="bottom"/>
            <w:hideMark/>
          </w:tcPr>
          <w:p w14:paraId="24B5CF50" w14:textId="49E354E6"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-0.035</w:t>
            </w:r>
          </w:p>
        </w:tc>
        <w:tc>
          <w:tcPr>
            <w:tcW w:w="344" w:type="pct"/>
            <w:tcBorders>
              <w:top w:val="nil"/>
              <w:left w:val="nil"/>
              <w:bottom w:val="nil"/>
              <w:right w:val="nil"/>
            </w:tcBorders>
            <w:noWrap/>
            <w:vAlign w:val="bottom"/>
            <w:hideMark/>
          </w:tcPr>
          <w:p w14:paraId="6DDEEBA1" w14:textId="0693ECB4"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-0.006</w:t>
            </w:r>
          </w:p>
        </w:tc>
        <w:tc>
          <w:tcPr>
            <w:tcW w:w="326" w:type="pct"/>
            <w:tcBorders>
              <w:top w:val="nil"/>
              <w:left w:val="nil"/>
              <w:bottom w:val="nil"/>
              <w:right w:val="nil"/>
            </w:tcBorders>
            <w:noWrap/>
            <w:vAlign w:val="bottom"/>
            <w:hideMark/>
          </w:tcPr>
          <w:p w14:paraId="1C0268D7" w14:textId="4E4C4C28"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0.029</w:t>
            </w:r>
          </w:p>
        </w:tc>
        <w:tc>
          <w:tcPr>
            <w:tcW w:w="131" w:type="pct"/>
            <w:tcBorders>
              <w:top w:val="nil"/>
              <w:left w:val="nil"/>
              <w:bottom w:val="nil"/>
              <w:right w:val="nil"/>
            </w:tcBorders>
            <w:noWrap/>
            <w:vAlign w:val="bottom"/>
            <w:hideMark/>
          </w:tcPr>
          <w:p w14:paraId="237CC292"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044112F1" w14:textId="1A977302"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0.235</w:t>
            </w:r>
          </w:p>
        </w:tc>
        <w:tc>
          <w:tcPr>
            <w:tcW w:w="339" w:type="pct"/>
            <w:tcBorders>
              <w:top w:val="nil"/>
              <w:left w:val="nil"/>
              <w:bottom w:val="nil"/>
              <w:right w:val="nil"/>
            </w:tcBorders>
            <w:noWrap/>
            <w:vAlign w:val="bottom"/>
            <w:hideMark/>
          </w:tcPr>
          <w:p w14:paraId="4F8047FE" w14:textId="5F245371"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0.146</w:t>
            </w:r>
          </w:p>
        </w:tc>
        <w:tc>
          <w:tcPr>
            <w:tcW w:w="339" w:type="pct"/>
            <w:tcBorders>
              <w:top w:val="nil"/>
              <w:left w:val="nil"/>
              <w:bottom w:val="nil"/>
              <w:right w:val="nil"/>
            </w:tcBorders>
            <w:noWrap/>
            <w:vAlign w:val="bottom"/>
            <w:hideMark/>
          </w:tcPr>
          <w:p w14:paraId="0756CE11" w14:textId="567F0154"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0.319</w:t>
            </w:r>
          </w:p>
        </w:tc>
        <w:tc>
          <w:tcPr>
            <w:tcW w:w="309" w:type="pct"/>
            <w:tcBorders>
              <w:top w:val="nil"/>
              <w:left w:val="nil"/>
              <w:bottom w:val="nil"/>
              <w:right w:val="nil"/>
            </w:tcBorders>
            <w:noWrap/>
            <w:vAlign w:val="bottom"/>
            <w:hideMark/>
          </w:tcPr>
          <w:p w14:paraId="282C2025" w14:textId="2A18E371"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0.173</w:t>
            </w:r>
          </w:p>
        </w:tc>
      </w:tr>
      <w:tr w:rsidR="005F68E0" w:rsidRPr="006D41DE" w14:paraId="54CFA2C6" w14:textId="77777777" w:rsidTr="008E1E2D">
        <w:trPr>
          <w:trHeight w:val="300"/>
        </w:trPr>
        <w:tc>
          <w:tcPr>
            <w:tcW w:w="358" w:type="pct"/>
            <w:tcBorders>
              <w:top w:val="nil"/>
              <w:left w:val="nil"/>
              <w:bottom w:val="nil"/>
              <w:right w:val="nil"/>
            </w:tcBorders>
            <w:noWrap/>
            <w:vAlign w:val="bottom"/>
            <w:hideMark/>
          </w:tcPr>
          <w:p w14:paraId="2588C0B1"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0" w:type="pct"/>
            <w:tcBorders>
              <w:top w:val="nil"/>
              <w:left w:val="nil"/>
              <w:bottom w:val="nil"/>
              <w:right w:val="nil"/>
            </w:tcBorders>
            <w:noWrap/>
            <w:vAlign w:val="bottom"/>
            <w:hideMark/>
          </w:tcPr>
          <w:p w14:paraId="0A54FC41" w14:textId="77777777" w:rsidR="008E1E2D" w:rsidRPr="006D41DE" w:rsidRDefault="008E1E2D" w:rsidP="008E1E2D">
            <w:pPr>
              <w:spacing w:after="0" w:line="240" w:lineRule="auto"/>
              <w:rPr>
                <w:rFonts w:ascii="Times New Roman" w:eastAsia="Times New Roman" w:hAnsi="Times New Roman" w:cs="Times New Roman"/>
                <w:sz w:val="20"/>
                <w:szCs w:val="20"/>
                <w:lang w:eastAsia="en-CA"/>
              </w:rPr>
            </w:pPr>
          </w:p>
        </w:tc>
        <w:tc>
          <w:tcPr>
            <w:tcW w:w="351" w:type="pct"/>
            <w:tcBorders>
              <w:top w:val="nil"/>
              <w:left w:val="nil"/>
              <w:bottom w:val="nil"/>
              <w:right w:val="nil"/>
            </w:tcBorders>
            <w:noWrap/>
            <w:vAlign w:val="bottom"/>
            <w:hideMark/>
          </w:tcPr>
          <w:p w14:paraId="795DF4B2" w14:textId="338EB652"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0.371</w:t>
            </w:r>
            <w:r>
              <w:rPr>
                <w:rFonts w:ascii="Times New Roman" w:eastAsia="Times New Roman" w:hAnsi="Times New Roman" w:cs="Times New Roman"/>
                <w:color w:val="000000"/>
                <w:sz w:val="20"/>
                <w:szCs w:val="20"/>
                <w:lang w:val="en-GB" w:eastAsia="en-GB"/>
              </w:rPr>
              <w:t>)</w:t>
            </w:r>
          </w:p>
        </w:tc>
        <w:tc>
          <w:tcPr>
            <w:tcW w:w="351" w:type="pct"/>
            <w:tcBorders>
              <w:top w:val="nil"/>
              <w:left w:val="nil"/>
              <w:bottom w:val="nil"/>
              <w:right w:val="nil"/>
            </w:tcBorders>
            <w:noWrap/>
            <w:vAlign w:val="bottom"/>
            <w:hideMark/>
          </w:tcPr>
          <w:p w14:paraId="24813B84" w14:textId="50032DBD"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0.947</w:t>
            </w:r>
            <w:r>
              <w:rPr>
                <w:rFonts w:ascii="Times New Roman" w:eastAsia="Times New Roman" w:hAnsi="Times New Roman" w:cs="Times New Roman"/>
                <w:color w:val="000000"/>
                <w:sz w:val="20"/>
                <w:szCs w:val="20"/>
                <w:lang w:val="en-GB" w:eastAsia="en-GB"/>
              </w:rPr>
              <w:t>)</w:t>
            </w:r>
          </w:p>
        </w:tc>
        <w:tc>
          <w:tcPr>
            <w:tcW w:w="314" w:type="pct"/>
            <w:tcBorders>
              <w:top w:val="nil"/>
              <w:left w:val="nil"/>
              <w:bottom w:val="nil"/>
              <w:right w:val="nil"/>
            </w:tcBorders>
            <w:noWrap/>
            <w:vAlign w:val="bottom"/>
            <w:hideMark/>
          </w:tcPr>
          <w:p w14:paraId="0CD4EB55" w14:textId="5237BDF9"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0.444</w:t>
            </w:r>
            <w:r>
              <w:rPr>
                <w:rFonts w:ascii="Times New Roman" w:eastAsia="Times New Roman" w:hAnsi="Times New Roman" w:cs="Times New Roman"/>
                <w:color w:val="000000"/>
                <w:sz w:val="20"/>
                <w:szCs w:val="20"/>
                <w:lang w:val="en-GB" w:eastAsia="en-GB"/>
              </w:rPr>
              <w:t>)</w:t>
            </w:r>
          </w:p>
        </w:tc>
        <w:tc>
          <w:tcPr>
            <w:tcW w:w="321" w:type="pct"/>
            <w:tcBorders>
              <w:top w:val="nil"/>
              <w:left w:val="nil"/>
              <w:bottom w:val="nil"/>
              <w:right w:val="nil"/>
            </w:tcBorders>
            <w:noWrap/>
            <w:vAlign w:val="bottom"/>
            <w:hideMark/>
          </w:tcPr>
          <w:p w14:paraId="5F54CE14" w14:textId="296ED30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0.119</w:t>
            </w:r>
            <w:r>
              <w:rPr>
                <w:rFonts w:ascii="Times New Roman" w:eastAsia="Times New Roman" w:hAnsi="Times New Roman" w:cs="Times New Roman"/>
                <w:color w:val="000000"/>
                <w:sz w:val="20"/>
                <w:szCs w:val="20"/>
                <w:lang w:val="en-GB" w:eastAsia="en-GB"/>
              </w:rPr>
              <w:t>)</w:t>
            </w:r>
          </w:p>
        </w:tc>
        <w:tc>
          <w:tcPr>
            <w:tcW w:w="150" w:type="pct"/>
            <w:tcBorders>
              <w:top w:val="nil"/>
              <w:left w:val="nil"/>
              <w:bottom w:val="nil"/>
              <w:right w:val="nil"/>
            </w:tcBorders>
            <w:noWrap/>
            <w:vAlign w:val="bottom"/>
            <w:hideMark/>
          </w:tcPr>
          <w:p w14:paraId="5372C9EE"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75B9822E" w14:textId="447BACC4"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0.988</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68C40CEE" w14:textId="26F3C185"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0.619</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nil"/>
              <w:right w:val="nil"/>
            </w:tcBorders>
            <w:noWrap/>
            <w:vAlign w:val="bottom"/>
            <w:hideMark/>
          </w:tcPr>
          <w:p w14:paraId="4430E7CB" w14:textId="5C29711C"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0.958</w:t>
            </w:r>
            <w:r>
              <w:rPr>
                <w:rFonts w:ascii="Times New Roman" w:eastAsia="Times New Roman" w:hAnsi="Times New Roman" w:cs="Times New Roman"/>
                <w:color w:val="000000"/>
                <w:sz w:val="20"/>
                <w:szCs w:val="20"/>
                <w:lang w:val="en-GB" w:eastAsia="en-GB"/>
              </w:rPr>
              <w:t>)</w:t>
            </w:r>
          </w:p>
        </w:tc>
        <w:tc>
          <w:tcPr>
            <w:tcW w:w="326" w:type="pct"/>
            <w:tcBorders>
              <w:top w:val="nil"/>
              <w:left w:val="nil"/>
              <w:bottom w:val="nil"/>
              <w:right w:val="nil"/>
            </w:tcBorders>
            <w:noWrap/>
            <w:vAlign w:val="bottom"/>
            <w:hideMark/>
          </w:tcPr>
          <w:p w14:paraId="23392EB7" w14:textId="3D284C50"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0.678</w:t>
            </w:r>
            <w:r>
              <w:rPr>
                <w:rFonts w:ascii="Times New Roman" w:eastAsia="Times New Roman" w:hAnsi="Times New Roman" w:cs="Times New Roman"/>
                <w:color w:val="000000"/>
                <w:sz w:val="20"/>
                <w:szCs w:val="20"/>
                <w:lang w:val="en-GB" w:eastAsia="en-GB"/>
              </w:rPr>
              <w:t>)</w:t>
            </w:r>
          </w:p>
        </w:tc>
        <w:tc>
          <w:tcPr>
            <w:tcW w:w="131" w:type="pct"/>
            <w:tcBorders>
              <w:top w:val="nil"/>
              <w:left w:val="nil"/>
              <w:bottom w:val="nil"/>
              <w:right w:val="nil"/>
            </w:tcBorders>
            <w:noWrap/>
            <w:vAlign w:val="bottom"/>
            <w:hideMark/>
          </w:tcPr>
          <w:p w14:paraId="63C1DF65"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1FA41962" w14:textId="1AAAA5C0"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0.179</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756E8975" w14:textId="28677F0E"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0.234</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nil"/>
              <w:right w:val="nil"/>
            </w:tcBorders>
            <w:noWrap/>
            <w:vAlign w:val="bottom"/>
            <w:hideMark/>
          </w:tcPr>
          <w:p w14:paraId="2C9C4AEF" w14:textId="065167A9"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0.090</w:t>
            </w:r>
            <w:r>
              <w:rPr>
                <w:rFonts w:ascii="Times New Roman" w:eastAsia="Times New Roman" w:hAnsi="Times New Roman" w:cs="Times New Roman"/>
                <w:color w:val="000000"/>
                <w:sz w:val="20"/>
                <w:szCs w:val="20"/>
                <w:lang w:val="en-GB" w:eastAsia="en-GB"/>
              </w:rPr>
              <w:t>)</w:t>
            </w:r>
          </w:p>
        </w:tc>
        <w:tc>
          <w:tcPr>
            <w:tcW w:w="309" w:type="pct"/>
            <w:tcBorders>
              <w:top w:val="nil"/>
              <w:left w:val="nil"/>
              <w:bottom w:val="nil"/>
              <w:right w:val="nil"/>
            </w:tcBorders>
            <w:noWrap/>
            <w:vAlign w:val="bottom"/>
            <w:hideMark/>
          </w:tcPr>
          <w:p w14:paraId="02F38F5D" w14:textId="02816496"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0.200</w:t>
            </w:r>
            <w:r>
              <w:rPr>
                <w:rFonts w:ascii="Times New Roman" w:eastAsia="Times New Roman" w:hAnsi="Times New Roman" w:cs="Times New Roman"/>
                <w:color w:val="000000"/>
                <w:sz w:val="20"/>
                <w:szCs w:val="20"/>
                <w:lang w:val="en-GB" w:eastAsia="en-GB"/>
              </w:rPr>
              <w:t>)</w:t>
            </w:r>
          </w:p>
        </w:tc>
      </w:tr>
      <w:tr w:rsidR="005F68E0" w:rsidRPr="006D41DE" w14:paraId="78EC4754" w14:textId="77777777" w:rsidTr="008E1E2D">
        <w:trPr>
          <w:trHeight w:val="300"/>
        </w:trPr>
        <w:tc>
          <w:tcPr>
            <w:tcW w:w="358" w:type="pct"/>
            <w:tcBorders>
              <w:top w:val="nil"/>
              <w:left w:val="nil"/>
              <w:bottom w:val="nil"/>
              <w:right w:val="nil"/>
            </w:tcBorders>
            <w:noWrap/>
            <w:vAlign w:val="bottom"/>
            <w:hideMark/>
          </w:tcPr>
          <w:p w14:paraId="3CA4646B" w14:textId="77777777" w:rsidR="008E1E2D" w:rsidRPr="006D41DE" w:rsidRDefault="008E1E2D" w:rsidP="008E1E2D">
            <w:pPr>
              <w:spacing w:after="0" w:line="240" w:lineRule="auto"/>
              <w:rPr>
                <w:rFonts w:ascii="Times New Roman" w:eastAsia="Times New Roman" w:hAnsi="Times New Roman" w:cs="Times New Roman"/>
                <w:i/>
                <w:color w:val="000000"/>
                <w:sz w:val="20"/>
                <w:szCs w:val="20"/>
                <w:lang w:eastAsia="en-CA"/>
              </w:rPr>
            </w:pPr>
            <w:proofErr w:type="spellStart"/>
            <w:r w:rsidRPr="006D41DE">
              <w:rPr>
                <w:rFonts w:ascii="Times New Roman" w:eastAsia="Times New Roman" w:hAnsi="Times New Roman" w:cs="Times New Roman"/>
                <w:i/>
                <w:color w:val="000000"/>
                <w:sz w:val="20"/>
                <w:szCs w:val="20"/>
                <w:lang w:eastAsia="en-CA"/>
              </w:rPr>
              <w:t>rd</w:t>
            </w:r>
            <w:proofErr w:type="spellEnd"/>
          </w:p>
        </w:tc>
        <w:tc>
          <w:tcPr>
            <w:tcW w:w="340" w:type="pct"/>
            <w:tcBorders>
              <w:top w:val="nil"/>
              <w:left w:val="nil"/>
              <w:bottom w:val="nil"/>
              <w:right w:val="nil"/>
            </w:tcBorders>
            <w:noWrap/>
            <w:vAlign w:val="bottom"/>
            <w:hideMark/>
          </w:tcPr>
          <w:p w14:paraId="09AD293A" w14:textId="77777777" w:rsidR="008E1E2D" w:rsidRPr="006D41DE" w:rsidRDefault="008E1E2D" w:rsidP="008E1E2D">
            <w:pPr>
              <w:spacing w:after="0" w:line="240" w:lineRule="auto"/>
              <w:rPr>
                <w:rFonts w:ascii="Times New Roman" w:eastAsia="Times New Roman" w:hAnsi="Times New Roman" w:cs="Times New Roman"/>
                <w:color w:val="000000"/>
                <w:sz w:val="20"/>
                <w:szCs w:val="20"/>
                <w:lang w:eastAsia="en-CA"/>
              </w:rPr>
            </w:pPr>
          </w:p>
        </w:tc>
        <w:tc>
          <w:tcPr>
            <w:tcW w:w="351" w:type="pct"/>
            <w:tcBorders>
              <w:top w:val="nil"/>
              <w:left w:val="nil"/>
              <w:bottom w:val="nil"/>
              <w:right w:val="nil"/>
            </w:tcBorders>
            <w:noWrap/>
            <w:vAlign w:val="bottom"/>
            <w:hideMark/>
          </w:tcPr>
          <w:p w14:paraId="53134D11" w14:textId="2AE475CC"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0.094</w:t>
            </w:r>
          </w:p>
        </w:tc>
        <w:tc>
          <w:tcPr>
            <w:tcW w:w="351" w:type="pct"/>
            <w:tcBorders>
              <w:top w:val="nil"/>
              <w:left w:val="nil"/>
              <w:bottom w:val="nil"/>
              <w:right w:val="nil"/>
            </w:tcBorders>
            <w:noWrap/>
            <w:vAlign w:val="bottom"/>
            <w:hideMark/>
          </w:tcPr>
          <w:p w14:paraId="26806B74" w14:textId="0D86045E"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0.071</w:t>
            </w:r>
          </w:p>
        </w:tc>
        <w:tc>
          <w:tcPr>
            <w:tcW w:w="314" w:type="pct"/>
            <w:tcBorders>
              <w:top w:val="nil"/>
              <w:left w:val="nil"/>
              <w:bottom w:val="nil"/>
              <w:right w:val="nil"/>
            </w:tcBorders>
            <w:noWrap/>
            <w:vAlign w:val="bottom"/>
            <w:hideMark/>
          </w:tcPr>
          <w:p w14:paraId="27A718A9" w14:textId="7A9DA0E1"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0.089</w:t>
            </w:r>
          </w:p>
        </w:tc>
        <w:tc>
          <w:tcPr>
            <w:tcW w:w="321" w:type="pct"/>
            <w:tcBorders>
              <w:top w:val="nil"/>
              <w:left w:val="nil"/>
              <w:bottom w:val="nil"/>
              <w:right w:val="nil"/>
            </w:tcBorders>
            <w:noWrap/>
            <w:vAlign w:val="bottom"/>
            <w:hideMark/>
          </w:tcPr>
          <w:p w14:paraId="5069C4DD" w14:textId="6C05AF06"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0.018</w:t>
            </w:r>
          </w:p>
        </w:tc>
        <w:tc>
          <w:tcPr>
            <w:tcW w:w="150" w:type="pct"/>
            <w:tcBorders>
              <w:top w:val="nil"/>
              <w:left w:val="nil"/>
              <w:bottom w:val="nil"/>
              <w:right w:val="nil"/>
            </w:tcBorders>
            <w:noWrap/>
            <w:vAlign w:val="bottom"/>
            <w:hideMark/>
          </w:tcPr>
          <w:p w14:paraId="04B23857"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nil"/>
              <w:right w:val="nil"/>
            </w:tcBorders>
            <w:noWrap/>
            <w:vAlign w:val="bottom"/>
            <w:hideMark/>
          </w:tcPr>
          <w:p w14:paraId="44282437" w14:textId="377CA4F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0.101</w:t>
            </w:r>
          </w:p>
        </w:tc>
        <w:tc>
          <w:tcPr>
            <w:tcW w:w="344" w:type="pct"/>
            <w:tcBorders>
              <w:top w:val="nil"/>
              <w:left w:val="nil"/>
              <w:bottom w:val="nil"/>
              <w:right w:val="nil"/>
            </w:tcBorders>
            <w:noWrap/>
            <w:vAlign w:val="bottom"/>
            <w:hideMark/>
          </w:tcPr>
          <w:p w14:paraId="53023E2D" w14:textId="543B4881"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0.082</w:t>
            </w:r>
          </w:p>
        </w:tc>
        <w:tc>
          <w:tcPr>
            <w:tcW w:w="344" w:type="pct"/>
            <w:tcBorders>
              <w:top w:val="nil"/>
              <w:left w:val="nil"/>
              <w:bottom w:val="nil"/>
              <w:right w:val="nil"/>
            </w:tcBorders>
            <w:noWrap/>
            <w:vAlign w:val="bottom"/>
            <w:hideMark/>
          </w:tcPr>
          <w:p w14:paraId="18182947" w14:textId="5D0F35A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0.100</w:t>
            </w:r>
          </w:p>
        </w:tc>
        <w:tc>
          <w:tcPr>
            <w:tcW w:w="326" w:type="pct"/>
            <w:tcBorders>
              <w:top w:val="nil"/>
              <w:left w:val="nil"/>
              <w:bottom w:val="nil"/>
              <w:right w:val="nil"/>
            </w:tcBorders>
            <w:noWrap/>
            <w:vAlign w:val="bottom"/>
            <w:hideMark/>
          </w:tcPr>
          <w:p w14:paraId="71F455F7" w14:textId="7DBB96FE"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0.018</w:t>
            </w:r>
          </w:p>
        </w:tc>
        <w:tc>
          <w:tcPr>
            <w:tcW w:w="131" w:type="pct"/>
            <w:tcBorders>
              <w:top w:val="nil"/>
              <w:left w:val="nil"/>
              <w:bottom w:val="nil"/>
              <w:right w:val="nil"/>
            </w:tcBorders>
            <w:noWrap/>
            <w:vAlign w:val="bottom"/>
            <w:hideMark/>
          </w:tcPr>
          <w:p w14:paraId="4592E861"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nil"/>
              <w:right w:val="nil"/>
            </w:tcBorders>
            <w:noWrap/>
            <w:vAlign w:val="bottom"/>
            <w:hideMark/>
          </w:tcPr>
          <w:p w14:paraId="2FE9B0A0" w14:textId="42020508"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0.066</w:t>
            </w:r>
          </w:p>
        </w:tc>
        <w:tc>
          <w:tcPr>
            <w:tcW w:w="339" w:type="pct"/>
            <w:tcBorders>
              <w:top w:val="nil"/>
              <w:left w:val="nil"/>
              <w:bottom w:val="nil"/>
              <w:right w:val="nil"/>
            </w:tcBorders>
            <w:noWrap/>
            <w:vAlign w:val="bottom"/>
            <w:hideMark/>
          </w:tcPr>
          <w:p w14:paraId="3329A65E" w14:textId="111C1C85"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-0.056</w:t>
            </w:r>
          </w:p>
        </w:tc>
        <w:tc>
          <w:tcPr>
            <w:tcW w:w="339" w:type="pct"/>
            <w:tcBorders>
              <w:top w:val="nil"/>
              <w:left w:val="nil"/>
              <w:bottom w:val="nil"/>
              <w:right w:val="nil"/>
            </w:tcBorders>
            <w:noWrap/>
            <w:vAlign w:val="bottom"/>
            <w:hideMark/>
          </w:tcPr>
          <w:p w14:paraId="5FE03F7C" w14:textId="61D4D47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-0.017</w:t>
            </w:r>
          </w:p>
        </w:tc>
        <w:tc>
          <w:tcPr>
            <w:tcW w:w="309" w:type="pct"/>
            <w:tcBorders>
              <w:top w:val="nil"/>
              <w:left w:val="nil"/>
              <w:bottom w:val="nil"/>
              <w:right w:val="nil"/>
            </w:tcBorders>
            <w:noWrap/>
            <w:vAlign w:val="bottom"/>
            <w:hideMark/>
          </w:tcPr>
          <w:p w14:paraId="38F061FF" w14:textId="333A6B7A"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0.039</w:t>
            </w:r>
          </w:p>
        </w:tc>
      </w:tr>
      <w:tr w:rsidR="005F68E0" w:rsidRPr="006D41DE" w14:paraId="52167280" w14:textId="77777777" w:rsidTr="008E1E2D">
        <w:trPr>
          <w:trHeight w:val="300"/>
        </w:trPr>
        <w:tc>
          <w:tcPr>
            <w:tcW w:w="358" w:type="pct"/>
            <w:tcBorders>
              <w:top w:val="nil"/>
              <w:left w:val="nil"/>
              <w:right w:val="nil"/>
            </w:tcBorders>
            <w:noWrap/>
            <w:vAlign w:val="bottom"/>
            <w:hideMark/>
          </w:tcPr>
          <w:p w14:paraId="1B795D99"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0" w:type="pct"/>
            <w:tcBorders>
              <w:top w:val="nil"/>
              <w:left w:val="nil"/>
              <w:right w:val="nil"/>
            </w:tcBorders>
            <w:noWrap/>
            <w:vAlign w:val="bottom"/>
            <w:hideMark/>
          </w:tcPr>
          <w:p w14:paraId="1A0888A2" w14:textId="77777777" w:rsidR="008E1E2D" w:rsidRPr="006D41DE" w:rsidRDefault="008E1E2D" w:rsidP="008E1E2D">
            <w:pPr>
              <w:spacing w:after="0" w:line="240" w:lineRule="auto"/>
              <w:rPr>
                <w:rFonts w:ascii="Times New Roman" w:eastAsia="Times New Roman" w:hAnsi="Times New Roman" w:cs="Times New Roman"/>
                <w:sz w:val="20"/>
                <w:szCs w:val="20"/>
                <w:lang w:eastAsia="en-CA"/>
              </w:rPr>
            </w:pPr>
          </w:p>
        </w:tc>
        <w:tc>
          <w:tcPr>
            <w:tcW w:w="351" w:type="pct"/>
            <w:tcBorders>
              <w:top w:val="nil"/>
              <w:left w:val="nil"/>
              <w:right w:val="nil"/>
            </w:tcBorders>
            <w:noWrap/>
            <w:vAlign w:val="bottom"/>
            <w:hideMark/>
          </w:tcPr>
          <w:p w14:paraId="546E5E5B" w14:textId="4C014286"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51" w:type="pct"/>
            <w:tcBorders>
              <w:top w:val="nil"/>
              <w:left w:val="nil"/>
              <w:right w:val="nil"/>
            </w:tcBorders>
            <w:noWrap/>
            <w:vAlign w:val="bottom"/>
            <w:hideMark/>
          </w:tcPr>
          <w:p w14:paraId="2926A90B" w14:textId="32C5E09E"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14" w:type="pct"/>
            <w:tcBorders>
              <w:top w:val="nil"/>
              <w:left w:val="nil"/>
              <w:right w:val="nil"/>
            </w:tcBorders>
            <w:noWrap/>
            <w:vAlign w:val="bottom"/>
            <w:hideMark/>
          </w:tcPr>
          <w:p w14:paraId="4B2FD89F" w14:textId="765B89C1"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1" w:type="pct"/>
            <w:tcBorders>
              <w:top w:val="nil"/>
              <w:left w:val="nil"/>
              <w:right w:val="nil"/>
            </w:tcBorders>
            <w:noWrap/>
            <w:vAlign w:val="bottom"/>
            <w:hideMark/>
          </w:tcPr>
          <w:p w14:paraId="05962C7F" w14:textId="67EFA9BF"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0.005</w:t>
            </w:r>
            <w:r>
              <w:rPr>
                <w:rFonts w:ascii="Times New Roman" w:eastAsia="Times New Roman" w:hAnsi="Times New Roman" w:cs="Times New Roman"/>
                <w:color w:val="000000"/>
                <w:sz w:val="20"/>
                <w:szCs w:val="20"/>
                <w:lang w:val="en-GB" w:eastAsia="en-GB"/>
              </w:rPr>
              <w:t>)</w:t>
            </w:r>
          </w:p>
        </w:tc>
        <w:tc>
          <w:tcPr>
            <w:tcW w:w="150" w:type="pct"/>
            <w:tcBorders>
              <w:top w:val="nil"/>
              <w:left w:val="nil"/>
              <w:right w:val="nil"/>
            </w:tcBorders>
            <w:noWrap/>
            <w:vAlign w:val="bottom"/>
            <w:hideMark/>
          </w:tcPr>
          <w:p w14:paraId="6D35CAB7"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right w:val="nil"/>
            </w:tcBorders>
            <w:noWrap/>
            <w:vAlign w:val="bottom"/>
            <w:hideMark/>
          </w:tcPr>
          <w:p w14:paraId="43AED2BB" w14:textId="4349860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right w:val="nil"/>
            </w:tcBorders>
            <w:noWrap/>
            <w:vAlign w:val="bottom"/>
            <w:hideMark/>
          </w:tcPr>
          <w:p w14:paraId="24D71A57" w14:textId="146D56DD"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44" w:type="pct"/>
            <w:tcBorders>
              <w:top w:val="nil"/>
              <w:left w:val="nil"/>
              <w:right w:val="nil"/>
            </w:tcBorders>
            <w:noWrap/>
            <w:vAlign w:val="bottom"/>
            <w:hideMark/>
          </w:tcPr>
          <w:p w14:paraId="6B1A3D3E" w14:textId="37A0D5AE"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26" w:type="pct"/>
            <w:tcBorders>
              <w:top w:val="nil"/>
              <w:left w:val="nil"/>
              <w:right w:val="nil"/>
            </w:tcBorders>
            <w:noWrap/>
            <w:vAlign w:val="bottom"/>
            <w:hideMark/>
          </w:tcPr>
          <w:p w14:paraId="68AC51DB" w14:textId="145960DD"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0.038</w:t>
            </w:r>
            <w:r>
              <w:rPr>
                <w:rFonts w:ascii="Times New Roman" w:eastAsia="Times New Roman" w:hAnsi="Times New Roman" w:cs="Times New Roman"/>
                <w:color w:val="000000"/>
                <w:sz w:val="20"/>
                <w:szCs w:val="20"/>
                <w:lang w:val="en-GB" w:eastAsia="en-GB"/>
              </w:rPr>
              <w:t>)</w:t>
            </w:r>
          </w:p>
        </w:tc>
        <w:tc>
          <w:tcPr>
            <w:tcW w:w="131" w:type="pct"/>
            <w:tcBorders>
              <w:top w:val="nil"/>
              <w:left w:val="nil"/>
              <w:right w:val="nil"/>
            </w:tcBorders>
            <w:noWrap/>
            <w:vAlign w:val="bottom"/>
            <w:hideMark/>
          </w:tcPr>
          <w:p w14:paraId="35CD32C6"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right w:val="nil"/>
            </w:tcBorders>
            <w:noWrap/>
            <w:vAlign w:val="bottom"/>
            <w:hideMark/>
          </w:tcPr>
          <w:p w14:paraId="1C21A535" w14:textId="5FF23FB7"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0.232</w:t>
            </w:r>
            <w:r>
              <w:rPr>
                <w:rFonts w:ascii="Times New Roman" w:eastAsia="Times New Roman" w:hAnsi="Times New Roman" w:cs="Times New Roman"/>
                <w:color w:val="000000"/>
                <w:sz w:val="20"/>
                <w:szCs w:val="20"/>
                <w:lang w:val="en-GB" w:eastAsia="en-GB"/>
              </w:rPr>
              <w:t>)</w:t>
            </w:r>
          </w:p>
        </w:tc>
        <w:tc>
          <w:tcPr>
            <w:tcW w:w="339" w:type="pct"/>
            <w:tcBorders>
              <w:top w:val="nil"/>
              <w:left w:val="nil"/>
              <w:right w:val="nil"/>
            </w:tcBorders>
            <w:noWrap/>
            <w:vAlign w:val="bottom"/>
            <w:hideMark/>
          </w:tcPr>
          <w:p w14:paraId="51CB9C79" w14:textId="231CB1B8"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0.397</w:t>
            </w:r>
            <w:r>
              <w:rPr>
                <w:rFonts w:ascii="Times New Roman" w:eastAsia="Times New Roman" w:hAnsi="Times New Roman" w:cs="Times New Roman"/>
                <w:color w:val="000000"/>
                <w:sz w:val="20"/>
                <w:szCs w:val="20"/>
                <w:lang w:val="en-GB" w:eastAsia="en-GB"/>
              </w:rPr>
              <w:t>)</w:t>
            </w:r>
          </w:p>
        </w:tc>
        <w:tc>
          <w:tcPr>
            <w:tcW w:w="339" w:type="pct"/>
            <w:tcBorders>
              <w:top w:val="nil"/>
              <w:left w:val="nil"/>
              <w:right w:val="nil"/>
            </w:tcBorders>
            <w:noWrap/>
            <w:vAlign w:val="bottom"/>
            <w:hideMark/>
          </w:tcPr>
          <w:p w14:paraId="0B3EACF8" w14:textId="4696D151"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0.581</w:t>
            </w:r>
            <w:r>
              <w:rPr>
                <w:rFonts w:ascii="Times New Roman" w:eastAsia="Times New Roman" w:hAnsi="Times New Roman" w:cs="Times New Roman"/>
                <w:color w:val="000000"/>
                <w:sz w:val="20"/>
                <w:szCs w:val="20"/>
                <w:lang w:val="en-GB" w:eastAsia="en-GB"/>
              </w:rPr>
              <w:t>)</w:t>
            </w:r>
          </w:p>
        </w:tc>
        <w:tc>
          <w:tcPr>
            <w:tcW w:w="309" w:type="pct"/>
            <w:tcBorders>
              <w:top w:val="nil"/>
              <w:left w:val="nil"/>
              <w:right w:val="nil"/>
            </w:tcBorders>
            <w:noWrap/>
            <w:vAlign w:val="bottom"/>
            <w:hideMark/>
          </w:tcPr>
          <w:p w14:paraId="7E7E65DB" w14:textId="5D673940" w:rsidR="008E1E2D" w:rsidRPr="006D41DE" w:rsidRDefault="00284757"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0.342</w:t>
            </w:r>
            <w:r>
              <w:rPr>
                <w:rFonts w:ascii="Times New Roman" w:eastAsia="Times New Roman" w:hAnsi="Times New Roman" w:cs="Times New Roman"/>
                <w:color w:val="000000"/>
                <w:sz w:val="20"/>
                <w:szCs w:val="20"/>
                <w:lang w:val="en-GB" w:eastAsia="en-GB"/>
              </w:rPr>
              <w:t>)</w:t>
            </w:r>
          </w:p>
        </w:tc>
      </w:tr>
      <w:tr w:rsidR="005F68E0" w:rsidRPr="006D41DE" w14:paraId="454B62B3" w14:textId="77777777" w:rsidTr="008E1E2D">
        <w:trPr>
          <w:trHeight w:val="452"/>
        </w:trPr>
        <w:tc>
          <w:tcPr>
            <w:tcW w:w="358" w:type="pct"/>
            <w:tcBorders>
              <w:top w:val="nil"/>
              <w:left w:val="nil"/>
              <w:bottom w:val="single" w:sz="4" w:space="0" w:color="auto"/>
              <w:right w:val="nil"/>
            </w:tcBorders>
            <w:noWrap/>
            <w:vAlign w:val="bottom"/>
            <w:hideMark/>
          </w:tcPr>
          <w:p w14:paraId="423380BA" w14:textId="5C8B1E61" w:rsidR="008E1E2D" w:rsidRPr="006D41DE" w:rsidRDefault="00C03D9D" w:rsidP="008E1E2D">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xml:space="preserve">Adj. </w:t>
            </w:r>
            <w:r w:rsidR="008E1E2D" w:rsidRPr="006D41DE">
              <w:rPr>
                <w:rFonts w:ascii="Times New Roman" w:eastAsia="Times New Roman" w:hAnsi="Times New Roman" w:cs="Times New Roman"/>
                <w:color w:val="000000"/>
                <w:sz w:val="20"/>
                <w:szCs w:val="20"/>
                <w:lang w:eastAsia="en-CA"/>
              </w:rPr>
              <w:t>R</w:t>
            </w:r>
            <w:r w:rsidR="008E1E2D" w:rsidRPr="008A37C8">
              <w:rPr>
                <w:rFonts w:ascii="Times New Roman" w:eastAsia="Times New Roman" w:hAnsi="Times New Roman" w:cs="Times New Roman"/>
                <w:color w:val="000000"/>
                <w:sz w:val="20"/>
                <w:szCs w:val="20"/>
                <w:lang w:eastAsia="en-CA"/>
              </w:rPr>
              <w:t>2</w:t>
            </w:r>
            <w:r w:rsidR="005F68E0">
              <w:rPr>
                <w:rFonts w:ascii="Times New Roman" w:eastAsia="Times New Roman" w:hAnsi="Times New Roman" w:cs="Times New Roman"/>
                <w:color w:val="000000"/>
                <w:sz w:val="20"/>
                <w:szCs w:val="20"/>
                <w:lang w:eastAsia="en-CA"/>
              </w:rPr>
              <w:t xml:space="preserve"> [Pseudo R2]</w:t>
            </w:r>
          </w:p>
        </w:tc>
        <w:tc>
          <w:tcPr>
            <w:tcW w:w="340" w:type="pct"/>
            <w:tcBorders>
              <w:top w:val="nil"/>
              <w:left w:val="nil"/>
              <w:bottom w:val="single" w:sz="4" w:space="0" w:color="auto"/>
              <w:right w:val="nil"/>
            </w:tcBorders>
            <w:noWrap/>
            <w:vAlign w:val="bottom"/>
            <w:hideMark/>
          </w:tcPr>
          <w:p w14:paraId="4CDE2C72" w14:textId="77777777" w:rsidR="008E1E2D" w:rsidRPr="006D41DE" w:rsidRDefault="008E1E2D" w:rsidP="008E1E2D">
            <w:pPr>
              <w:spacing w:after="0" w:line="240" w:lineRule="auto"/>
              <w:rPr>
                <w:rFonts w:ascii="Times New Roman" w:eastAsia="Times New Roman" w:hAnsi="Times New Roman" w:cs="Times New Roman"/>
                <w:color w:val="000000"/>
                <w:sz w:val="20"/>
                <w:szCs w:val="20"/>
                <w:lang w:eastAsia="en-CA"/>
              </w:rPr>
            </w:pPr>
            <w:r w:rsidRPr="006D41DE">
              <w:rPr>
                <w:rFonts w:ascii="Times New Roman" w:eastAsia="Times New Roman" w:hAnsi="Times New Roman" w:cs="Times New Roman"/>
                <w:color w:val="000000"/>
                <w:sz w:val="20"/>
                <w:szCs w:val="20"/>
                <w:lang w:eastAsia="en-CA"/>
              </w:rPr>
              <w:t> </w:t>
            </w:r>
          </w:p>
        </w:tc>
        <w:tc>
          <w:tcPr>
            <w:tcW w:w="351" w:type="pct"/>
            <w:tcBorders>
              <w:top w:val="nil"/>
              <w:left w:val="nil"/>
              <w:bottom w:val="single" w:sz="4" w:space="0" w:color="auto"/>
              <w:right w:val="nil"/>
            </w:tcBorders>
            <w:noWrap/>
            <w:vAlign w:val="bottom"/>
            <w:hideMark/>
          </w:tcPr>
          <w:p w14:paraId="025BF932" w14:textId="55E8CAAE"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0.892</w:t>
            </w:r>
          </w:p>
        </w:tc>
        <w:tc>
          <w:tcPr>
            <w:tcW w:w="351" w:type="pct"/>
            <w:tcBorders>
              <w:top w:val="nil"/>
              <w:left w:val="nil"/>
              <w:bottom w:val="single" w:sz="4" w:space="0" w:color="auto"/>
              <w:right w:val="nil"/>
            </w:tcBorders>
            <w:noWrap/>
            <w:vAlign w:val="bottom"/>
            <w:hideMark/>
          </w:tcPr>
          <w:p w14:paraId="1D73963C" w14:textId="2A667339" w:rsidR="008E1E2D" w:rsidRPr="006D41DE" w:rsidRDefault="005F68E0"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0.690</w:t>
            </w:r>
            <w:r>
              <w:rPr>
                <w:rFonts w:ascii="Times New Roman" w:eastAsia="Times New Roman" w:hAnsi="Times New Roman" w:cs="Times New Roman"/>
                <w:color w:val="000000"/>
                <w:sz w:val="20"/>
                <w:szCs w:val="20"/>
                <w:lang w:val="en-GB" w:eastAsia="en-GB"/>
              </w:rPr>
              <w:t>]</w:t>
            </w:r>
          </w:p>
        </w:tc>
        <w:tc>
          <w:tcPr>
            <w:tcW w:w="314" w:type="pct"/>
            <w:tcBorders>
              <w:top w:val="nil"/>
              <w:left w:val="nil"/>
              <w:bottom w:val="single" w:sz="4" w:space="0" w:color="auto"/>
              <w:right w:val="nil"/>
            </w:tcBorders>
            <w:noWrap/>
            <w:vAlign w:val="bottom"/>
            <w:hideMark/>
          </w:tcPr>
          <w:p w14:paraId="76572F92" w14:textId="3EDE9973" w:rsidR="008E1E2D" w:rsidRPr="006D41DE" w:rsidRDefault="005F68E0"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21339D">
              <w:rPr>
                <w:rFonts w:ascii="Times New Roman" w:eastAsia="Times New Roman" w:hAnsi="Times New Roman" w:cs="Times New Roman"/>
                <w:color w:val="000000"/>
                <w:sz w:val="20"/>
                <w:szCs w:val="20"/>
                <w:lang w:val="en-GB" w:eastAsia="en-GB"/>
              </w:rPr>
              <w:t>0.694</w:t>
            </w:r>
            <w:r>
              <w:rPr>
                <w:rFonts w:ascii="Times New Roman" w:eastAsia="Times New Roman" w:hAnsi="Times New Roman" w:cs="Times New Roman"/>
                <w:color w:val="000000"/>
                <w:sz w:val="20"/>
                <w:szCs w:val="20"/>
                <w:lang w:val="en-GB" w:eastAsia="en-GB"/>
              </w:rPr>
              <w:t>]</w:t>
            </w:r>
          </w:p>
        </w:tc>
        <w:tc>
          <w:tcPr>
            <w:tcW w:w="321" w:type="pct"/>
            <w:tcBorders>
              <w:top w:val="nil"/>
              <w:left w:val="nil"/>
              <w:bottom w:val="single" w:sz="4" w:space="0" w:color="auto"/>
              <w:right w:val="nil"/>
            </w:tcBorders>
            <w:noWrap/>
            <w:vAlign w:val="bottom"/>
            <w:hideMark/>
          </w:tcPr>
          <w:p w14:paraId="09C8F897" w14:textId="53BB55A6"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21339D">
              <w:rPr>
                <w:rFonts w:ascii="Times New Roman" w:eastAsia="Times New Roman" w:hAnsi="Times New Roman" w:cs="Times New Roman"/>
                <w:color w:val="000000"/>
                <w:sz w:val="20"/>
                <w:szCs w:val="20"/>
                <w:lang w:val="en-GB" w:eastAsia="en-GB"/>
              </w:rPr>
              <w:t> </w:t>
            </w:r>
          </w:p>
        </w:tc>
        <w:tc>
          <w:tcPr>
            <w:tcW w:w="150" w:type="pct"/>
            <w:tcBorders>
              <w:top w:val="nil"/>
              <w:left w:val="nil"/>
              <w:bottom w:val="single" w:sz="4" w:space="0" w:color="auto"/>
              <w:right w:val="nil"/>
            </w:tcBorders>
            <w:noWrap/>
            <w:vAlign w:val="bottom"/>
            <w:hideMark/>
          </w:tcPr>
          <w:p w14:paraId="7DF578C4"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44" w:type="pct"/>
            <w:tcBorders>
              <w:top w:val="nil"/>
              <w:left w:val="nil"/>
              <w:bottom w:val="single" w:sz="4" w:space="0" w:color="auto"/>
              <w:right w:val="nil"/>
            </w:tcBorders>
            <w:noWrap/>
            <w:vAlign w:val="bottom"/>
            <w:hideMark/>
          </w:tcPr>
          <w:p w14:paraId="4D26F515" w14:textId="620E0499"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0.833</w:t>
            </w:r>
          </w:p>
        </w:tc>
        <w:tc>
          <w:tcPr>
            <w:tcW w:w="344" w:type="pct"/>
            <w:tcBorders>
              <w:top w:val="nil"/>
              <w:left w:val="nil"/>
              <w:bottom w:val="single" w:sz="4" w:space="0" w:color="auto"/>
              <w:right w:val="nil"/>
            </w:tcBorders>
            <w:noWrap/>
            <w:vAlign w:val="bottom"/>
            <w:hideMark/>
          </w:tcPr>
          <w:p w14:paraId="6A950676" w14:textId="0BE1BEB5" w:rsidR="008E1E2D" w:rsidRPr="006D41DE" w:rsidRDefault="005F68E0"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0.579</w:t>
            </w:r>
            <w:r>
              <w:rPr>
                <w:rFonts w:ascii="Times New Roman" w:eastAsia="Times New Roman" w:hAnsi="Times New Roman" w:cs="Times New Roman"/>
                <w:color w:val="000000"/>
                <w:sz w:val="20"/>
                <w:szCs w:val="20"/>
                <w:lang w:val="en-GB" w:eastAsia="en-GB"/>
              </w:rPr>
              <w:t>]</w:t>
            </w:r>
          </w:p>
        </w:tc>
        <w:tc>
          <w:tcPr>
            <w:tcW w:w="344" w:type="pct"/>
            <w:tcBorders>
              <w:top w:val="nil"/>
              <w:left w:val="nil"/>
              <w:bottom w:val="single" w:sz="4" w:space="0" w:color="auto"/>
              <w:right w:val="nil"/>
            </w:tcBorders>
            <w:noWrap/>
            <w:vAlign w:val="bottom"/>
            <w:hideMark/>
          </w:tcPr>
          <w:p w14:paraId="7225C2EB" w14:textId="4FB9A32A" w:rsidR="008E1E2D" w:rsidRPr="006D41DE" w:rsidRDefault="005F68E0"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E77A18">
              <w:rPr>
                <w:rFonts w:ascii="Times New Roman" w:eastAsia="Times New Roman" w:hAnsi="Times New Roman" w:cs="Times New Roman"/>
                <w:color w:val="000000"/>
                <w:sz w:val="20"/>
                <w:szCs w:val="20"/>
                <w:lang w:val="en-GB" w:eastAsia="en-GB"/>
              </w:rPr>
              <w:t>0.607</w:t>
            </w:r>
            <w:r>
              <w:rPr>
                <w:rFonts w:ascii="Times New Roman" w:eastAsia="Times New Roman" w:hAnsi="Times New Roman" w:cs="Times New Roman"/>
                <w:color w:val="000000"/>
                <w:sz w:val="20"/>
                <w:szCs w:val="20"/>
                <w:lang w:val="en-GB" w:eastAsia="en-GB"/>
              </w:rPr>
              <w:t>]</w:t>
            </w:r>
          </w:p>
        </w:tc>
        <w:tc>
          <w:tcPr>
            <w:tcW w:w="326" w:type="pct"/>
            <w:tcBorders>
              <w:top w:val="nil"/>
              <w:left w:val="nil"/>
              <w:bottom w:val="single" w:sz="4" w:space="0" w:color="auto"/>
              <w:right w:val="nil"/>
            </w:tcBorders>
            <w:noWrap/>
            <w:vAlign w:val="bottom"/>
            <w:hideMark/>
          </w:tcPr>
          <w:p w14:paraId="2DB39A59" w14:textId="3DC09870"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E77A18">
              <w:rPr>
                <w:rFonts w:ascii="Times New Roman" w:eastAsia="Times New Roman" w:hAnsi="Times New Roman" w:cs="Times New Roman"/>
                <w:color w:val="000000"/>
                <w:sz w:val="20"/>
                <w:szCs w:val="20"/>
                <w:lang w:val="en-GB" w:eastAsia="en-GB"/>
              </w:rPr>
              <w:t> </w:t>
            </w:r>
          </w:p>
        </w:tc>
        <w:tc>
          <w:tcPr>
            <w:tcW w:w="131" w:type="pct"/>
            <w:tcBorders>
              <w:top w:val="nil"/>
              <w:left w:val="nil"/>
              <w:bottom w:val="single" w:sz="4" w:space="0" w:color="auto"/>
              <w:right w:val="nil"/>
            </w:tcBorders>
            <w:noWrap/>
            <w:vAlign w:val="bottom"/>
            <w:hideMark/>
          </w:tcPr>
          <w:p w14:paraId="5E350E3D" w14:textId="77777777"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p>
        </w:tc>
        <w:tc>
          <w:tcPr>
            <w:tcW w:w="339" w:type="pct"/>
            <w:tcBorders>
              <w:top w:val="nil"/>
              <w:left w:val="nil"/>
              <w:bottom w:val="single" w:sz="4" w:space="0" w:color="auto"/>
              <w:right w:val="nil"/>
            </w:tcBorders>
            <w:noWrap/>
            <w:vAlign w:val="bottom"/>
            <w:hideMark/>
          </w:tcPr>
          <w:p w14:paraId="3470260F" w14:textId="7B2CE470"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0.957</w:t>
            </w:r>
          </w:p>
        </w:tc>
        <w:tc>
          <w:tcPr>
            <w:tcW w:w="339" w:type="pct"/>
            <w:tcBorders>
              <w:top w:val="nil"/>
              <w:left w:val="nil"/>
              <w:bottom w:val="single" w:sz="4" w:space="0" w:color="auto"/>
              <w:right w:val="nil"/>
            </w:tcBorders>
            <w:noWrap/>
            <w:vAlign w:val="bottom"/>
            <w:hideMark/>
          </w:tcPr>
          <w:p w14:paraId="4D70D681" w14:textId="5EFCE4F7" w:rsidR="008E1E2D" w:rsidRPr="006D41DE" w:rsidRDefault="005F68E0"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0.841</w:t>
            </w:r>
            <w:r>
              <w:rPr>
                <w:rFonts w:ascii="Times New Roman" w:eastAsia="Times New Roman" w:hAnsi="Times New Roman" w:cs="Times New Roman"/>
                <w:color w:val="000000"/>
                <w:sz w:val="20"/>
                <w:szCs w:val="20"/>
                <w:lang w:val="en-GB" w:eastAsia="en-GB"/>
              </w:rPr>
              <w:t>]</w:t>
            </w:r>
          </w:p>
        </w:tc>
        <w:tc>
          <w:tcPr>
            <w:tcW w:w="339" w:type="pct"/>
            <w:tcBorders>
              <w:top w:val="nil"/>
              <w:left w:val="nil"/>
              <w:bottom w:val="single" w:sz="4" w:space="0" w:color="auto"/>
              <w:right w:val="nil"/>
            </w:tcBorders>
            <w:noWrap/>
            <w:vAlign w:val="bottom"/>
            <w:hideMark/>
          </w:tcPr>
          <w:p w14:paraId="7CE1F085" w14:textId="1C0C3C9A" w:rsidR="008E1E2D" w:rsidRPr="006D41DE" w:rsidRDefault="005F68E0" w:rsidP="008E1E2D">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008E1E2D" w:rsidRPr="008E1E2D">
              <w:rPr>
                <w:rFonts w:ascii="Times New Roman" w:eastAsia="Times New Roman" w:hAnsi="Times New Roman" w:cs="Times New Roman"/>
                <w:color w:val="000000"/>
                <w:sz w:val="20"/>
                <w:szCs w:val="20"/>
                <w:lang w:val="en-GB" w:eastAsia="en-GB"/>
              </w:rPr>
              <w:t>0.805</w:t>
            </w:r>
            <w:r>
              <w:rPr>
                <w:rFonts w:ascii="Times New Roman" w:eastAsia="Times New Roman" w:hAnsi="Times New Roman" w:cs="Times New Roman"/>
                <w:color w:val="000000"/>
                <w:sz w:val="20"/>
                <w:szCs w:val="20"/>
                <w:lang w:val="en-GB" w:eastAsia="en-GB"/>
              </w:rPr>
              <w:t>]</w:t>
            </w:r>
          </w:p>
        </w:tc>
        <w:tc>
          <w:tcPr>
            <w:tcW w:w="309" w:type="pct"/>
            <w:tcBorders>
              <w:top w:val="nil"/>
              <w:left w:val="nil"/>
              <w:bottom w:val="single" w:sz="4" w:space="0" w:color="auto"/>
              <w:right w:val="nil"/>
            </w:tcBorders>
            <w:noWrap/>
            <w:vAlign w:val="bottom"/>
            <w:hideMark/>
          </w:tcPr>
          <w:p w14:paraId="02D52079" w14:textId="2A80C723" w:rsidR="008E1E2D" w:rsidRPr="006D41DE" w:rsidRDefault="008E1E2D" w:rsidP="008E1E2D">
            <w:pPr>
              <w:spacing w:after="0" w:line="240" w:lineRule="auto"/>
              <w:jc w:val="center"/>
              <w:rPr>
                <w:rFonts w:ascii="Times New Roman" w:eastAsia="Times New Roman" w:hAnsi="Times New Roman" w:cs="Times New Roman"/>
                <w:color w:val="000000"/>
                <w:sz w:val="20"/>
                <w:szCs w:val="20"/>
                <w:lang w:eastAsia="en-CA"/>
              </w:rPr>
            </w:pPr>
            <w:r w:rsidRPr="008E1E2D">
              <w:rPr>
                <w:rFonts w:ascii="Times New Roman" w:eastAsia="Times New Roman" w:hAnsi="Times New Roman" w:cs="Times New Roman"/>
                <w:color w:val="000000"/>
                <w:sz w:val="20"/>
                <w:szCs w:val="20"/>
                <w:lang w:val="en-GB" w:eastAsia="en-GB"/>
              </w:rPr>
              <w:t> </w:t>
            </w:r>
          </w:p>
        </w:tc>
      </w:tr>
    </w:tbl>
    <w:p w14:paraId="78165554" w14:textId="77777777" w:rsidR="006E6800" w:rsidRDefault="006E6800" w:rsidP="00771546">
      <w:pPr>
        <w:spacing w:after="0"/>
        <w:rPr>
          <w:rFonts w:ascii="Times New Roman" w:hAnsi="Times New Roman" w:cs="Times New Roman"/>
          <w:b/>
          <w:sz w:val="20"/>
          <w:szCs w:val="20"/>
        </w:rPr>
      </w:pPr>
    </w:p>
    <w:p w14:paraId="3F9D3BAE" w14:textId="77777777" w:rsidR="00DB0034" w:rsidRDefault="00DB0034" w:rsidP="00B44D82">
      <w:pPr>
        <w:spacing w:after="0"/>
        <w:jc w:val="center"/>
        <w:rPr>
          <w:rFonts w:ascii="Times New Roman" w:hAnsi="Times New Roman" w:cs="Times New Roman"/>
          <w:b/>
          <w:sz w:val="20"/>
          <w:szCs w:val="20"/>
        </w:rPr>
      </w:pPr>
    </w:p>
    <w:p w14:paraId="48B14F6F" w14:textId="77777777" w:rsidR="00DB0034" w:rsidRDefault="00DB0034" w:rsidP="00B44D82">
      <w:pPr>
        <w:spacing w:after="0"/>
        <w:jc w:val="center"/>
        <w:rPr>
          <w:rFonts w:ascii="Times New Roman" w:hAnsi="Times New Roman" w:cs="Times New Roman"/>
          <w:b/>
          <w:sz w:val="20"/>
          <w:szCs w:val="20"/>
        </w:rPr>
      </w:pPr>
    </w:p>
    <w:p w14:paraId="6FB30617" w14:textId="5EDFAB21" w:rsidR="00B761CB" w:rsidRPr="005A60C4" w:rsidRDefault="00B761CB" w:rsidP="00B761CB">
      <w:pPr>
        <w:spacing w:after="0"/>
        <w:jc w:val="center"/>
        <w:rPr>
          <w:rFonts w:ascii="Times New Roman" w:hAnsi="Times New Roman" w:cs="Times New Roman"/>
          <w:b/>
          <w:sz w:val="20"/>
          <w:szCs w:val="20"/>
        </w:rPr>
      </w:pPr>
      <w:r w:rsidRPr="005A60C4">
        <w:rPr>
          <w:rFonts w:ascii="Times New Roman" w:hAnsi="Times New Roman" w:cs="Times New Roman"/>
          <w:b/>
          <w:sz w:val="20"/>
          <w:szCs w:val="20"/>
        </w:rPr>
        <w:lastRenderedPageBreak/>
        <w:t xml:space="preserve">TABLE </w:t>
      </w:r>
      <w:r w:rsidR="007D15CC">
        <w:rPr>
          <w:rFonts w:ascii="Times New Roman" w:hAnsi="Times New Roman" w:cs="Times New Roman"/>
          <w:b/>
          <w:sz w:val="20"/>
          <w:szCs w:val="20"/>
        </w:rPr>
        <w:t>2</w:t>
      </w:r>
    </w:p>
    <w:p w14:paraId="41FD9BC3" w14:textId="1FA1F0B9" w:rsidR="00B761CB" w:rsidRDefault="00B761CB" w:rsidP="00B761CB">
      <w:pPr>
        <w:spacing w:after="0" w:line="360" w:lineRule="auto"/>
        <w:jc w:val="center"/>
        <w:rPr>
          <w:rFonts w:ascii="Times New Roman" w:hAnsi="Times New Roman" w:cs="Times New Roman"/>
          <w:b/>
          <w:bCs/>
          <w:sz w:val="20"/>
          <w:szCs w:val="20"/>
        </w:rPr>
      </w:pPr>
      <w:r w:rsidRPr="001F027B">
        <w:rPr>
          <w:rFonts w:ascii="Times New Roman" w:hAnsi="Times New Roman" w:cs="Times New Roman"/>
          <w:b/>
          <w:bCs/>
          <w:sz w:val="20"/>
          <w:szCs w:val="20"/>
        </w:rPr>
        <w:t xml:space="preserve">Validation of </w:t>
      </w:r>
      <w:r w:rsidR="007B0634">
        <w:rPr>
          <w:rFonts w:ascii="Times New Roman" w:hAnsi="Times New Roman" w:cs="Times New Roman"/>
          <w:b/>
          <w:bCs/>
          <w:sz w:val="20"/>
          <w:szCs w:val="20"/>
        </w:rPr>
        <w:t>VU</w:t>
      </w:r>
      <w:r>
        <w:rPr>
          <w:rFonts w:ascii="Times New Roman" w:hAnsi="Times New Roman" w:cs="Times New Roman"/>
          <w:b/>
          <w:bCs/>
          <w:sz w:val="20"/>
          <w:szCs w:val="20"/>
        </w:rPr>
        <w:t xml:space="preserve"> using Ex-ante Proxies</w:t>
      </w:r>
    </w:p>
    <w:p w14:paraId="37BB7554" w14:textId="0838D094" w:rsidR="00A31221" w:rsidRDefault="00A31221" w:rsidP="00A31221">
      <w:pPr>
        <w:spacing w:after="0"/>
        <w:jc w:val="both"/>
        <w:rPr>
          <w:rFonts w:ascii="Times New Roman" w:hAnsi="Times New Roman" w:cs="Times New Roman"/>
          <w:sz w:val="20"/>
          <w:szCs w:val="20"/>
        </w:rPr>
      </w:pPr>
      <w:r>
        <w:rPr>
          <w:rFonts w:ascii="Times New Roman" w:hAnsi="Times New Roman" w:cs="Times New Roman"/>
          <w:sz w:val="20"/>
          <w:szCs w:val="20"/>
        </w:rPr>
        <w:t xml:space="preserve">This table reports estimation results from annual Fama-MacBeth regressions of the valuation uncertainty measure (VU) on </w:t>
      </w:r>
      <w:r w:rsidR="009B5D61">
        <w:rPr>
          <w:rFonts w:ascii="Times New Roman" w:hAnsi="Times New Roman" w:cs="Times New Roman"/>
          <w:sz w:val="20"/>
          <w:szCs w:val="20"/>
        </w:rPr>
        <w:t>ex-ante uncertainty proxies</w:t>
      </w:r>
      <w:r w:rsidR="00147944">
        <w:rPr>
          <w:rFonts w:ascii="Times New Roman" w:hAnsi="Times New Roman" w:cs="Times New Roman"/>
          <w:sz w:val="20"/>
          <w:szCs w:val="20"/>
        </w:rPr>
        <w:t xml:space="preserve">. </w:t>
      </w:r>
      <w:r w:rsidR="00A87764">
        <w:rPr>
          <w:rFonts w:ascii="Times New Roman" w:hAnsi="Times New Roman" w:cs="Times New Roman"/>
          <w:sz w:val="20"/>
          <w:szCs w:val="20"/>
        </w:rPr>
        <w:t xml:space="preserve">The proxy in </w:t>
      </w:r>
      <w:r w:rsidR="00394E8F">
        <w:rPr>
          <w:rFonts w:ascii="Times New Roman" w:hAnsi="Times New Roman" w:cs="Times New Roman"/>
          <w:sz w:val="20"/>
          <w:szCs w:val="20"/>
        </w:rPr>
        <w:t>c</w:t>
      </w:r>
      <w:r w:rsidR="00A87764">
        <w:rPr>
          <w:rFonts w:ascii="Times New Roman" w:hAnsi="Times New Roman" w:cs="Times New Roman"/>
          <w:sz w:val="20"/>
          <w:szCs w:val="20"/>
        </w:rPr>
        <w:t>olumn</w:t>
      </w:r>
      <w:r w:rsidR="00D00F32">
        <w:rPr>
          <w:rFonts w:ascii="Times New Roman" w:hAnsi="Times New Roman" w:cs="Times New Roman"/>
          <w:sz w:val="20"/>
          <w:szCs w:val="20"/>
        </w:rPr>
        <w:t xml:space="preserve"> (1) </w:t>
      </w:r>
      <w:r w:rsidR="00A87764">
        <w:rPr>
          <w:rFonts w:ascii="Times New Roman" w:hAnsi="Times New Roman" w:cs="Times New Roman"/>
          <w:sz w:val="20"/>
          <w:szCs w:val="20"/>
        </w:rPr>
        <w:t>is</w:t>
      </w:r>
      <w:r w:rsidR="00D00F32">
        <w:rPr>
          <w:rFonts w:ascii="Times New Roman" w:hAnsi="Times New Roman" w:cs="Times New Roman"/>
          <w:sz w:val="20"/>
          <w:szCs w:val="20"/>
        </w:rPr>
        <w:t xml:space="preserve"> earnings volatility</w:t>
      </w:r>
      <w:r w:rsidR="005C41D5">
        <w:rPr>
          <w:rFonts w:ascii="Times New Roman" w:hAnsi="Times New Roman" w:cs="Times New Roman"/>
          <w:sz w:val="20"/>
          <w:szCs w:val="20"/>
        </w:rPr>
        <w:t xml:space="preserve"> (</w:t>
      </w:r>
      <w:r w:rsidR="00E16371" w:rsidRPr="00282BCE">
        <w:rPr>
          <w:rFonts w:ascii="Times New Roman" w:eastAsia="Times New Roman" w:hAnsi="Times New Roman" w:cs="Times New Roman"/>
          <w:color w:val="000000"/>
          <w:sz w:val="20"/>
          <w:szCs w:val="20"/>
          <w:lang w:eastAsia="en-CA"/>
        </w:rPr>
        <w:t>σ</w:t>
      </w:r>
      <w:r w:rsidR="00E16371">
        <w:rPr>
          <w:rFonts w:ascii="Times New Roman" w:eastAsia="Times New Roman" w:hAnsi="Times New Roman" w:cs="Times New Roman"/>
          <w:color w:val="000000"/>
          <w:sz w:val="20"/>
          <w:szCs w:val="20"/>
          <w:vertAlign w:val="superscript"/>
          <w:lang w:val="en-GB" w:eastAsia="en-GB"/>
        </w:rPr>
        <w:t xml:space="preserve"> </w:t>
      </w:r>
      <w:r w:rsidR="00E16371" w:rsidRPr="00A25C55">
        <w:rPr>
          <w:rFonts w:ascii="Times New Roman" w:eastAsia="Times New Roman" w:hAnsi="Times New Roman" w:cs="Times New Roman"/>
          <w:color w:val="000000"/>
          <w:sz w:val="20"/>
          <w:szCs w:val="20"/>
          <w:lang w:val="en-GB" w:eastAsia="en-GB"/>
        </w:rPr>
        <w:t>(ROA)</w:t>
      </w:r>
      <w:r w:rsidR="00E16371" w:rsidRPr="00A25C55">
        <w:rPr>
          <w:rFonts w:ascii="Times New Roman" w:eastAsia="Times New Roman" w:hAnsi="Times New Roman" w:cs="Times New Roman"/>
          <w:color w:val="000000"/>
          <w:sz w:val="20"/>
          <w:szCs w:val="20"/>
          <w:vertAlign w:val="superscript"/>
          <w:lang w:val="en-GB" w:eastAsia="en-GB"/>
        </w:rPr>
        <w:t>PRE</w:t>
      </w:r>
      <w:r w:rsidR="005C41D5">
        <w:rPr>
          <w:rFonts w:ascii="Times New Roman" w:eastAsia="Times New Roman" w:hAnsi="Times New Roman" w:cs="Times New Roman"/>
          <w:color w:val="000000"/>
          <w:sz w:val="20"/>
          <w:szCs w:val="20"/>
          <w:lang w:val="en-GB" w:eastAsia="en-GB"/>
        </w:rPr>
        <w:t>)</w:t>
      </w:r>
      <w:r w:rsidR="00A87764">
        <w:rPr>
          <w:rFonts w:ascii="Times New Roman" w:hAnsi="Times New Roman" w:cs="Times New Roman"/>
          <w:sz w:val="20"/>
          <w:szCs w:val="20"/>
        </w:rPr>
        <w:t xml:space="preserve">, measured as the standard deviation of </w:t>
      </w:r>
      <w:r w:rsidR="0033139C">
        <w:rPr>
          <w:rFonts w:ascii="Times New Roman" w:hAnsi="Times New Roman" w:cs="Times New Roman"/>
          <w:sz w:val="20"/>
          <w:szCs w:val="20"/>
        </w:rPr>
        <w:t xml:space="preserve">return on assets over the </w:t>
      </w:r>
      <w:r w:rsidR="00CA043C">
        <w:rPr>
          <w:rFonts w:ascii="Times New Roman" w:hAnsi="Times New Roman" w:cs="Times New Roman"/>
          <w:sz w:val="20"/>
          <w:szCs w:val="20"/>
        </w:rPr>
        <w:t>most recent</w:t>
      </w:r>
      <w:r w:rsidR="0033139C">
        <w:rPr>
          <w:rFonts w:ascii="Times New Roman" w:hAnsi="Times New Roman" w:cs="Times New Roman"/>
          <w:sz w:val="20"/>
          <w:szCs w:val="20"/>
        </w:rPr>
        <w:t xml:space="preserve"> five years.</w:t>
      </w:r>
      <w:r w:rsidR="00771816">
        <w:rPr>
          <w:rFonts w:ascii="Times New Roman" w:hAnsi="Times New Roman" w:cs="Times New Roman"/>
          <w:sz w:val="20"/>
          <w:szCs w:val="20"/>
        </w:rPr>
        <w:t xml:space="preserve"> </w:t>
      </w:r>
      <w:r w:rsidR="0033139C">
        <w:rPr>
          <w:rFonts w:ascii="Times New Roman" w:hAnsi="Times New Roman" w:cs="Times New Roman"/>
          <w:sz w:val="20"/>
          <w:szCs w:val="20"/>
        </w:rPr>
        <w:t xml:space="preserve">The proxy in column (2) is the </w:t>
      </w:r>
      <w:r w:rsidR="00B15AEF">
        <w:rPr>
          <w:rFonts w:ascii="Times New Roman" w:hAnsi="Times New Roman" w:cs="Times New Roman"/>
          <w:sz w:val="20"/>
          <w:szCs w:val="20"/>
        </w:rPr>
        <w:t xml:space="preserve">slope </w:t>
      </w:r>
      <w:r w:rsidR="0033139C">
        <w:rPr>
          <w:rFonts w:ascii="Times New Roman" w:hAnsi="Times New Roman" w:cs="Times New Roman"/>
          <w:sz w:val="20"/>
          <w:szCs w:val="20"/>
        </w:rPr>
        <w:t>coefficient from a</w:t>
      </w:r>
      <w:r w:rsidR="00E539AF">
        <w:rPr>
          <w:rFonts w:ascii="Times New Roman" w:hAnsi="Times New Roman" w:cs="Times New Roman"/>
          <w:sz w:val="20"/>
          <w:szCs w:val="20"/>
        </w:rPr>
        <w:t xml:space="preserve"> firm-level</w:t>
      </w:r>
      <w:r w:rsidR="0033139C">
        <w:rPr>
          <w:rFonts w:ascii="Times New Roman" w:hAnsi="Times New Roman" w:cs="Times New Roman"/>
          <w:sz w:val="20"/>
          <w:szCs w:val="20"/>
        </w:rPr>
        <w:t xml:space="preserve"> AR(1) regression</w:t>
      </w:r>
      <w:r w:rsidR="00CF0C97">
        <w:rPr>
          <w:rFonts w:ascii="Times New Roman" w:hAnsi="Times New Roman" w:cs="Times New Roman"/>
          <w:sz w:val="20"/>
          <w:szCs w:val="20"/>
        </w:rPr>
        <w:t xml:space="preserve"> of return on assets </w:t>
      </w:r>
      <w:r w:rsidR="00E539AF">
        <w:rPr>
          <w:rFonts w:ascii="Times New Roman" w:hAnsi="Times New Roman" w:cs="Times New Roman"/>
          <w:sz w:val="20"/>
          <w:szCs w:val="20"/>
        </w:rPr>
        <w:t>on lagged return on assets</w:t>
      </w:r>
      <w:r w:rsidR="005C41D5">
        <w:rPr>
          <w:rFonts w:ascii="Times New Roman" w:hAnsi="Times New Roman" w:cs="Times New Roman"/>
          <w:sz w:val="20"/>
          <w:szCs w:val="20"/>
        </w:rPr>
        <w:t xml:space="preserve"> (</w:t>
      </w:r>
      <w:r w:rsidR="00E16371" w:rsidRPr="003F26A3">
        <w:rPr>
          <w:rFonts w:ascii="Times New Roman" w:eastAsia="Times New Roman" w:hAnsi="Times New Roman" w:cs="Times New Roman"/>
          <w:color w:val="000000"/>
          <w:sz w:val="20"/>
          <w:szCs w:val="20"/>
          <w:lang w:val="en-GB" w:eastAsia="en-GB"/>
        </w:rPr>
        <w:t>β</w:t>
      </w:r>
      <w:r w:rsidR="00E16371">
        <w:rPr>
          <w:rFonts w:ascii="Times New Roman" w:eastAsia="Times New Roman" w:hAnsi="Times New Roman" w:cs="Times New Roman"/>
          <w:color w:val="000000"/>
          <w:sz w:val="20"/>
          <w:szCs w:val="20"/>
          <w:lang w:val="en-GB" w:eastAsia="en-GB"/>
        </w:rPr>
        <w:t xml:space="preserve"> [</w:t>
      </w:r>
      <w:r w:rsidR="00E16371" w:rsidRPr="00E16371">
        <w:rPr>
          <w:rFonts w:ascii="Times New Roman" w:eastAsia="Times New Roman" w:hAnsi="Times New Roman" w:cs="Times New Roman"/>
          <w:color w:val="000000"/>
          <w:sz w:val="20"/>
          <w:szCs w:val="20"/>
          <w:lang w:val="en-GB" w:eastAsia="en-GB"/>
        </w:rPr>
        <w:t>AR(1)</w:t>
      </w:r>
      <w:r w:rsidR="00E16371">
        <w:rPr>
          <w:rFonts w:ascii="Times New Roman" w:eastAsia="Times New Roman" w:hAnsi="Times New Roman" w:cs="Times New Roman"/>
          <w:color w:val="000000"/>
          <w:sz w:val="20"/>
          <w:szCs w:val="20"/>
          <w:lang w:val="en-GB" w:eastAsia="en-GB"/>
        </w:rPr>
        <w:t>]</w:t>
      </w:r>
      <w:r w:rsidR="005C41D5">
        <w:rPr>
          <w:rFonts w:ascii="Times New Roman" w:hAnsi="Times New Roman" w:cs="Times New Roman"/>
          <w:sz w:val="20"/>
          <w:szCs w:val="20"/>
        </w:rPr>
        <w:t>)</w:t>
      </w:r>
      <w:r w:rsidR="001F0958">
        <w:rPr>
          <w:rFonts w:ascii="Times New Roman" w:hAnsi="Times New Roman" w:cs="Times New Roman"/>
          <w:sz w:val="20"/>
          <w:szCs w:val="20"/>
        </w:rPr>
        <w:t xml:space="preserve"> estimated</w:t>
      </w:r>
      <w:r w:rsidR="00E539AF">
        <w:rPr>
          <w:rFonts w:ascii="Times New Roman" w:hAnsi="Times New Roman" w:cs="Times New Roman"/>
          <w:sz w:val="20"/>
          <w:szCs w:val="20"/>
        </w:rPr>
        <w:t xml:space="preserve"> over a period of ten years (minimum of eight years is required)</w:t>
      </w:r>
      <w:r w:rsidR="0064050A">
        <w:rPr>
          <w:rFonts w:ascii="Times New Roman" w:hAnsi="Times New Roman" w:cs="Times New Roman"/>
          <w:sz w:val="20"/>
          <w:szCs w:val="20"/>
        </w:rPr>
        <w:t>. The</w:t>
      </w:r>
      <w:r w:rsidR="00394E8F">
        <w:rPr>
          <w:rFonts w:ascii="Times New Roman" w:hAnsi="Times New Roman" w:cs="Times New Roman"/>
          <w:sz w:val="20"/>
          <w:szCs w:val="20"/>
        </w:rPr>
        <w:t xml:space="preserve"> proxy in column (3) is the R2 from a firm-level AR(1) regression of return on assets on lagged return on assets (</w:t>
      </w:r>
      <w:r w:rsidR="00E16371">
        <w:rPr>
          <w:rFonts w:ascii="Times New Roman" w:eastAsia="Times New Roman" w:hAnsi="Times New Roman" w:cs="Times New Roman"/>
          <w:color w:val="000000"/>
          <w:sz w:val="20"/>
          <w:szCs w:val="20"/>
          <w:lang w:val="en-GB" w:eastAsia="en-GB"/>
        </w:rPr>
        <w:t>R2 [</w:t>
      </w:r>
      <w:r w:rsidR="00E16371" w:rsidRPr="00E16371">
        <w:rPr>
          <w:rFonts w:ascii="Times New Roman" w:eastAsia="Times New Roman" w:hAnsi="Times New Roman" w:cs="Times New Roman"/>
          <w:color w:val="000000"/>
          <w:sz w:val="20"/>
          <w:szCs w:val="20"/>
          <w:lang w:val="en-GB" w:eastAsia="en-GB"/>
        </w:rPr>
        <w:t>AR(1)</w:t>
      </w:r>
      <w:r w:rsidR="00E16371">
        <w:rPr>
          <w:rFonts w:ascii="Times New Roman" w:eastAsia="Times New Roman" w:hAnsi="Times New Roman" w:cs="Times New Roman"/>
          <w:color w:val="000000"/>
          <w:sz w:val="20"/>
          <w:szCs w:val="20"/>
          <w:lang w:val="en-GB" w:eastAsia="en-GB"/>
        </w:rPr>
        <w:t>]</w:t>
      </w:r>
      <w:r w:rsidR="00394E8F">
        <w:rPr>
          <w:rFonts w:ascii="Times New Roman" w:hAnsi="Times New Roman" w:cs="Times New Roman"/>
          <w:sz w:val="20"/>
          <w:szCs w:val="20"/>
        </w:rPr>
        <w:t>) estimated over a period of ten years (minimum of eight years is required)</w:t>
      </w:r>
      <w:r w:rsidR="00061C28">
        <w:rPr>
          <w:rFonts w:ascii="Times New Roman" w:hAnsi="Times New Roman" w:cs="Times New Roman"/>
          <w:sz w:val="20"/>
          <w:szCs w:val="20"/>
        </w:rPr>
        <w:t>. The proxy in column (</w:t>
      </w:r>
      <w:r w:rsidR="00B041DA">
        <w:rPr>
          <w:rFonts w:ascii="Times New Roman" w:hAnsi="Times New Roman" w:cs="Times New Roman"/>
          <w:sz w:val="20"/>
          <w:szCs w:val="20"/>
        </w:rPr>
        <w:t>4</w:t>
      </w:r>
      <w:r w:rsidR="00061C28">
        <w:rPr>
          <w:rFonts w:ascii="Times New Roman" w:hAnsi="Times New Roman" w:cs="Times New Roman"/>
          <w:sz w:val="20"/>
          <w:szCs w:val="20"/>
        </w:rPr>
        <w:t>) is</w:t>
      </w:r>
      <w:r w:rsidR="00B54F8A">
        <w:rPr>
          <w:rFonts w:ascii="Times New Roman" w:hAnsi="Times New Roman" w:cs="Times New Roman"/>
          <w:sz w:val="20"/>
          <w:szCs w:val="20"/>
        </w:rPr>
        <w:t xml:space="preserve"> scaled</w:t>
      </w:r>
      <w:r w:rsidR="00061C28">
        <w:rPr>
          <w:rFonts w:ascii="Times New Roman" w:hAnsi="Times New Roman" w:cs="Times New Roman"/>
          <w:sz w:val="20"/>
          <w:szCs w:val="20"/>
        </w:rPr>
        <w:t xml:space="preserve"> absolute accruals</w:t>
      </w:r>
      <w:r w:rsidR="00B54F8A">
        <w:rPr>
          <w:rFonts w:ascii="Times New Roman" w:hAnsi="Times New Roman" w:cs="Times New Roman"/>
          <w:sz w:val="20"/>
          <w:szCs w:val="20"/>
        </w:rPr>
        <w:t xml:space="preserve"> (|ACC|)</w:t>
      </w:r>
      <w:r w:rsidR="00061C28">
        <w:rPr>
          <w:rFonts w:ascii="Times New Roman" w:hAnsi="Times New Roman" w:cs="Times New Roman"/>
          <w:sz w:val="20"/>
          <w:szCs w:val="20"/>
        </w:rPr>
        <w:t>, where accruals</w:t>
      </w:r>
      <w:r w:rsidR="00222B86">
        <w:rPr>
          <w:rFonts w:ascii="Times New Roman" w:hAnsi="Times New Roman" w:cs="Times New Roman"/>
          <w:sz w:val="20"/>
          <w:szCs w:val="20"/>
        </w:rPr>
        <w:t xml:space="preserve"> is the change in working capital minus depreciation</w:t>
      </w:r>
      <w:r w:rsidR="0021689A">
        <w:rPr>
          <w:rFonts w:ascii="Times New Roman" w:hAnsi="Times New Roman" w:cs="Times New Roman"/>
          <w:sz w:val="20"/>
          <w:szCs w:val="20"/>
        </w:rPr>
        <w:t xml:space="preserve">, all scaled by average total assets. </w:t>
      </w:r>
      <w:r w:rsidR="00B041DA">
        <w:rPr>
          <w:rFonts w:ascii="Times New Roman" w:hAnsi="Times New Roman" w:cs="Times New Roman"/>
          <w:sz w:val="20"/>
          <w:szCs w:val="20"/>
        </w:rPr>
        <w:t>The proxy in column (5) is earnings quality (</w:t>
      </w:r>
      <w:proofErr w:type="spellStart"/>
      <w:r w:rsidR="00B041DA" w:rsidRPr="003F26A3">
        <w:rPr>
          <w:rFonts w:ascii="Times New Roman" w:eastAsia="Times New Roman" w:hAnsi="Times New Roman" w:cs="Times New Roman"/>
          <w:color w:val="000000"/>
          <w:sz w:val="20"/>
          <w:szCs w:val="20"/>
          <w:lang w:val="en-GB" w:eastAsia="en-GB"/>
        </w:rPr>
        <w:t>EarnQual</w:t>
      </w:r>
      <w:proofErr w:type="spellEnd"/>
      <w:r w:rsidR="00B041DA">
        <w:rPr>
          <w:rFonts w:ascii="Times New Roman" w:eastAsia="Times New Roman" w:hAnsi="Times New Roman" w:cs="Times New Roman"/>
          <w:color w:val="000000"/>
          <w:sz w:val="20"/>
          <w:szCs w:val="20"/>
          <w:lang w:val="en-GB" w:eastAsia="en-GB"/>
        </w:rPr>
        <w:t>) measured as in Francis et al.</w:t>
      </w:r>
      <w:r w:rsidR="00F87F22">
        <w:rPr>
          <w:rFonts w:ascii="Times New Roman" w:eastAsia="Times New Roman" w:hAnsi="Times New Roman" w:cs="Times New Roman"/>
          <w:color w:val="000000"/>
          <w:sz w:val="20"/>
          <w:szCs w:val="20"/>
          <w:lang w:val="en-GB" w:eastAsia="en-GB"/>
        </w:rPr>
        <w:t xml:space="preserve"> (2005)</w:t>
      </w:r>
      <w:r w:rsidR="003C0208">
        <w:rPr>
          <w:rFonts w:ascii="Times New Roman" w:eastAsia="Times New Roman" w:hAnsi="Times New Roman" w:cs="Times New Roman"/>
          <w:color w:val="000000"/>
          <w:sz w:val="20"/>
          <w:szCs w:val="20"/>
          <w:lang w:val="en-GB" w:eastAsia="en-GB"/>
        </w:rPr>
        <w:t xml:space="preserve"> (a minimum of 20 observations per industry-year is required). The proxy in column (6) is </w:t>
      </w:r>
      <w:r w:rsidR="00B15AEF">
        <w:rPr>
          <w:rFonts w:ascii="Times New Roman" w:eastAsia="Times New Roman" w:hAnsi="Times New Roman" w:cs="Times New Roman"/>
          <w:color w:val="000000"/>
          <w:sz w:val="20"/>
          <w:szCs w:val="20"/>
          <w:lang w:val="en-GB" w:eastAsia="en-GB"/>
        </w:rPr>
        <w:t xml:space="preserve">earnings </w:t>
      </w:r>
      <w:r w:rsidR="009D6E6F">
        <w:rPr>
          <w:rFonts w:ascii="Times New Roman" w:eastAsia="Times New Roman" w:hAnsi="Times New Roman" w:cs="Times New Roman"/>
          <w:color w:val="000000"/>
          <w:sz w:val="20"/>
          <w:szCs w:val="20"/>
          <w:lang w:val="en-GB" w:eastAsia="en-GB"/>
        </w:rPr>
        <w:t>smoothness (</w:t>
      </w:r>
      <w:r w:rsidR="00E16371" w:rsidRPr="00282BCE">
        <w:rPr>
          <w:rFonts w:ascii="Times New Roman" w:eastAsia="Times New Roman" w:hAnsi="Times New Roman" w:cs="Times New Roman"/>
          <w:color w:val="000000"/>
          <w:sz w:val="20"/>
          <w:szCs w:val="20"/>
          <w:lang w:eastAsia="en-CA"/>
        </w:rPr>
        <w:t>σ</w:t>
      </w:r>
      <w:r w:rsidR="00E16371">
        <w:rPr>
          <w:rFonts w:ascii="Times New Roman" w:eastAsia="Times New Roman" w:hAnsi="Times New Roman" w:cs="Times New Roman"/>
          <w:color w:val="000000"/>
          <w:sz w:val="20"/>
          <w:szCs w:val="20"/>
          <w:vertAlign w:val="superscript"/>
          <w:lang w:val="en-GB" w:eastAsia="en-GB"/>
        </w:rPr>
        <w:t xml:space="preserve"> </w:t>
      </w:r>
      <w:r w:rsidR="00E16371" w:rsidRPr="00A25C55">
        <w:rPr>
          <w:rFonts w:ascii="Times New Roman" w:eastAsia="Times New Roman" w:hAnsi="Times New Roman" w:cs="Times New Roman"/>
          <w:color w:val="000000"/>
          <w:sz w:val="20"/>
          <w:szCs w:val="20"/>
          <w:lang w:val="en-GB" w:eastAsia="en-GB"/>
        </w:rPr>
        <w:t>(ROA)</w:t>
      </w:r>
      <w:r w:rsidR="00E16371" w:rsidRPr="00A25C55">
        <w:rPr>
          <w:rFonts w:ascii="Times New Roman" w:eastAsia="Times New Roman" w:hAnsi="Times New Roman" w:cs="Times New Roman"/>
          <w:color w:val="000000"/>
          <w:sz w:val="20"/>
          <w:szCs w:val="20"/>
          <w:vertAlign w:val="superscript"/>
          <w:lang w:val="en-GB" w:eastAsia="en-GB"/>
        </w:rPr>
        <w:t>PRE</w:t>
      </w:r>
      <w:r w:rsidR="00E16371" w:rsidRPr="003F26A3">
        <w:rPr>
          <w:rFonts w:ascii="Times New Roman" w:eastAsia="Times New Roman" w:hAnsi="Times New Roman" w:cs="Times New Roman"/>
          <w:color w:val="000000"/>
          <w:sz w:val="20"/>
          <w:szCs w:val="20"/>
          <w:lang w:val="en-GB" w:eastAsia="en-GB"/>
        </w:rPr>
        <w:t xml:space="preserve"> /</w:t>
      </w:r>
      <w:r w:rsidR="00E16371" w:rsidRPr="00282BCE">
        <w:rPr>
          <w:rFonts w:ascii="Times New Roman" w:eastAsia="Times New Roman" w:hAnsi="Times New Roman" w:cs="Times New Roman"/>
          <w:color w:val="000000"/>
          <w:sz w:val="20"/>
          <w:szCs w:val="20"/>
          <w:lang w:eastAsia="en-CA"/>
        </w:rPr>
        <w:t xml:space="preserve"> σ</w:t>
      </w:r>
      <w:r w:rsidR="00E16371">
        <w:rPr>
          <w:rFonts w:ascii="Times New Roman" w:eastAsia="Times New Roman" w:hAnsi="Times New Roman" w:cs="Times New Roman"/>
          <w:color w:val="000000"/>
          <w:sz w:val="20"/>
          <w:szCs w:val="20"/>
          <w:vertAlign w:val="superscript"/>
          <w:lang w:val="en-GB" w:eastAsia="en-GB"/>
        </w:rPr>
        <w:t xml:space="preserve"> </w:t>
      </w:r>
      <w:r w:rsidR="00E16371" w:rsidRPr="00A25C55">
        <w:rPr>
          <w:rFonts w:ascii="Times New Roman" w:eastAsia="Times New Roman" w:hAnsi="Times New Roman" w:cs="Times New Roman"/>
          <w:color w:val="000000"/>
          <w:sz w:val="20"/>
          <w:szCs w:val="20"/>
          <w:lang w:val="en-GB" w:eastAsia="en-GB"/>
        </w:rPr>
        <w:t>(</w:t>
      </w:r>
      <w:r w:rsidR="00E16371">
        <w:rPr>
          <w:rFonts w:ascii="Times New Roman" w:eastAsia="Times New Roman" w:hAnsi="Times New Roman" w:cs="Times New Roman"/>
          <w:color w:val="000000"/>
          <w:sz w:val="20"/>
          <w:szCs w:val="20"/>
          <w:lang w:val="en-GB" w:eastAsia="en-GB"/>
        </w:rPr>
        <w:t>CFO</w:t>
      </w:r>
      <w:r w:rsidR="00E16371" w:rsidRPr="00A25C55">
        <w:rPr>
          <w:rFonts w:ascii="Times New Roman" w:eastAsia="Times New Roman" w:hAnsi="Times New Roman" w:cs="Times New Roman"/>
          <w:color w:val="000000"/>
          <w:sz w:val="20"/>
          <w:szCs w:val="20"/>
          <w:lang w:val="en-GB" w:eastAsia="en-GB"/>
        </w:rPr>
        <w:t>)</w:t>
      </w:r>
      <w:r w:rsidR="00E16371" w:rsidRPr="00A25C55">
        <w:rPr>
          <w:rFonts w:ascii="Times New Roman" w:eastAsia="Times New Roman" w:hAnsi="Times New Roman" w:cs="Times New Roman"/>
          <w:color w:val="000000"/>
          <w:sz w:val="20"/>
          <w:szCs w:val="20"/>
          <w:vertAlign w:val="superscript"/>
          <w:lang w:val="en-GB" w:eastAsia="en-GB"/>
        </w:rPr>
        <w:t>PRE</w:t>
      </w:r>
      <w:r w:rsidR="009D6E6F">
        <w:rPr>
          <w:rFonts w:ascii="Times New Roman" w:eastAsia="Times New Roman" w:hAnsi="Times New Roman" w:cs="Times New Roman"/>
          <w:color w:val="000000"/>
          <w:sz w:val="20"/>
          <w:szCs w:val="20"/>
          <w:lang w:val="en-GB" w:eastAsia="en-GB"/>
        </w:rPr>
        <w:t xml:space="preserve">), </w:t>
      </w:r>
      <w:r w:rsidR="00762867">
        <w:rPr>
          <w:rFonts w:ascii="Times New Roman" w:eastAsia="Times New Roman" w:hAnsi="Times New Roman" w:cs="Times New Roman"/>
          <w:color w:val="000000"/>
          <w:sz w:val="20"/>
          <w:szCs w:val="20"/>
          <w:lang w:val="en-GB" w:eastAsia="en-GB"/>
        </w:rPr>
        <w:t>where</w:t>
      </w:r>
      <w:r w:rsidR="009D6E6F" w:rsidRPr="009D6E6F">
        <w:rPr>
          <w:rFonts w:ascii="Times New Roman" w:eastAsia="Times New Roman" w:hAnsi="Times New Roman" w:cs="Times New Roman"/>
          <w:color w:val="000000"/>
          <w:sz w:val="20"/>
          <w:szCs w:val="20"/>
          <w:lang w:val="en-GB" w:eastAsia="en-GB"/>
        </w:rPr>
        <w:t xml:space="preserve"> </w:t>
      </w:r>
      <w:r w:rsidR="00E16371" w:rsidRPr="00282BCE">
        <w:rPr>
          <w:rFonts w:ascii="Times New Roman" w:eastAsia="Times New Roman" w:hAnsi="Times New Roman" w:cs="Times New Roman"/>
          <w:color w:val="000000"/>
          <w:sz w:val="20"/>
          <w:szCs w:val="20"/>
          <w:lang w:eastAsia="en-CA"/>
        </w:rPr>
        <w:t>σ</w:t>
      </w:r>
      <w:r w:rsidR="00E16371">
        <w:rPr>
          <w:rFonts w:ascii="Times New Roman" w:eastAsia="Times New Roman" w:hAnsi="Times New Roman" w:cs="Times New Roman"/>
          <w:color w:val="000000"/>
          <w:sz w:val="20"/>
          <w:szCs w:val="20"/>
          <w:vertAlign w:val="superscript"/>
          <w:lang w:val="en-GB" w:eastAsia="en-GB"/>
        </w:rPr>
        <w:t xml:space="preserve"> </w:t>
      </w:r>
      <w:r w:rsidR="00E16371" w:rsidRPr="00A25C55">
        <w:rPr>
          <w:rFonts w:ascii="Times New Roman" w:eastAsia="Times New Roman" w:hAnsi="Times New Roman" w:cs="Times New Roman"/>
          <w:color w:val="000000"/>
          <w:sz w:val="20"/>
          <w:szCs w:val="20"/>
          <w:lang w:val="en-GB" w:eastAsia="en-GB"/>
        </w:rPr>
        <w:t>(</w:t>
      </w:r>
      <w:r w:rsidR="00E16371">
        <w:rPr>
          <w:rFonts w:ascii="Times New Roman" w:eastAsia="Times New Roman" w:hAnsi="Times New Roman" w:cs="Times New Roman"/>
          <w:color w:val="000000"/>
          <w:sz w:val="20"/>
          <w:szCs w:val="20"/>
          <w:lang w:val="en-GB" w:eastAsia="en-GB"/>
        </w:rPr>
        <w:t>CFO</w:t>
      </w:r>
      <w:r w:rsidR="00E16371" w:rsidRPr="00A25C55">
        <w:rPr>
          <w:rFonts w:ascii="Times New Roman" w:eastAsia="Times New Roman" w:hAnsi="Times New Roman" w:cs="Times New Roman"/>
          <w:color w:val="000000"/>
          <w:sz w:val="20"/>
          <w:szCs w:val="20"/>
          <w:lang w:val="en-GB" w:eastAsia="en-GB"/>
        </w:rPr>
        <w:t>)</w:t>
      </w:r>
      <w:r w:rsidR="00E16371" w:rsidRPr="00A25C55">
        <w:rPr>
          <w:rFonts w:ascii="Times New Roman" w:eastAsia="Times New Roman" w:hAnsi="Times New Roman" w:cs="Times New Roman"/>
          <w:color w:val="000000"/>
          <w:sz w:val="20"/>
          <w:szCs w:val="20"/>
          <w:vertAlign w:val="superscript"/>
          <w:lang w:val="en-GB" w:eastAsia="en-GB"/>
        </w:rPr>
        <w:t>PRE</w:t>
      </w:r>
      <w:r w:rsidR="00762867">
        <w:rPr>
          <w:rFonts w:ascii="Times New Roman" w:eastAsia="Times New Roman" w:hAnsi="Times New Roman" w:cs="Times New Roman"/>
          <w:color w:val="000000"/>
          <w:sz w:val="20"/>
          <w:szCs w:val="20"/>
          <w:lang w:val="en-GB" w:eastAsia="en-GB"/>
        </w:rPr>
        <w:t xml:space="preserve"> is </w:t>
      </w:r>
      <w:r w:rsidR="00762867">
        <w:rPr>
          <w:rFonts w:ascii="Times New Roman" w:hAnsi="Times New Roman" w:cs="Times New Roman"/>
          <w:sz w:val="20"/>
          <w:szCs w:val="20"/>
        </w:rPr>
        <w:t xml:space="preserve">the standard deviation of operating cash flows </w:t>
      </w:r>
      <w:r w:rsidR="00F51850">
        <w:rPr>
          <w:rFonts w:ascii="Times New Roman" w:hAnsi="Times New Roman" w:cs="Times New Roman"/>
          <w:sz w:val="20"/>
          <w:szCs w:val="20"/>
        </w:rPr>
        <w:t>(income before extraordinary items minus accruals</w:t>
      </w:r>
      <w:r w:rsidR="00F44FC2">
        <w:rPr>
          <w:rFonts w:ascii="Times New Roman" w:hAnsi="Times New Roman" w:cs="Times New Roman"/>
          <w:sz w:val="20"/>
          <w:szCs w:val="20"/>
        </w:rPr>
        <w:t>, scaled by average total assets</w:t>
      </w:r>
      <w:r w:rsidR="00F51850">
        <w:rPr>
          <w:rFonts w:ascii="Times New Roman" w:hAnsi="Times New Roman" w:cs="Times New Roman"/>
          <w:sz w:val="20"/>
          <w:szCs w:val="20"/>
        </w:rPr>
        <w:t xml:space="preserve">) </w:t>
      </w:r>
      <w:r w:rsidR="00762867">
        <w:rPr>
          <w:rFonts w:ascii="Times New Roman" w:hAnsi="Times New Roman" w:cs="Times New Roman"/>
          <w:sz w:val="20"/>
          <w:szCs w:val="20"/>
        </w:rPr>
        <w:t>over the most recent five years</w:t>
      </w:r>
      <w:r w:rsidR="00CE63B8">
        <w:rPr>
          <w:rFonts w:ascii="Times New Roman" w:hAnsi="Times New Roman" w:cs="Times New Roman"/>
          <w:sz w:val="20"/>
          <w:szCs w:val="20"/>
        </w:rPr>
        <w:t xml:space="preserve">. </w:t>
      </w:r>
      <w:r w:rsidR="00602183">
        <w:rPr>
          <w:rFonts w:ascii="Times New Roman" w:hAnsi="Times New Roman" w:cs="Times New Roman"/>
          <w:sz w:val="20"/>
          <w:szCs w:val="20"/>
        </w:rPr>
        <w:t>The proxy is column (7) is beta volatility (</w:t>
      </w:r>
      <w:r w:rsidR="00E16371" w:rsidRPr="00282BCE">
        <w:rPr>
          <w:rFonts w:ascii="Times New Roman" w:eastAsia="Times New Roman" w:hAnsi="Times New Roman" w:cs="Times New Roman"/>
          <w:color w:val="000000"/>
          <w:sz w:val="20"/>
          <w:szCs w:val="20"/>
          <w:lang w:eastAsia="en-CA"/>
        </w:rPr>
        <w:t>σ</w:t>
      </w:r>
      <w:r w:rsidR="00E16371">
        <w:rPr>
          <w:rFonts w:ascii="Times New Roman" w:eastAsia="Times New Roman" w:hAnsi="Times New Roman" w:cs="Times New Roman"/>
          <w:color w:val="000000"/>
          <w:sz w:val="20"/>
          <w:szCs w:val="20"/>
          <w:vertAlign w:val="superscript"/>
          <w:lang w:val="en-GB" w:eastAsia="en-GB"/>
        </w:rPr>
        <w:t xml:space="preserve"> </w:t>
      </w:r>
      <w:r w:rsidR="00E16371" w:rsidRPr="00A25C55">
        <w:rPr>
          <w:rFonts w:ascii="Times New Roman" w:eastAsia="Times New Roman" w:hAnsi="Times New Roman" w:cs="Times New Roman"/>
          <w:color w:val="000000"/>
          <w:sz w:val="20"/>
          <w:szCs w:val="20"/>
          <w:lang w:val="en-GB" w:eastAsia="en-GB"/>
        </w:rPr>
        <w:t>(</w:t>
      </w:r>
      <w:r w:rsidR="00E16371">
        <w:rPr>
          <w:rFonts w:ascii="Times New Roman" w:eastAsia="Times New Roman" w:hAnsi="Times New Roman" w:cs="Times New Roman"/>
          <w:color w:val="000000"/>
          <w:sz w:val="20"/>
          <w:szCs w:val="20"/>
          <w:lang w:val="en-GB" w:eastAsia="en-GB"/>
        </w:rPr>
        <w:t>Beta</w:t>
      </w:r>
      <w:r w:rsidR="00E16371" w:rsidRPr="00A25C55">
        <w:rPr>
          <w:rFonts w:ascii="Times New Roman" w:eastAsia="Times New Roman" w:hAnsi="Times New Roman" w:cs="Times New Roman"/>
          <w:color w:val="000000"/>
          <w:sz w:val="20"/>
          <w:szCs w:val="20"/>
          <w:lang w:val="en-GB" w:eastAsia="en-GB"/>
        </w:rPr>
        <w:t>)</w:t>
      </w:r>
      <w:r w:rsidR="00E16371">
        <w:rPr>
          <w:rFonts w:ascii="Times New Roman" w:eastAsia="Times New Roman" w:hAnsi="Times New Roman" w:cs="Times New Roman"/>
          <w:color w:val="000000"/>
          <w:sz w:val="20"/>
          <w:szCs w:val="20"/>
          <w:vertAlign w:val="superscript"/>
          <w:lang w:val="en-GB" w:eastAsia="en-GB"/>
        </w:rPr>
        <w:t>PRE</w:t>
      </w:r>
      <w:r w:rsidR="00602183">
        <w:rPr>
          <w:rFonts w:ascii="Times New Roman" w:eastAsia="Times New Roman" w:hAnsi="Times New Roman" w:cs="Times New Roman"/>
          <w:color w:val="000000"/>
          <w:sz w:val="20"/>
          <w:szCs w:val="20"/>
          <w:lang w:val="en-GB" w:eastAsia="en-GB"/>
        </w:rPr>
        <w:t>)</w:t>
      </w:r>
      <w:r w:rsidR="000E04F8">
        <w:rPr>
          <w:rFonts w:ascii="Times New Roman" w:eastAsia="Times New Roman" w:hAnsi="Times New Roman" w:cs="Times New Roman"/>
          <w:color w:val="000000"/>
          <w:sz w:val="20"/>
          <w:szCs w:val="20"/>
          <w:lang w:val="en-GB" w:eastAsia="en-GB"/>
        </w:rPr>
        <w:t xml:space="preserve">, </w:t>
      </w:r>
      <w:r w:rsidR="00D45886">
        <w:rPr>
          <w:rFonts w:ascii="Times New Roman" w:eastAsia="Times New Roman" w:hAnsi="Times New Roman" w:cs="Times New Roman"/>
          <w:color w:val="000000"/>
          <w:sz w:val="20"/>
          <w:szCs w:val="20"/>
          <w:lang w:val="en-GB" w:eastAsia="en-GB"/>
        </w:rPr>
        <w:t xml:space="preserve">measured as </w:t>
      </w:r>
      <w:r w:rsidR="000E04F8">
        <w:rPr>
          <w:rFonts w:ascii="Times New Roman" w:eastAsia="Times New Roman" w:hAnsi="Times New Roman" w:cs="Times New Roman"/>
          <w:color w:val="000000"/>
          <w:sz w:val="20"/>
          <w:szCs w:val="20"/>
          <w:lang w:val="en-GB" w:eastAsia="en-GB"/>
        </w:rPr>
        <w:t xml:space="preserve">the standard deviation of </w:t>
      </w:r>
      <w:r w:rsidR="00740776">
        <w:rPr>
          <w:rFonts w:ascii="Times New Roman" w:eastAsia="Times New Roman" w:hAnsi="Times New Roman" w:cs="Times New Roman"/>
          <w:color w:val="000000"/>
          <w:sz w:val="20"/>
          <w:szCs w:val="20"/>
          <w:lang w:val="en-GB" w:eastAsia="en-GB"/>
        </w:rPr>
        <w:t xml:space="preserve">five </w:t>
      </w:r>
      <w:r w:rsidR="00776B55">
        <w:rPr>
          <w:rFonts w:ascii="Times New Roman" w:eastAsia="Times New Roman" w:hAnsi="Times New Roman" w:cs="Times New Roman"/>
          <w:color w:val="000000"/>
          <w:sz w:val="20"/>
          <w:szCs w:val="20"/>
          <w:lang w:val="en-GB" w:eastAsia="en-GB"/>
        </w:rPr>
        <w:t xml:space="preserve">past </w:t>
      </w:r>
      <w:r w:rsidR="00740776">
        <w:rPr>
          <w:rFonts w:ascii="Times New Roman" w:eastAsia="Times New Roman" w:hAnsi="Times New Roman" w:cs="Times New Roman"/>
          <w:color w:val="000000"/>
          <w:sz w:val="20"/>
          <w:szCs w:val="20"/>
          <w:lang w:val="en-GB" w:eastAsia="en-GB"/>
        </w:rPr>
        <w:t>market</w:t>
      </w:r>
      <w:r w:rsidR="007138BD">
        <w:rPr>
          <w:rFonts w:ascii="Times New Roman" w:eastAsia="Times New Roman" w:hAnsi="Times New Roman" w:cs="Times New Roman"/>
          <w:color w:val="000000"/>
          <w:sz w:val="20"/>
          <w:szCs w:val="20"/>
          <w:lang w:val="en-GB" w:eastAsia="en-GB"/>
        </w:rPr>
        <w:t xml:space="preserve"> betas. </w:t>
      </w:r>
      <w:r w:rsidR="00740776">
        <w:rPr>
          <w:rFonts w:ascii="Times New Roman" w:eastAsia="Times New Roman" w:hAnsi="Times New Roman" w:cs="Times New Roman"/>
          <w:color w:val="000000"/>
          <w:sz w:val="20"/>
          <w:szCs w:val="20"/>
          <w:lang w:val="en-GB" w:eastAsia="en-GB"/>
        </w:rPr>
        <w:t>Market b</w:t>
      </w:r>
      <w:r w:rsidR="007138BD">
        <w:rPr>
          <w:rFonts w:ascii="Times New Roman" w:eastAsia="Times New Roman" w:hAnsi="Times New Roman" w:cs="Times New Roman"/>
          <w:color w:val="000000"/>
          <w:sz w:val="20"/>
          <w:szCs w:val="20"/>
          <w:lang w:val="en-GB" w:eastAsia="en-GB"/>
        </w:rPr>
        <w:t xml:space="preserve">etas are calculated </w:t>
      </w:r>
      <w:r w:rsidR="0048647C">
        <w:rPr>
          <w:rFonts w:ascii="Times New Roman" w:eastAsia="Times New Roman" w:hAnsi="Times New Roman" w:cs="Times New Roman"/>
          <w:color w:val="000000"/>
          <w:sz w:val="20"/>
          <w:szCs w:val="20"/>
          <w:lang w:val="en-GB" w:eastAsia="en-GB"/>
        </w:rPr>
        <w:t xml:space="preserve">over one-year windows </w:t>
      </w:r>
      <w:r w:rsidR="007138BD">
        <w:rPr>
          <w:rFonts w:ascii="Times New Roman" w:eastAsia="Times New Roman" w:hAnsi="Times New Roman" w:cs="Times New Roman"/>
          <w:color w:val="000000"/>
          <w:sz w:val="20"/>
          <w:szCs w:val="20"/>
          <w:lang w:val="en-GB" w:eastAsia="en-GB"/>
        </w:rPr>
        <w:t>using daily returns</w:t>
      </w:r>
      <w:r w:rsidR="0023389D">
        <w:rPr>
          <w:rFonts w:ascii="Times New Roman" w:eastAsia="Times New Roman" w:hAnsi="Times New Roman" w:cs="Times New Roman"/>
          <w:color w:val="000000"/>
          <w:sz w:val="20"/>
          <w:szCs w:val="20"/>
          <w:lang w:val="en-GB" w:eastAsia="en-GB"/>
        </w:rPr>
        <w:t xml:space="preserve">. </w:t>
      </w:r>
      <w:r w:rsidR="00F56340">
        <w:rPr>
          <w:rFonts w:ascii="Times New Roman" w:eastAsia="Times New Roman" w:hAnsi="Times New Roman" w:cs="Times New Roman"/>
          <w:color w:val="000000"/>
          <w:sz w:val="20"/>
          <w:szCs w:val="20"/>
          <w:lang w:val="en-GB" w:eastAsia="en-GB"/>
        </w:rPr>
        <w:t xml:space="preserve">The proxy in column </w:t>
      </w:r>
      <w:r w:rsidR="00450B46">
        <w:rPr>
          <w:rFonts w:ascii="Times New Roman" w:eastAsia="Times New Roman" w:hAnsi="Times New Roman" w:cs="Times New Roman"/>
          <w:color w:val="000000"/>
          <w:sz w:val="20"/>
          <w:szCs w:val="20"/>
          <w:lang w:val="en-GB" w:eastAsia="en-GB"/>
        </w:rPr>
        <w:t>(8) is the</w:t>
      </w:r>
      <w:r w:rsidR="006C371F">
        <w:rPr>
          <w:rFonts w:ascii="Times New Roman" w:eastAsia="Times New Roman" w:hAnsi="Times New Roman" w:cs="Times New Roman"/>
          <w:color w:val="000000"/>
          <w:sz w:val="20"/>
          <w:szCs w:val="20"/>
          <w:lang w:val="en-GB" w:eastAsia="en-GB"/>
        </w:rPr>
        <w:t xml:space="preserve"> standard error of market</w:t>
      </w:r>
      <w:r w:rsidR="00450B46">
        <w:rPr>
          <w:rFonts w:ascii="Times New Roman" w:eastAsia="Times New Roman" w:hAnsi="Times New Roman" w:cs="Times New Roman"/>
          <w:color w:val="000000"/>
          <w:sz w:val="20"/>
          <w:szCs w:val="20"/>
          <w:lang w:val="en-GB" w:eastAsia="en-GB"/>
        </w:rPr>
        <w:t xml:space="preserve"> beta (</w:t>
      </w:r>
      <w:r w:rsidR="00E16371" w:rsidRPr="003F26A3">
        <w:rPr>
          <w:rFonts w:ascii="Times New Roman" w:eastAsia="Times New Roman" w:hAnsi="Times New Roman" w:cs="Times New Roman"/>
          <w:color w:val="000000"/>
          <w:sz w:val="20"/>
          <w:szCs w:val="20"/>
          <w:lang w:val="en-GB" w:eastAsia="en-GB"/>
        </w:rPr>
        <w:t>S</w:t>
      </w:r>
      <w:r w:rsidR="00E16371">
        <w:rPr>
          <w:rFonts w:ascii="Times New Roman" w:eastAsia="Times New Roman" w:hAnsi="Times New Roman" w:cs="Times New Roman"/>
          <w:color w:val="000000"/>
          <w:sz w:val="20"/>
          <w:szCs w:val="20"/>
          <w:lang w:val="en-GB" w:eastAsia="en-GB"/>
        </w:rPr>
        <w:t>E(Beta)</w:t>
      </w:r>
      <w:r w:rsidR="00E16371">
        <w:rPr>
          <w:rFonts w:ascii="Times New Roman" w:eastAsia="Times New Roman" w:hAnsi="Times New Roman" w:cs="Times New Roman"/>
          <w:color w:val="000000"/>
          <w:sz w:val="20"/>
          <w:szCs w:val="20"/>
          <w:vertAlign w:val="superscript"/>
          <w:lang w:val="en-GB" w:eastAsia="en-GB"/>
        </w:rPr>
        <w:t>PRE</w:t>
      </w:r>
      <w:r w:rsidR="00450B46">
        <w:rPr>
          <w:rFonts w:ascii="Times New Roman" w:hAnsi="Times New Roman" w:cs="Times New Roman"/>
          <w:sz w:val="20"/>
          <w:szCs w:val="20"/>
        </w:rPr>
        <w:t>), estimat</w:t>
      </w:r>
      <w:r w:rsidR="006C371F">
        <w:rPr>
          <w:rFonts w:ascii="Times New Roman" w:hAnsi="Times New Roman" w:cs="Times New Roman"/>
          <w:sz w:val="20"/>
          <w:szCs w:val="20"/>
        </w:rPr>
        <w:t>ed</w:t>
      </w:r>
      <w:r w:rsidR="00450B46">
        <w:rPr>
          <w:rFonts w:ascii="Times New Roman" w:hAnsi="Times New Roman" w:cs="Times New Roman"/>
          <w:sz w:val="20"/>
          <w:szCs w:val="20"/>
        </w:rPr>
        <w:t xml:space="preserve"> o</w:t>
      </w:r>
      <w:r w:rsidR="00934F02">
        <w:rPr>
          <w:rFonts w:ascii="Times New Roman" w:hAnsi="Times New Roman" w:cs="Times New Roman"/>
          <w:sz w:val="20"/>
          <w:szCs w:val="20"/>
        </w:rPr>
        <w:t>ver</w:t>
      </w:r>
      <w:r w:rsidR="00450B46">
        <w:rPr>
          <w:rFonts w:ascii="Times New Roman" w:hAnsi="Times New Roman" w:cs="Times New Roman"/>
          <w:sz w:val="20"/>
          <w:szCs w:val="20"/>
        </w:rPr>
        <w:t xml:space="preserve"> the </w:t>
      </w:r>
      <w:r w:rsidR="00D10003">
        <w:rPr>
          <w:rFonts w:ascii="Times New Roman" w:hAnsi="Times New Roman" w:cs="Times New Roman"/>
          <w:sz w:val="20"/>
          <w:szCs w:val="20"/>
        </w:rPr>
        <w:t xml:space="preserve">past </w:t>
      </w:r>
      <w:r w:rsidR="00450B46">
        <w:rPr>
          <w:rFonts w:ascii="Times New Roman" w:hAnsi="Times New Roman" w:cs="Times New Roman"/>
          <w:sz w:val="20"/>
          <w:szCs w:val="20"/>
        </w:rPr>
        <w:t xml:space="preserve">year </w:t>
      </w:r>
      <w:r w:rsidR="00934F02">
        <w:rPr>
          <w:rFonts w:ascii="Times New Roman" w:hAnsi="Times New Roman" w:cs="Times New Roman"/>
          <w:sz w:val="20"/>
          <w:szCs w:val="20"/>
        </w:rPr>
        <w:t xml:space="preserve">using daily returns. </w:t>
      </w:r>
      <w:r w:rsidR="00EA7E6D">
        <w:rPr>
          <w:rFonts w:ascii="Times New Roman" w:hAnsi="Times New Roman" w:cs="Times New Roman"/>
          <w:sz w:val="20"/>
          <w:szCs w:val="20"/>
        </w:rPr>
        <w:t xml:space="preserve">All explanatory variables are </w:t>
      </w:r>
      <w:proofErr w:type="spellStart"/>
      <w:r w:rsidR="00EA7E6D">
        <w:rPr>
          <w:rFonts w:ascii="Times New Roman" w:hAnsi="Times New Roman" w:cs="Times New Roman"/>
          <w:sz w:val="20"/>
          <w:szCs w:val="20"/>
        </w:rPr>
        <w:t>winsorized</w:t>
      </w:r>
      <w:proofErr w:type="spellEnd"/>
      <w:r w:rsidR="00EA7E6D">
        <w:rPr>
          <w:rFonts w:ascii="Times New Roman" w:hAnsi="Times New Roman" w:cs="Times New Roman"/>
          <w:sz w:val="20"/>
          <w:szCs w:val="20"/>
        </w:rPr>
        <w:t xml:space="preserve"> at the 1</w:t>
      </w:r>
      <w:r w:rsidR="00EA7E6D" w:rsidRPr="00EA7E6D">
        <w:rPr>
          <w:rFonts w:ascii="Times New Roman" w:hAnsi="Times New Roman" w:cs="Times New Roman"/>
          <w:sz w:val="20"/>
          <w:szCs w:val="20"/>
          <w:vertAlign w:val="superscript"/>
        </w:rPr>
        <w:t>st</w:t>
      </w:r>
      <w:r w:rsidR="00EA7E6D">
        <w:rPr>
          <w:rFonts w:ascii="Times New Roman" w:hAnsi="Times New Roman" w:cs="Times New Roman"/>
          <w:sz w:val="20"/>
          <w:szCs w:val="20"/>
        </w:rPr>
        <w:t xml:space="preserve"> and 99</w:t>
      </w:r>
      <w:r w:rsidR="00EA7E6D" w:rsidRPr="00EA7E6D">
        <w:rPr>
          <w:rFonts w:ascii="Times New Roman" w:hAnsi="Times New Roman" w:cs="Times New Roman"/>
          <w:sz w:val="20"/>
          <w:szCs w:val="20"/>
          <w:vertAlign w:val="superscript"/>
        </w:rPr>
        <w:t>th</w:t>
      </w:r>
      <w:r w:rsidR="00EA7E6D">
        <w:rPr>
          <w:rFonts w:ascii="Times New Roman" w:hAnsi="Times New Roman" w:cs="Times New Roman"/>
          <w:sz w:val="20"/>
          <w:szCs w:val="20"/>
        </w:rPr>
        <w:t xml:space="preserve"> percentiles</w:t>
      </w:r>
      <w:r w:rsidR="00785E71">
        <w:rPr>
          <w:rFonts w:ascii="Times New Roman" w:hAnsi="Times New Roman" w:cs="Times New Roman"/>
          <w:sz w:val="20"/>
          <w:szCs w:val="20"/>
        </w:rPr>
        <w:t xml:space="preserve"> (for |ACC|, </w:t>
      </w:r>
      <w:proofErr w:type="spellStart"/>
      <w:r w:rsidR="00785E71">
        <w:rPr>
          <w:rFonts w:ascii="Times New Roman" w:hAnsi="Times New Roman" w:cs="Times New Roman"/>
          <w:sz w:val="20"/>
          <w:szCs w:val="20"/>
        </w:rPr>
        <w:t>winsorization</w:t>
      </w:r>
      <w:proofErr w:type="spellEnd"/>
      <w:r w:rsidR="00785E71">
        <w:rPr>
          <w:rFonts w:ascii="Times New Roman" w:hAnsi="Times New Roman" w:cs="Times New Roman"/>
          <w:sz w:val="20"/>
          <w:szCs w:val="20"/>
        </w:rPr>
        <w:t xml:space="preserve"> is performed prior to taking the absolute value)</w:t>
      </w:r>
      <w:r w:rsidR="00EA7E6D">
        <w:rPr>
          <w:rFonts w:ascii="Times New Roman" w:hAnsi="Times New Roman" w:cs="Times New Roman"/>
          <w:sz w:val="20"/>
          <w:szCs w:val="20"/>
        </w:rPr>
        <w:t xml:space="preserve">. </w:t>
      </w:r>
      <w:r>
        <w:rPr>
          <w:rFonts w:ascii="Times New Roman" w:hAnsi="Times New Roman" w:cs="Times New Roman"/>
          <w:sz w:val="20"/>
          <w:szCs w:val="20"/>
        </w:rPr>
        <w:t xml:space="preserve">The sample period runs from 1975 to 2022 (48 years). </w:t>
      </w:r>
      <w:r w:rsidRPr="0010756C">
        <w:rPr>
          <w:rFonts w:ascii="Times New Roman" w:hAnsi="Times New Roman" w:cs="Times New Roman"/>
          <w:i/>
          <w:sz w:val="20"/>
          <w:szCs w:val="20"/>
        </w:rPr>
        <w:t>p</w:t>
      </w:r>
      <w:r>
        <w:rPr>
          <w:rFonts w:ascii="Times New Roman" w:hAnsi="Times New Roman" w:cs="Times New Roman"/>
          <w:sz w:val="20"/>
          <w:szCs w:val="20"/>
        </w:rPr>
        <w:t>-values in parentheses correspond to Newey-West standard errors with 3 lags. Variable definitions are provided in the Appendix.</w:t>
      </w:r>
      <w:r w:rsidR="00701DB0">
        <w:rPr>
          <w:rFonts w:ascii="Times New Roman" w:hAnsi="Times New Roman" w:cs="Times New Roman"/>
          <w:sz w:val="20"/>
          <w:szCs w:val="20"/>
        </w:rPr>
        <w:t xml:space="preserve"> Symbols ***, **, and * indicate statistical significance at the 1%, 5%, and 10% levels, respectively.</w:t>
      </w:r>
    </w:p>
    <w:p w14:paraId="3128B807" w14:textId="77777777" w:rsidR="007B4D97" w:rsidRDefault="007B4D97" w:rsidP="00A31221">
      <w:pPr>
        <w:spacing w:after="0"/>
        <w:jc w:val="both"/>
        <w:rPr>
          <w:rFonts w:ascii="Times New Roman" w:hAnsi="Times New Roman" w:cs="Times New Roman"/>
          <w:sz w:val="20"/>
          <w:szCs w:val="20"/>
        </w:rPr>
      </w:pPr>
    </w:p>
    <w:tbl>
      <w:tblPr>
        <w:tblW w:w="5000" w:type="pct"/>
        <w:tblLook w:val="04A0" w:firstRow="1" w:lastRow="0" w:firstColumn="1" w:lastColumn="0" w:noHBand="0" w:noVBand="1"/>
      </w:tblPr>
      <w:tblGrid>
        <w:gridCol w:w="2226"/>
        <w:gridCol w:w="1005"/>
        <w:gridCol w:w="1081"/>
        <w:gridCol w:w="1081"/>
        <w:gridCol w:w="1081"/>
        <w:gridCol w:w="1081"/>
        <w:gridCol w:w="1081"/>
        <w:gridCol w:w="1081"/>
        <w:gridCol w:w="1081"/>
        <w:gridCol w:w="1081"/>
        <w:gridCol w:w="1081"/>
      </w:tblGrid>
      <w:tr w:rsidR="008743E2" w:rsidRPr="003F26A3" w14:paraId="7C4D3D60" w14:textId="77777777" w:rsidTr="0008223B">
        <w:trPr>
          <w:trHeight w:val="233"/>
        </w:trPr>
        <w:tc>
          <w:tcPr>
            <w:tcW w:w="859" w:type="pct"/>
            <w:tcBorders>
              <w:top w:val="single" w:sz="4" w:space="0" w:color="auto"/>
              <w:left w:val="nil"/>
              <w:bottom w:val="single" w:sz="4" w:space="0" w:color="auto"/>
              <w:right w:val="nil"/>
            </w:tcBorders>
            <w:noWrap/>
            <w:vAlign w:val="bottom"/>
            <w:hideMark/>
          </w:tcPr>
          <w:p w14:paraId="11C48913"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 </w:t>
            </w:r>
          </w:p>
        </w:tc>
        <w:tc>
          <w:tcPr>
            <w:tcW w:w="388" w:type="pct"/>
            <w:tcBorders>
              <w:top w:val="single" w:sz="4" w:space="0" w:color="auto"/>
              <w:left w:val="nil"/>
              <w:bottom w:val="single" w:sz="4" w:space="0" w:color="auto"/>
              <w:right w:val="nil"/>
            </w:tcBorders>
            <w:noWrap/>
            <w:vAlign w:val="bottom"/>
            <w:hideMark/>
          </w:tcPr>
          <w:p w14:paraId="3BCB64EF" w14:textId="03F22ECB"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Exp</w:t>
            </w:r>
            <w:r w:rsidR="0008223B">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 xml:space="preserve"> Sign</w:t>
            </w:r>
          </w:p>
        </w:tc>
        <w:tc>
          <w:tcPr>
            <w:tcW w:w="417" w:type="pct"/>
            <w:tcBorders>
              <w:top w:val="single" w:sz="4" w:space="0" w:color="auto"/>
              <w:left w:val="nil"/>
              <w:bottom w:val="single" w:sz="4" w:space="0" w:color="auto"/>
              <w:right w:val="nil"/>
            </w:tcBorders>
            <w:noWrap/>
            <w:vAlign w:val="bottom"/>
            <w:hideMark/>
          </w:tcPr>
          <w:p w14:paraId="04EC0629" w14:textId="6F5F37A7"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1</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6DB5047F" w14:textId="6225E66E"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2</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547A5F6A" w14:textId="780332F9"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3</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75AB5945" w14:textId="56A5AF24"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4</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498C9E42" w14:textId="1298872C"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5</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32A01CEC" w14:textId="4055F482"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6</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4382667F" w14:textId="477CF945"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7</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7CA2EB07" w14:textId="0D54E21D"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8</w:t>
            </w:r>
            <w:r>
              <w:rPr>
                <w:rFonts w:ascii="Times New Roman" w:eastAsia="Times New Roman" w:hAnsi="Times New Roman" w:cs="Times New Roman"/>
                <w:color w:val="000000"/>
                <w:sz w:val="20"/>
                <w:szCs w:val="20"/>
                <w:lang w:val="en-GB" w:eastAsia="en-GB"/>
              </w:rPr>
              <w:t>)</w:t>
            </w:r>
          </w:p>
        </w:tc>
        <w:tc>
          <w:tcPr>
            <w:tcW w:w="417" w:type="pct"/>
            <w:tcBorders>
              <w:top w:val="single" w:sz="4" w:space="0" w:color="auto"/>
              <w:left w:val="nil"/>
              <w:bottom w:val="single" w:sz="4" w:space="0" w:color="auto"/>
              <w:right w:val="nil"/>
            </w:tcBorders>
            <w:noWrap/>
            <w:vAlign w:val="bottom"/>
            <w:hideMark/>
          </w:tcPr>
          <w:p w14:paraId="111F6408" w14:textId="3BAAEE8D" w:rsidR="003F26A3" w:rsidRPr="003F26A3" w:rsidRDefault="00462675"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9</w:t>
            </w:r>
            <w:r>
              <w:rPr>
                <w:rFonts w:ascii="Times New Roman" w:eastAsia="Times New Roman" w:hAnsi="Times New Roman" w:cs="Times New Roman"/>
                <w:color w:val="000000"/>
                <w:sz w:val="20"/>
                <w:szCs w:val="20"/>
                <w:lang w:val="en-GB" w:eastAsia="en-GB"/>
              </w:rPr>
              <w:t>)</w:t>
            </w:r>
          </w:p>
        </w:tc>
      </w:tr>
      <w:tr w:rsidR="008743E2" w:rsidRPr="003F26A3" w14:paraId="0AF853D3" w14:textId="77777777" w:rsidTr="0071290F">
        <w:trPr>
          <w:trHeight w:val="363"/>
        </w:trPr>
        <w:tc>
          <w:tcPr>
            <w:tcW w:w="859" w:type="pct"/>
            <w:tcBorders>
              <w:top w:val="nil"/>
              <w:left w:val="nil"/>
              <w:bottom w:val="nil"/>
              <w:right w:val="nil"/>
            </w:tcBorders>
            <w:noWrap/>
            <w:vAlign w:val="bottom"/>
            <w:hideMark/>
          </w:tcPr>
          <w:p w14:paraId="3A388E1A"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Intercept</w:t>
            </w:r>
          </w:p>
        </w:tc>
        <w:tc>
          <w:tcPr>
            <w:tcW w:w="388" w:type="pct"/>
            <w:tcBorders>
              <w:top w:val="nil"/>
              <w:left w:val="nil"/>
              <w:bottom w:val="nil"/>
              <w:right w:val="nil"/>
            </w:tcBorders>
            <w:noWrap/>
            <w:vAlign w:val="bottom"/>
            <w:hideMark/>
          </w:tcPr>
          <w:p w14:paraId="26B04999"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5404375E" w14:textId="26334B93"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0.679</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0CCE13F" w14:textId="5829546D"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0.736</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0EEA0E66" w14:textId="7A3AA90A"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0.736</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43710BB" w14:textId="57AD2FAE"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0.727</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0F89C02F" w14:textId="089E1418"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0.632</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329E9448" w14:textId="19AD751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0.691</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08AB5365" w14:textId="1B6B90D9"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0.626</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2FAAF6E0" w14:textId="48AD4D73"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0.572</w:t>
            </w:r>
            <w:r w:rsidR="002A4EBC">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CCDB728" w14:textId="225795A0"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0.468</w:t>
            </w:r>
            <w:r w:rsidR="002A4EBC">
              <w:rPr>
                <w:rFonts w:ascii="Times New Roman" w:eastAsia="Times New Roman" w:hAnsi="Times New Roman" w:cs="Times New Roman"/>
                <w:color w:val="000000"/>
                <w:sz w:val="20"/>
                <w:szCs w:val="20"/>
                <w:lang w:val="en-GB" w:eastAsia="en-GB"/>
              </w:rPr>
              <w:t>***</w:t>
            </w:r>
          </w:p>
        </w:tc>
      </w:tr>
      <w:tr w:rsidR="008743E2" w:rsidRPr="003F26A3" w14:paraId="169FA769" w14:textId="77777777" w:rsidTr="0008223B">
        <w:trPr>
          <w:trHeight w:val="233"/>
        </w:trPr>
        <w:tc>
          <w:tcPr>
            <w:tcW w:w="859" w:type="pct"/>
            <w:tcBorders>
              <w:top w:val="nil"/>
              <w:left w:val="nil"/>
              <w:bottom w:val="nil"/>
              <w:right w:val="nil"/>
            </w:tcBorders>
            <w:noWrap/>
            <w:vAlign w:val="bottom"/>
            <w:hideMark/>
          </w:tcPr>
          <w:p w14:paraId="73B47468"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6CE2A0CE"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D3FF5BF" w14:textId="7E472A53"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29C3846B" w14:textId="245A30E0"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CBBC327" w14:textId="4E1C69C6"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A3A978B" w14:textId="6F7B8A3C"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14D48A50" w14:textId="65E7D10B"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38CAD83C" w14:textId="2E92544B"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8D63FFA" w14:textId="49B27D38"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2E612CEB" w14:textId="7DEB5913"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6104F7B4" w14:textId="24AE6335"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2F8ACDBE" w14:textId="77777777" w:rsidTr="0008223B">
        <w:trPr>
          <w:trHeight w:val="233"/>
        </w:trPr>
        <w:tc>
          <w:tcPr>
            <w:tcW w:w="859" w:type="pct"/>
            <w:tcBorders>
              <w:top w:val="nil"/>
              <w:left w:val="nil"/>
              <w:bottom w:val="nil"/>
              <w:right w:val="nil"/>
            </w:tcBorders>
            <w:noWrap/>
            <w:vAlign w:val="bottom"/>
            <w:hideMark/>
          </w:tcPr>
          <w:p w14:paraId="05E613A8" w14:textId="2954BF00" w:rsidR="003F26A3" w:rsidRPr="003F26A3" w:rsidRDefault="00A25C55" w:rsidP="003F26A3">
            <w:pPr>
              <w:spacing w:after="0" w:line="240" w:lineRule="auto"/>
              <w:rPr>
                <w:rFonts w:ascii="Times New Roman" w:eastAsia="Times New Roman" w:hAnsi="Times New Roman" w:cs="Times New Roman"/>
                <w:color w:val="000000"/>
                <w:sz w:val="20"/>
                <w:szCs w:val="20"/>
                <w:lang w:val="en-GB" w:eastAsia="en-GB"/>
              </w:rPr>
            </w:pP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vertAlign w:val="superscript"/>
                <w:lang w:val="en-GB" w:eastAsia="en-GB"/>
              </w:rPr>
              <w:t xml:space="preserve"> </w:t>
            </w:r>
            <w:r w:rsidRPr="00A25C55">
              <w:rPr>
                <w:rFonts w:ascii="Times New Roman" w:eastAsia="Times New Roman" w:hAnsi="Times New Roman" w:cs="Times New Roman"/>
                <w:color w:val="000000"/>
                <w:sz w:val="20"/>
                <w:szCs w:val="20"/>
                <w:lang w:val="en-GB" w:eastAsia="en-GB"/>
              </w:rPr>
              <w:t>(ROA)</w:t>
            </w:r>
            <w:r w:rsidRPr="00A25C55">
              <w:rPr>
                <w:rFonts w:ascii="Times New Roman" w:eastAsia="Times New Roman" w:hAnsi="Times New Roman" w:cs="Times New Roman"/>
                <w:color w:val="000000"/>
                <w:sz w:val="20"/>
                <w:szCs w:val="20"/>
                <w:vertAlign w:val="superscript"/>
                <w:lang w:val="en-GB" w:eastAsia="en-GB"/>
              </w:rPr>
              <w:t>PRE</w:t>
            </w:r>
          </w:p>
        </w:tc>
        <w:tc>
          <w:tcPr>
            <w:tcW w:w="388" w:type="pct"/>
            <w:tcBorders>
              <w:top w:val="nil"/>
              <w:left w:val="nil"/>
              <w:bottom w:val="nil"/>
              <w:right w:val="nil"/>
            </w:tcBorders>
            <w:noWrap/>
            <w:vAlign w:val="bottom"/>
            <w:hideMark/>
          </w:tcPr>
          <w:p w14:paraId="668CC375"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1335EE2" w14:textId="551C5D62"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1.346</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6ACBD5D9"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28D7C631"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8DB100D"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703C327"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6626F88"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95D8F5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551F69F"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46EF3C7" w14:textId="27354644"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0.363</w:t>
            </w:r>
            <w:r w:rsidR="00F04EF0">
              <w:rPr>
                <w:rFonts w:ascii="Times New Roman" w:eastAsia="Times New Roman" w:hAnsi="Times New Roman" w:cs="Times New Roman"/>
                <w:color w:val="000000"/>
                <w:sz w:val="20"/>
                <w:szCs w:val="20"/>
                <w:lang w:val="en-GB" w:eastAsia="en-GB"/>
              </w:rPr>
              <w:t>***</w:t>
            </w:r>
          </w:p>
        </w:tc>
      </w:tr>
      <w:tr w:rsidR="008743E2" w:rsidRPr="003F26A3" w14:paraId="79939E5A" w14:textId="77777777" w:rsidTr="0008223B">
        <w:trPr>
          <w:trHeight w:val="233"/>
        </w:trPr>
        <w:tc>
          <w:tcPr>
            <w:tcW w:w="859" w:type="pct"/>
            <w:tcBorders>
              <w:top w:val="nil"/>
              <w:left w:val="nil"/>
              <w:bottom w:val="nil"/>
              <w:right w:val="nil"/>
            </w:tcBorders>
            <w:noWrap/>
            <w:vAlign w:val="bottom"/>
            <w:hideMark/>
          </w:tcPr>
          <w:p w14:paraId="7B03D18E"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5C8B2520"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11C363B" w14:textId="6383B8EF"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12596E12"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0BE06CF4"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BC079E6"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2113B4D"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A1CF581"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4032B5B"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8A32591"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5E4E78B" w14:textId="6E60A3F1"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73B868C4" w14:textId="77777777" w:rsidTr="0008223B">
        <w:trPr>
          <w:trHeight w:val="233"/>
        </w:trPr>
        <w:tc>
          <w:tcPr>
            <w:tcW w:w="859" w:type="pct"/>
            <w:tcBorders>
              <w:top w:val="nil"/>
              <w:left w:val="nil"/>
              <w:bottom w:val="nil"/>
              <w:right w:val="nil"/>
            </w:tcBorders>
            <w:noWrap/>
            <w:vAlign w:val="bottom"/>
            <w:hideMark/>
          </w:tcPr>
          <w:p w14:paraId="2F2EE140" w14:textId="01AD6CA4"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β</w:t>
            </w:r>
            <w:r w:rsidR="00E16371">
              <w:rPr>
                <w:rFonts w:ascii="Times New Roman" w:eastAsia="Times New Roman" w:hAnsi="Times New Roman" w:cs="Times New Roman"/>
                <w:color w:val="000000"/>
                <w:sz w:val="20"/>
                <w:szCs w:val="20"/>
                <w:lang w:val="en-GB" w:eastAsia="en-GB"/>
              </w:rPr>
              <w:t xml:space="preserve"> [</w:t>
            </w:r>
            <w:r w:rsidRPr="00E16371">
              <w:rPr>
                <w:rFonts w:ascii="Times New Roman" w:eastAsia="Times New Roman" w:hAnsi="Times New Roman" w:cs="Times New Roman"/>
                <w:color w:val="000000"/>
                <w:sz w:val="20"/>
                <w:szCs w:val="20"/>
                <w:lang w:val="en-GB" w:eastAsia="en-GB"/>
              </w:rPr>
              <w:t>AR(1)</w:t>
            </w:r>
            <w:r w:rsidR="00E16371">
              <w:rPr>
                <w:rFonts w:ascii="Times New Roman" w:eastAsia="Times New Roman" w:hAnsi="Times New Roman" w:cs="Times New Roman"/>
                <w:color w:val="000000"/>
                <w:sz w:val="20"/>
                <w:szCs w:val="20"/>
                <w:lang w:val="en-GB" w:eastAsia="en-GB"/>
              </w:rPr>
              <w:t>]</w:t>
            </w:r>
          </w:p>
        </w:tc>
        <w:tc>
          <w:tcPr>
            <w:tcW w:w="388" w:type="pct"/>
            <w:tcBorders>
              <w:top w:val="nil"/>
              <w:left w:val="nil"/>
              <w:bottom w:val="nil"/>
              <w:right w:val="nil"/>
            </w:tcBorders>
            <w:noWrap/>
            <w:vAlign w:val="bottom"/>
            <w:hideMark/>
          </w:tcPr>
          <w:p w14:paraId="34842626" w14:textId="32C1741A"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r w:rsidR="00ED5DA2">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CB847BC"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54A4DF85" w14:textId="31E10509"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-0.012</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41FE48E"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6690035C"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DDDD037"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189A820"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903747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497025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040DF0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r>
      <w:tr w:rsidR="008743E2" w:rsidRPr="003F26A3" w14:paraId="6CB5E152" w14:textId="77777777" w:rsidTr="0008223B">
        <w:trPr>
          <w:trHeight w:val="233"/>
        </w:trPr>
        <w:tc>
          <w:tcPr>
            <w:tcW w:w="859" w:type="pct"/>
            <w:tcBorders>
              <w:top w:val="nil"/>
              <w:left w:val="nil"/>
              <w:bottom w:val="nil"/>
              <w:right w:val="nil"/>
            </w:tcBorders>
            <w:noWrap/>
            <w:vAlign w:val="bottom"/>
            <w:hideMark/>
          </w:tcPr>
          <w:p w14:paraId="0498144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388" w:type="pct"/>
            <w:tcBorders>
              <w:top w:val="nil"/>
              <w:left w:val="nil"/>
              <w:bottom w:val="nil"/>
              <w:right w:val="nil"/>
            </w:tcBorders>
            <w:noWrap/>
            <w:vAlign w:val="bottom"/>
            <w:hideMark/>
          </w:tcPr>
          <w:p w14:paraId="594E2388"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5B60667"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32069C5" w14:textId="6FB1D0AD"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0.041</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1D8687EE"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4D197560"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4B8BB6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DF9CB2A"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2F3C9F3"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D9731E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C61BDAA"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r>
      <w:tr w:rsidR="008743E2" w:rsidRPr="003F26A3" w14:paraId="5368939B" w14:textId="77777777" w:rsidTr="0008223B">
        <w:trPr>
          <w:trHeight w:val="233"/>
        </w:trPr>
        <w:tc>
          <w:tcPr>
            <w:tcW w:w="859" w:type="pct"/>
            <w:tcBorders>
              <w:top w:val="nil"/>
              <w:left w:val="nil"/>
              <w:bottom w:val="nil"/>
              <w:right w:val="nil"/>
            </w:tcBorders>
            <w:noWrap/>
            <w:vAlign w:val="bottom"/>
            <w:hideMark/>
          </w:tcPr>
          <w:p w14:paraId="1891FA55" w14:textId="076B0F61" w:rsidR="003F26A3" w:rsidRPr="003F26A3" w:rsidRDefault="00E16371" w:rsidP="003F26A3">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R2 [</w:t>
            </w:r>
            <w:r w:rsidRPr="00E16371">
              <w:rPr>
                <w:rFonts w:ascii="Times New Roman" w:eastAsia="Times New Roman" w:hAnsi="Times New Roman" w:cs="Times New Roman"/>
                <w:color w:val="000000"/>
                <w:sz w:val="20"/>
                <w:szCs w:val="20"/>
                <w:lang w:val="en-GB" w:eastAsia="en-GB"/>
              </w:rPr>
              <w:t>AR(1)</w:t>
            </w:r>
            <w:r>
              <w:rPr>
                <w:rFonts w:ascii="Times New Roman" w:eastAsia="Times New Roman" w:hAnsi="Times New Roman" w:cs="Times New Roman"/>
                <w:color w:val="000000"/>
                <w:sz w:val="20"/>
                <w:szCs w:val="20"/>
                <w:lang w:val="en-GB" w:eastAsia="en-GB"/>
              </w:rPr>
              <w:t>]</w:t>
            </w:r>
          </w:p>
        </w:tc>
        <w:tc>
          <w:tcPr>
            <w:tcW w:w="388" w:type="pct"/>
            <w:tcBorders>
              <w:top w:val="nil"/>
              <w:left w:val="nil"/>
              <w:bottom w:val="nil"/>
              <w:right w:val="nil"/>
            </w:tcBorders>
            <w:noWrap/>
            <w:vAlign w:val="bottom"/>
            <w:hideMark/>
          </w:tcPr>
          <w:p w14:paraId="333D45F4" w14:textId="245181BB"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r w:rsidR="00ED5DA2">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0B16886"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4103B013"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586A91C" w14:textId="0BEAE8BB"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-0.020</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A1279B4"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11D3C2C3"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3E37A8D"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8E1202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F9C5DF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CCD19EE" w14:textId="7AFE479F"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0.032</w:t>
            </w:r>
            <w:r w:rsidR="00F04EF0">
              <w:rPr>
                <w:rFonts w:ascii="Times New Roman" w:eastAsia="Times New Roman" w:hAnsi="Times New Roman" w:cs="Times New Roman"/>
                <w:color w:val="000000"/>
                <w:sz w:val="20"/>
                <w:szCs w:val="20"/>
                <w:lang w:val="en-GB" w:eastAsia="en-GB"/>
              </w:rPr>
              <w:t>***</w:t>
            </w:r>
          </w:p>
        </w:tc>
      </w:tr>
      <w:tr w:rsidR="008743E2" w:rsidRPr="003F26A3" w14:paraId="629AC276" w14:textId="77777777" w:rsidTr="0008223B">
        <w:trPr>
          <w:trHeight w:val="233"/>
        </w:trPr>
        <w:tc>
          <w:tcPr>
            <w:tcW w:w="859" w:type="pct"/>
            <w:tcBorders>
              <w:top w:val="nil"/>
              <w:left w:val="nil"/>
              <w:bottom w:val="nil"/>
              <w:right w:val="nil"/>
            </w:tcBorders>
            <w:noWrap/>
            <w:vAlign w:val="bottom"/>
            <w:hideMark/>
          </w:tcPr>
          <w:p w14:paraId="6DF37A79"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30AE53A4"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ACB92C5"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ECA6163"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506FA4B" w14:textId="63EA02F4"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0.035</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7BCD53B"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324D04F0"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FC3301F"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E19F34D"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49782E1"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384A42B" w14:textId="4D17CA08"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78F3F52E" w14:textId="77777777" w:rsidTr="0008223B">
        <w:trPr>
          <w:trHeight w:val="233"/>
        </w:trPr>
        <w:tc>
          <w:tcPr>
            <w:tcW w:w="859" w:type="pct"/>
            <w:tcBorders>
              <w:top w:val="nil"/>
              <w:left w:val="nil"/>
              <w:bottom w:val="nil"/>
              <w:right w:val="nil"/>
            </w:tcBorders>
            <w:noWrap/>
            <w:vAlign w:val="bottom"/>
            <w:hideMark/>
          </w:tcPr>
          <w:p w14:paraId="66231596" w14:textId="517F0D21"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|ACC|</w:t>
            </w:r>
          </w:p>
        </w:tc>
        <w:tc>
          <w:tcPr>
            <w:tcW w:w="388" w:type="pct"/>
            <w:tcBorders>
              <w:top w:val="nil"/>
              <w:left w:val="nil"/>
              <w:bottom w:val="nil"/>
              <w:right w:val="nil"/>
            </w:tcBorders>
            <w:noWrap/>
            <w:vAlign w:val="bottom"/>
            <w:hideMark/>
          </w:tcPr>
          <w:p w14:paraId="6B000AD5"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7BAC8A6E"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2547A44F"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8773866"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0BB88C2" w14:textId="087BEC15"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0.665</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57A3CF0"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4D80A17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ABE7F95"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93169EB"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7B940B3" w14:textId="75B597C9"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0.173</w:t>
            </w:r>
            <w:r w:rsidR="00F04EF0">
              <w:rPr>
                <w:rFonts w:ascii="Times New Roman" w:eastAsia="Times New Roman" w:hAnsi="Times New Roman" w:cs="Times New Roman"/>
                <w:color w:val="000000"/>
                <w:sz w:val="20"/>
                <w:szCs w:val="20"/>
                <w:lang w:val="en-GB" w:eastAsia="en-GB"/>
              </w:rPr>
              <w:t>***</w:t>
            </w:r>
          </w:p>
        </w:tc>
      </w:tr>
      <w:tr w:rsidR="008743E2" w:rsidRPr="003F26A3" w14:paraId="132962EE" w14:textId="77777777" w:rsidTr="0008223B">
        <w:trPr>
          <w:trHeight w:val="233"/>
        </w:trPr>
        <w:tc>
          <w:tcPr>
            <w:tcW w:w="859" w:type="pct"/>
            <w:tcBorders>
              <w:top w:val="nil"/>
              <w:left w:val="nil"/>
              <w:bottom w:val="nil"/>
              <w:right w:val="nil"/>
            </w:tcBorders>
            <w:noWrap/>
            <w:vAlign w:val="bottom"/>
            <w:hideMark/>
          </w:tcPr>
          <w:p w14:paraId="4211E3F7"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4363571E"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511F250"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C89CDCA"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DA89959"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80FB271" w14:textId="5F929713"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D3D5AFC"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15D86FC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B4422C5"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FF6A95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4CC7820" w14:textId="419C555E"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69E602B5" w14:textId="77777777" w:rsidTr="0008223B">
        <w:trPr>
          <w:trHeight w:val="233"/>
        </w:trPr>
        <w:tc>
          <w:tcPr>
            <w:tcW w:w="859" w:type="pct"/>
            <w:tcBorders>
              <w:top w:val="nil"/>
              <w:left w:val="nil"/>
              <w:bottom w:val="nil"/>
              <w:right w:val="nil"/>
            </w:tcBorders>
            <w:noWrap/>
            <w:vAlign w:val="bottom"/>
            <w:hideMark/>
          </w:tcPr>
          <w:p w14:paraId="35C50F3E"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proofErr w:type="spellStart"/>
            <w:r w:rsidRPr="003F26A3">
              <w:rPr>
                <w:rFonts w:ascii="Times New Roman" w:eastAsia="Times New Roman" w:hAnsi="Times New Roman" w:cs="Times New Roman"/>
                <w:color w:val="000000"/>
                <w:sz w:val="20"/>
                <w:szCs w:val="20"/>
                <w:lang w:val="en-GB" w:eastAsia="en-GB"/>
              </w:rPr>
              <w:t>EarnQual</w:t>
            </w:r>
            <w:proofErr w:type="spellEnd"/>
          </w:p>
        </w:tc>
        <w:tc>
          <w:tcPr>
            <w:tcW w:w="388" w:type="pct"/>
            <w:tcBorders>
              <w:top w:val="nil"/>
              <w:left w:val="nil"/>
              <w:bottom w:val="nil"/>
              <w:right w:val="nil"/>
            </w:tcBorders>
            <w:noWrap/>
            <w:vAlign w:val="bottom"/>
            <w:hideMark/>
          </w:tcPr>
          <w:p w14:paraId="63E67BA3"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1C220C4F"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613F0259"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949ED65"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4250619"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B67AEB9" w14:textId="2076D2C6"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3.106</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23A6A72E"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4B685D7C"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DD74CB6"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7A6ED2F" w14:textId="3D6B7E02"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1.248</w:t>
            </w:r>
            <w:r w:rsidR="00F04EF0">
              <w:rPr>
                <w:rFonts w:ascii="Times New Roman" w:eastAsia="Times New Roman" w:hAnsi="Times New Roman" w:cs="Times New Roman"/>
                <w:color w:val="000000"/>
                <w:sz w:val="20"/>
                <w:szCs w:val="20"/>
                <w:lang w:val="en-GB" w:eastAsia="en-GB"/>
              </w:rPr>
              <w:t>***</w:t>
            </w:r>
          </w:p>
        </w:tc>
      </w:tr>
      <w:tr w:rsidR="008743E2" w:rsidRPr="003F26A3" w14:paraId="1A485644" w14:textId="77777777" w:rsidTr="0008223B">
        <w:trPr>
          <w:trHeight w:val="233"/>
        </w:trPr>
        <w:tc>
          <w:tcPr>
            <w:tcW w:w="859" w:type="pct"/>
            <w:tcBorders>
              <w:top w:val="nil"/>
              <w:left w:val="nil"/>
              <w:bottom w:val="nil"/>
              <w:right w:val="nil"/>
            </w:tcBorders>
            <w:noWrap/>
            <w:vAlign w:val="bottom"/>
            <w:hideMark/>
          </w:tcPr>
          <w:p w14:paraId="3802C367"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5D0F249A"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8FC0E26"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8B7985A"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65C98A6"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958FDFC"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61472AE" w14:textId="313B5F6E"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498057A6"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5BAF5E5C"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1C3CE3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FCA9879" w14:textId="253818C3"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4F2035D6" w14:textId="77777777" w:rsidTr="0008223B">
        <w:trPr>
          <w:trHeight w:val="233"/>
        </w:trPr>
        <w:tc>
          <w:tcPr>
            <w:tcW w:w="859" w:type="pct"/>
            <w:tcBorders>
              <w:top w:val="nil"/>
              <w:left w:val="nil"/>
              <w:bottom w:val="nil"/>
              <w:right w:val="nil"/>
            </w:tcBorders>
            <w:noWrap/>
            <w:vAlign w:val="bottom"/>
            <w:hideMark/>
          </w:tcPr>
          <w:p w14:paraId="64222F5D" w14:textId="2B566D55" w:rsidR="003F26A3" w:rsidRPr="003F26A3" w:rsidRDefault="00A25C55" w:rsidP="003F26A3">
            <w:pPr>
              <w:spacing w:after="0" w:line="240" w:lineRule="auto"/>
              <w:rPr>
                <w:rFonts w:ascii="Times New Roman" w:eastAsia="Times New Roman" w:hAnsi="Times New Roman" w:cs="Times New Roman"/>
                <w:color w:val="000000"/>
                <w:sz w:val="20"/>
                <w:szCs w:val="20"/>
                <w:lang w:val="en-GB" w:eastAsia="en-GB"/>
              </w:rPr>
            </w:pP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vertAlign w:val="superscript"/>
                <w:lang w:val="en-GB" w:eastAsia="en-GB"/>
              </w:rPr>
              <w:t xml:space="preserve"> </w:t>
            </w:r>
            <w:r w:rsidRPr="00A25C55">
              <w:rPr>
                <w:rFonts w:ascii="Times New Roman" w:eastAsia="Times New Roman" w:hAnsi="Times New Roman" w:cs="Times New Roman"/>
                <w:color w:val="000000"/>
                <w:sz w:val="20"/>
                <w:szCs w:val="20"/>
                <w:lang w:val="en-GB" w:eastAsia="en-GB"/>
              </w:rPr>
              <w:t>(ROA)</w:t>
            </w:r>
            <w:r w:rsidRPr="00A25C55">
              <w:rPr>
                <w:rFonts w:ascii="Times New Roman" w:eastAsia="Times New Roman" w:hAnsi="Times New Roman" w:cs="Times New Roman"/>
                <w:color w:val="000000"/>
                <w:sz w:val="20"/>
                <w:szCs w:val="20"/>
                <w:vertAlign w:val="superscript"/>
                <w:lang w:val="en-GB" w:eastAsia="en-GB"/>
              </w:rPr>
              <w:t>PRE</w:t>
            </w:r>
            <w:r w:rsidRPr="003F26A3">
              <w:rPr>
                <w:rFonts w:ascii="Times New Roman" w:eastAsia="Times New Roman" w:hAnsi="Times New Roman" w:cs="Times New Roman"/>
                <w:color w:val="000000"/>
                <w:sz w:val="20"/>
                <w:szCs w:val="20"/>
                <w:lang w:val="en-GB" w:eastAsia="en-GB"/>
              </w:rPr>
              <w:t xml:space="preserve"> </w:t>
            </w:r>
            <w:r w:rsidR="003F26A3" w:rsidRPr="003F26A3">
              <w:rPr>
                <w:rFonts w:ascii="Times New Roman" w:eastAsia="Times New Roman" w:hAnsi="Times New Roman" w:cs="Times New Roman"/>
                <w:color w:val="000000"/>
                <w:sz w:val="20"/>
                <w:szCs w:val="20"/>
                <w:lang w:val="en-GB" w:eastAsia="en-GB"/>
              </w:rPr>
              <w:t>/</w:t>
            </w:r>
            <w:r w:rsidR="00A30553" w:rsidRPr="00282BCE">
              <w:rPr>
                <w:rFonts w:ascii="Times New Roman" w:eastAsia="Times New Roman" w:hAnsi="Times New Roman" w:cs="Times New Roman"/>
                <w:color w:val="000000"/>
                <w:sz w:val="20"/>
                <w:szCs w:val="20"/>
                <w:lang w:eastAsia="en-CA"/>
              </w:rPr>
              <w:t xml:space="preserve"> σ</w:t>
            </w:r>
            <w:r w:rsidR="00A30553">
              <w:rPr>
                <w:rFonts w:ascii="Times New Roman" w:eastAsia="Times New Roman" w:hAnsi="Times New Roman" w:cs="Times New Roman"/>
                <w:color w:val="000000"/>
                <w:sz w:val="20"/>
                <w:szCs w:val="20"/>
                <w:vertAlign w:val="superscript"/>
                <w:lang w:val="en-GB" w:eastAsia="en-GB"/>
              </w:rPr>
              <w:t xml:space="preserve"> </w:t>
            </w:r>
            <w:r w:rsidR="00A30553" w:rsidRPr="00A25C55">
              <w:rPr>
                <w:rFonts w:ascii="Times New Roman" w:eastAsia="Times New Roman" w:hAnsi="Times New Roman" w:cs="Times New Roman"/>
                <w:color w:val="000000"/>
                <w:sz w:val="20"/>
                <w:szCs w:val="20"/>
                <w:lang w:val="en-GB" w:eastAsia="en-GB"/>
              </w:rPr>
              <w:t>(</w:t>
            </w:r>
            <w:r w:rsidR="00A30553">
              <w:rPr>
                <w:rFonts w:ascii="Times New Roman" w:eastAsia="Times New Roman" w:hAnsi="Times New Roman" w:cs="Times New Roman"/>
                <w:color w:val="000000"/>
                <w:sz w:val="20"/>
                <w:szCs w:val="20"/>
                <w:lang w:val="en-GB" w:eastAsia="en-GB"/>
              </w:rPr>
              <w:t>CFO</w:t>
            </w:r>
            <w:r w:rsidR="00A30553" w:rsidRPr="00A25C55">
              <w:rPr>
                <w:rFonts w:ascii="Times New Roman" w:eastAsia="Times New Roman" w:hAnsi="Times New Roman" w:cs="Times New Roman"/>
                <w:color w:val="000000"/>
                <w:sz w:val="20"/>
                <w:szCs w:val="20"/>
                <w:lang w:val="en-GB" w:eastAsia="en-GB"/>
              </w:rPr>
              <w:t>)</w:t>
            </w:r>
            <w:r w:rsidR="00A30553" w:rsidRPr="00A25C55">
              <w:rPr>
                <w:rFonts w:ascii="Times New Roman" w:eastAsia="Times New Roman" w:hAnsi="Times New Roman" w:cs="Times New Roman"/>
                <w:color w:val="000000"/>
                <w:sz w:val="20"/>
                <w:szCs w:val="20"/>
                <w:vertAlign w:val="superscript"/>
                <w:lang w:val="en-GB" w:eastAsia="en-GB"/>
              </w:rPr>
              <w:t>PRE</w:t>
            </w:r>
          </w:p>
        </w:tc>
        <w:tc>
          <w:tcPr>
            <w:tcW w:w="388" w:type="pct"/>
            <w:tcBorders>
              <w:top w:val="nil"/>
              <w:left w:val="nil"/>
              <w:bottom w:val="nil"/>
              <w:right w:val="nil"/>
            </w:tcBorders>
            <w:noWrap/>
            <w:vAlign w:val="bottom"/>
            <w:hideMark/>
          </w:tcPr>
          <w:p w14:paraId="0E7FF9A0"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E9825BF"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0DECFA30"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746C93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1A16120"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717D9EC"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29100FA6" w14:textId="40CF9A4C"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0.082</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68350FC5"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56AAE8CF"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5B22AC8" w14:textId="482DA05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0.014</w:t>
            </w:r>
            <w:r w:rsidR="00F04EF0">
              <w:rPr>
                <w:rFonts w:ascii="Times New Roman" w:eastAsia="Times New Roman" w:hAnsi="Times New Roman" w:cs="Times New Roman"/>
                <w:color w:val="000000"/>
                <w:sz w:val="20"/>
                <w:szCs w:val="20"/>
                <w:lang w:val="en-GB" w:eastAsia="en-GB"/>
              </w:rPr>
              <w:t>***</w:t>
            </w:r>
          </w:p>
        </w:tc>
      </w:tr>
      <w:tr w:rsidR="008743E2" w:rsidRPr="003F26A3" w14:paraId="19966425" w14:textId="77777777" w:rsidTr="0008223B">
        <w:trPr>
          <w:trHeight w:val="233"/>
        </w:trPr>
        <w:tc>
          <w:tcPr>
            <w:tcW w:w="859" w:type="pct"/>
            <w:tcBorders>
              <w:top w:val="nil"/>
              <w:left w:val="nil"/>
              <w:bottom w:val="nil"/>
              <w:right w:val="nil"/>
            </w:tcBorders>
            <w:noWrap/>
            <w:vAlign w:val="bottom"/>
            <w:hideMark/>
          </w:tcPr>
          <w:p w14:paraId="21BE4443"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1B4D78F0"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6254451"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EBA8295"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4307FF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3A93D62"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EA4A39B"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D254455" w14:textId="29FEC701"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39BB2E3F"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5CE9F7A8"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6CEE0E5" w14:textId="0DC92528"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72AF15F6" w14:textId="77777777" w:rsidTr="0008223B">
        <w:trPr>
          <w:trHeight w:val="233"/>
        </w:trPr>
        <w:tc>
          <w:tcPr>
            <w:tcW w:w="859" w:type="pct"/>
            <w:tcBorders>
              <w:top w:val="nil"/>
              <w:left w:val="nil"/>
              <w:bottom w:val="nil"/>
              <w:right w:val="nil"/>
            </w:tcBorders>
            <w:noWrap/>
            <w:vAlign w:val="bottom"/>
            <w:hideMark/>
          </w:tcPr>
          <w:p w14:paraId="398CA6B3" w14:textId="6357B210" w:rsidR="003F26A3" w:rsidRPr="003F26A3" w:rsidRDefault="00A30553" w:rsidP="003F26A3">
            <w:pPr>
              <w:spacing w:after="0" w:line="240" w:lineRule="auto"/>
              <w:rPr>
                <w:rFonts w:ascii="Times New Roman" w:eastAsia="Times New Roman" w:hAnsi="Times New Roman" w:cs="Times New Roman"/>
                <w:color w:val="000000"/>
                <w:sz w:val="20"/>
                <w:szCs w:val="20"/>
                <w:lang w:val="en-GB" w:eastAsia="en-GB"/>
              </w:rPr>
            </w:pP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vertAlign w:val="superscript"/>
                <w:lang w:val="en-GB" w:eastAsia="en-GB"/>
              </w:rPr>
              <w:t xml:space="preserve"> </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Beta</w:t>
            </w:r>
            <w:r w:rsidRPr="00A25C55">
              <w:rPr>
                <w:rFonts w:ascii="Times New Roman" w:eastAsia="Times New Roman" w:hAnsi="Times New Roman" w:cs="Times New Roman"/>
                <w:color w:val="000000"/>
                <w:sz w:val="20"/>
                <w:szCs w:val="20"/>
                <w:lang w:val="en-GB" w:eastAsia="en-GB"/>
              </w:rPr>
              <w:t>)</w:t>
            </w:r>
            <w:r w:rsidR="006F3E7B">
              <w:rPr>
                <w:rFonts w:ascii="Times New Roman" w:eastAsia="Times New Roman" w:hAnsi="Times New Roman" w:cs="Times New Roman"/>
                <w:color w:val="000000"/>
                <w:sz w:val="20"/>
                <w:szCs w:val="20"/>
                <w:vertAlign w:val="superscript"/>
                <w:lang w:val="en-GB" w:eastAsia="en-GB"/>
              </w:rPr>
              <w:t>PRE</w:t>
            </w:r>
          </w:p>
        </w:tc>
        <w:tc>
          <w:tcPr>
            <w:tcW w:w="388" w:type="pct"/>
            <w:tcBorders>
              <w:top w:val="nil"/>
              <w:left w:val="nil"/>
              <w:bottom w:val="nil"/>
              <w:right w:val="nil"/>
            </w:tcBorders>
            <w:noWrap/>
            <w:vAlign w:val="bottom"/>
            <w:hideMark/>
          </w:tcPr>
          <w:p w14:paraId="63E3F0E6"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3A9D9985"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4B1767B8"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BF2E6F7"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0938BD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76979FA"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4791361"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3E96CD8" w14:textId="1B0B1943"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0.386</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0D017702"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0C3F47B8" w14:textId="43FB7062"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0.059</w:t>
            </w:r>
            <w:r w:rsidR="00F04EF0">
              <w:rPr>
                <w:rFonts w:ascii="Times New Roman" w:eastAsia="Times New Roman" w:hAnsi="Times New Roman" w:cs="Times New Roman"/>
                <w:color w:val="000000"/>
                <w:sz w:val="20"/>
                <w:szCs w:val="20"/>
                <w:lang w:val="en-GB" w:eastAsia="en-GB"/>
              </w:rPr>
              <w:t>***</w:t>
            </w:r>
          </w:p>
        </w:tc>
      </w:tr>
      <w:tr w:rsidR="008743E2" w:rsidRPr="003F26A3" w14:paraId="0502058A" w14:textId="77777777" w:rsidTr="0008223B">
        <w:trPr>
          <w:trHeight w:val="233"/>
        </w:trPr>
        <w:tc>
          <w:tcPr>
            <w:tcW w:w="859" w:type="pct"/>
            <w:tcBorders>
              <w:top w:val="nil"/>
              <w:left w:val="nil"/>
              <w:bottom w:val="nil"/>
              <w:right w:val="nil"/>
            </w:tcBorders>
            <w:noWrap/>
            <w:vAlign w:val="bottom"/>
            <w:hideMark/>
          </w:tcPr>
          <w:p w14:paraId="41EA8071"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5C4E557A"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4320EC6"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F6D9985"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AA76A1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39EE2D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170C85D"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EC38076"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D23FF31" w14:textId="657B55D0"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7901C9D9"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54A97BDF" w14:textId="0A2344E5"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003F26A3" w:rsidRPr="003F26A3">
              <w:rPr>
                <w:rFonts w:ascii="Times New Roman" w:eastAsia="Times New Roman" w:hAnsi="Times New Roman" w:cs="Times New Roman"/>
                <w:color w:val="000000"/>
                <w:sz w:val="20"/>
                <w:szCs w:val="20"/>
                <w:lang w:val="en-GB" w:eastAsia="en-GB"/>
              </w:rPr>
              <w:t>0.003</w:t>
            </w:r>
            <w:r>
              <w:rPr>
                <w:rFonts w:ascii="Times New Roman" w:eastAsia="Times New Roman" w:hAnsi="Times New Roman" w:cs="Times New Roman"/>
                <w:color w:val="000000"/>
                <w:sz w:val="20"/>
                <w:szCs w:val="20"/>
                <w:lang w:val="en-GB" w:eastAsia="en-GB"/>
              </w:rPr>
              <w:t>)</w:t>
            </w:r>
          </w:p>
        </w:tc>
      </w:tr>
      <w:tr w:rsidR="008743E2" w:rsidRPr="003F26A3" w14:paraId="3DF0FF0D" w14:textId="77777777" w:rsidTr="0008223B">
        <w:trPr>
          <w:trHeight w:val="233"/>
        </w:trPr>
        <w:tc>
          <w:tcPr>
            <w:tcW w:w="859" w:type="pct"/>
            <w:tcBorders>
              <w:top w:val="nil"/>
              <w:left w:val="nil"/>
              <w:bottom w:val="nil"/>
              <w:right w:val="nil"/>
            </w:tcBorders>
            <w:noWrap/>
            <w:vAlign w:val="bottom"/>
            <w:hideMark/>
          </w:tcPr>
          <w:p w14:paraId="399B2559" w14:textId="6F9669BD"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S</w:t>
            </w:r>
            <w:r w:rsidR="00A30553">
              <w:rPr>
                <w:rFonts w:ascii="Times New Roman" w:eastAsia="Times New Roman" w:hAnsi="Times New Roman" w:cs="Times New Roman"/>
                <w:color w:val="000000"/>
                <w:sz w:val="20"/>
                <w:szCs w:val="20"/>
                <w:lang w:val="en-GB" w:eastAsia="en-GB"/>
              </w:rPr>
              <w:t>E(Beta)</w:t>
            </w:r>
            <w:r w:rsidR="006F3E7B">
              <w:rPr>
                <w:rFonts w:ascii="Times New Roman" w:eastAsia="Times New Roman" w:hAnsi="Times New Roman" w:cs="Times New Roman"/>
                <w:color w:val="000000"/>
                <w:sz w:val="20"/>
                <w:szCs w:val="20"/>
                <w:vertAlign w:val="superscript"/>
                <w:lang w:val="en-GB" w:eastAsia="en-GB"/>
              </w:rPr>
              <w:t>PRE</w:t>
            </w:r>
          </w:p>
        </w:tc>
        <w:tc>
          <w:tcPr>
            <w:tcW w:w="388" w:type="pct"/>
            <w:tcBorders>
              <w:top w:val="nil"/>
              <w:left w:val="nil"/>
              <w:bottom w:val="nil"/>
              <w:right w:val="nil"/>
            </w:tcBorders>
            <w:noWrap/>
            <w:vAlign w:val="bottom"/>
            <w:hideMark/>
          </w:tcPr>
          <w:p w14:paraId="0FF4933D"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34C13EB6"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748FA4C1"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5B07BBF"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E881D2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6D29DE1"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38FFBC98"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5F2F6B9"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4EFF971" w14:textId="4CEDFF64"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0.971</w:t>
            </w:r>
            <w:r w:rsidR="00F04EF0">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55411C8C" w14:textId="321136B6"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0.895</w:t>
            </w:r>
            <w:r w:rsidR="00F04EF0">
              <w:rPr>
                <w:rFonts w:ascii="Times New Roman" w:eastAsia="Times New Roman" w:hAnsi="Times New Roman" w:cs="Times New Roman"/>
                <w:color w:val="000000"/>
                <w:sz w:val="20"/>
                <w:szCs w:val="20"/>
                <w:lang w:val="en-GB" w:eastAsia="en-GB"/>
              </w:rPr>
              <w:t>***</w:t>
            </w:r>
          </w:p>
        </w:tc>
      </w:tr>
      <w:tr w:rsidR="008743E2" w:rsidRPr="003F26A3" w14:paraId="4800B1D0" w14:textId="77777777" w:rsidTr="0008223B">
        <w:trPr>
          <w:trHeight w:val="233"/>
        </w:trPr>
        <w:tc>
          <w:tcPr>
            <w:tcW w:w="859" w:type="pct"/>
            <w:tcBorders>
              <w:top w:val="nil"/>
              <w:left w:val="nil"/>
              <w:bottom w:val="nil"/>
              <w:right w:val="nil"/>
            </w:tcBorders>
            <w:noWrap/>
            <w:vAlign w:val="bottom"/>
            <w:hideMark/>
          </w:tcPr>
          <w:p w14:paraId="6175678B"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p>
        </w:tc>
        <w:tc>
          <w:tcPr>
            <w:tcW w:w="388" w:type="pct"/>
            <w:tcBorders>
              <w:top w:val="nil"/>
              <w:left w:val="nil"/>
              <w:bottom w:val="nil"/>
              <w:right w:val="nil"/>
            </w:tcBorders>
            <w:noWrap/>
            <w:vAlign w:val="bottom"/>
            <w:hideMark/>
          </w:tcPr>
          <w:p w14:paraId="701226D2"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036832A4" w14:textId="77777777" w:rsidR="003F26A3" w:rsidRPr="003F26A3" w:rsidRDefault="003F26A3" w:rsidP="003F26A3">
            <w:pPr>
              <w:spacing w:after="0" w:line="240" w:lineRule="auto"/>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4F6B63D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5E30E84"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52B0DA1C"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5AC3D2F"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1BB42C30"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6A0FE76E" w14:textId="77777777" w:rsidR="003F26A3" w:rsidRPr="003F26A3" w:rsidRDefault="003F26A3" w:rsidP="003F26A3">
            <w:pPr>
              <w:spacing w:after="0" w:line="240" w:lineRule="auto"/>
              <w:jc w:val="center"/>
              <w:rPr>
                <w:rFonts w:ascii="Times New Roman" w:eastAsia="Times New Roman" w:hAnsi="Times New Roman" w:cs="Times New Roman"/>
                <w:sz w:val="20"/>
                <w:szCs w:val="20"/>
                <w:lang w:val="en-GB" w:eastAsia="en-GB"/>
              </w:rPr>
            </w:pPr>
          </w:p>
        </w:tc>
        <w:tc>
          <w:tcPr>
            <w:tcW w:w="417" w:type="pct"/>
            <w:tcBorders>
              <w:top w:val="nil"/>
              <w:left w:val="nil"/>
              <w:bottom w:val="nil"/>
              <w:right w:val="nil"/>
            </w:tcBorders>
            <w:noWrap/>
            <w:vAlign w:val="bottom"/>
            <w:hideMark/>
          </w:tcPr>
          <w:p w14:paraId="7F2E576D" w14:textId="2E00BA75"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417" w:type="pct"/>
            <w:tcBorders>
              <w:top w:val="nil"/>
              <w:left w:val="nil"/>
              <w:bottom w:val="nil"/>
              <w:right w:val="nil"/>
            </w:tcBorders>
            <w:noWrap/>
            <w:vAlign w:val="bottom"/>
            <w:hideMark/>
          </w:tcPr>
          <w:p w14:paraId="2FDCE317" w14:textId="615DB623" w:rsidR="003F26A3" w:rsidRPr="003F26A3" w:rsidRDefault="00340F62" w:rsidP="003F26A3">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743E2" w:rsidRPr="003F26A3" w14:paraId="4E2E32D0" w14:textId="77777777" w:rsidTr="006A7742">
        <w:trPr>
          <w:trHeight w:val="433"/>
        </w:trPr>
        <w:tc>
          <w:tcPr>
            <w:tcW w:w="859" w:type="pct"/>
            <w:tcBorders>
              <w:top w:val="nil"/>
              <w:left w:val="nil"/>
              <w:bottom w:val="nil"/>
              <w:right w:val="nil"/>
            </w:tcBorders>
            <w:noWrap/>
            <w:vAlign w:val="bottom"/>
            <w:hideMark/>
          </w:tcPr>
          <w:p w14:paraId="5DB244D7"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Adj. R2</w:t>
            </w:r>
          </w:p>
        </w:tc>
        <w:tc>
          <w:tcPr>
            <w:tcW w:w="388" w:type="pct"/>
            <w:tcBorders>
              <w:top w:val="nil"/>
              <w:left w:val="nil"/>
              <w:bottom w:val="nil"/>
              <w:right w:val="nil"/>
            </w:tcBorders>
            <w:noWrap/>
            <w:vAlign w:val="bottom"/>
            <w:hideMark/>
          </w:tcPr>
          <w:p w14:paraId="1B07C280"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p>
        </w:tc>
        <w:tc>
          <w:tcPr>
            <w:tcW w:w="417" w:type="pct"/>
            <w:tcBorders>
              <w:top w:val="nil"/>
              <w:left w:val="nil"/>
              <w:bottom w:val="nil"/>
              <w:right w:val="nil"/>
            </w:tcBorders>
            <w:noWrap/>
            <w:vAlign w:val="bottom"/>
            <w:hideMark/>
          </w:tcPr>
          <w:p w14:paraId="13BD6C8A"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0.130</w:t>
            </w:r>
          </w:p>
        </w:tc>
        <w:tc>
          <w:tcPr>
            <w:tcW w:w="417" w:type="pct"/>
            <w:tcBorders>
              <w:top w:val="nil"/>
              <w:left w:val="nil"/>
              <w:bottom w:val="nil"/>
              <w:right w:val="nil"/>
            </w:tcBorders>
            <w:noWrap/>
            <w:vAlign w:val="bottom"/>
            <w:hideMark/>
          </w:tcPr>
          <w:p w14:paraId="64F99AE9"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0.002</w:t>
            </w:r>
          </w:p>
        </w:tc>
        <w:tc>
          <w:tcPr>
            <w:tcW w:w="417" w:type="pct"/>
            <w:tcBorders>
              <w:top w:val="nil"/>
              <w:left w:val="nil"/>
              <w:bottom w:val="nil"/>
              <w:right w:val="nil"/>
            </w:tcBorders>
            <w:noWrap/>
            <w:vAlign w:val="bottom"/>
            <w:hideMark/>
          </w:tcPr>
          <w:p w14:paraId="56B8C000"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0.002</w:t>
            </w:r>
          </w:p>
        </w:tc>
        <w:tc>
          <w:tcPr>
            <w:tcW w:w="417" w:type="pct"/>
            <w:tcBorders>
              <w:top w:val="nil"/>
              <w:left w:val="nil"/>
              <w:bottom w:val="nil"/>
              <w:right w:val="nil"/>
            </w:tcBorders>
            <w:noWrap/>
            <w:vAlign w:val="bottom"/>
            <w:hideMark/>
          </w:tcPr>
          <w:p w14:paraId="08AA944C"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0.038</w:t>
            </w:r>
          </w:p>
        </w:tc>
        <w:tc>
          <w:tcPr>
            <w:tcW w:w="417" w:type="pct"/>
            <w:tcBorders>
              <w:top w:val="nil"/>
              <w:left w:val="nil"/>
              <w:bottom w:val="nil"/>
              <w:right w:val="nil"/>
            </w:tcBorders>
            <w:noWrap/>
            <w:vAlign w:val="bottom"/>
            <w:hideMark/>
          </w:tcPr>
          <w:p w14:paraId="1307E85A"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0.130</w:t>
            </w:r>
          </w:p>
        </w:tc>
        <w:tc>
          <w:tcPr>
            <w:tcW w:w="417" w:type="pct"/>
            <w:tcBorders>
              <w:top w:val="nil"/>
              <w:left w:val="nil"/>
              <w:bottom w:val="nil"/>
              <w:right w:val="nil"/>
            </w:tcBorders>
            <w:noWrap/>
            <w:vAlign w:val="bottom"/>
            <w:hideMark/>
          </w:tcPr>
          <w:p w14:paraId="316975C6"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0.034</w:t>
            </w:r>
          </w:p>
        </w:tc>
        <w:tc>
          <w:tcPr>
            <w:tcW w:w="417" w:type="pct"/>
            <w:tcBorders>
              <w:top w:val="nil"/>
              <w:left w:val="nil"/>
              <w:bottom w:val="nil"/>
              <w:right w:val="nil"/>
            </w:tcBorders>
            <w:noWrap/>
            <w:vAlign w:val="bottom"/>
            <w:hideMark/>
          </w:tcPr>
          <w:p w14:paraId="35D805CC"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0.104</w:t>
            </w:r>
          </w:p>
        </w:tc>
        <w:tc>
          <w:tcPr>
            <w:tcW w:w="417" w:type="pct"/>
            <w:tcBorders>
              <w:top w:val="nil"/>
              <w:left w:val="nil"/>
              <w:bottom w:val="nil"/>
              <w:right w:val="nil"/>
            </w:tcBorders>
            <w:noWrap/>
            <w:vAlign w:val="bottom"/>
            <w:hideMark/>
          </w:tcPr>
          <w:p w14:paraId="3B6326EC"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0.240</w:t>
            </w:r>
          </w:p>
        </w:tc>
        <w:tc>
          <w:tcPr>
            <w:tcW w:w="417" w:type="pct"/>
            <w:tcBorders>
              <w:top w:val="nil"/>
              <w:left w:val="nil"/>
              <w:bottom w:val="nil"/>
              <w:right w:val="nil"/>
            </w:tcBorders>
            <w:noWrap/>
            <w:vAlign w:val="bottom"/>
            <w:hideMark/>
          </w:tcPr>
          <w:p w14:paraId="65D8EDF8" w14:textId="777777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0.286</w:t>
            </w:r>
          </w:p>
        </w:tc>
      </w:tr>
      <w:tr w:rsidR="008743E2" w:rsidRPr="003F26A3" w14:paraId="55865D00" w14:textId="77777777" w:rsidTr="0008223B">
        <w:trPr>
          <w:trHeight w:val="233"/>
        </w:trPr>
        <w:tc>
          <w:tcPr>
            <w:tcW w:w="859" w:type="pct"/>
            <w:tcBorders>
              <w:top w:val="nil"/>
              <w:left w:val="nil"/>
              <w:bottom w:val="single" w:sz="4" w:space="0" w:color="auto"/>
              <w:right w:val="nil"/>
            </w:tcBorders>
            <w:noWrap/>
            <w:vAlign w:val="bottom"/>
            <w:hideMark/>
          </w:tcPr>
          <w:p w14:paraId="5D6028BB" w14:textId="70CC3FCB"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N</w:t>
            </w:r>
          </w:p>
        </w:tc>
        <w:tc>
          <w:tcPr>
            <w:tcW w:w="388" w:type="pct"/>
            <w:tcBorders>
              <w:top w:val="nil"/>
              <w:left w:val="nil"/>
              <w:bottom w:val="single" w:sz="4" w:space="0" w:color="auto"/>
              <w:right w:val="nil"/>
            </w:tcBorders>
            <w:noWrap/>
            <w:vAlign w:val="bottom"/>
            <w:hideMark/>
          </w:tcPr>
          <w:p w14:paraId="4D077F99" w14:textId="77777777" w:rsidR="003F26A3" w:rsidRPr="003F26A3" w:rsidRDefault="003F26A3" w:rsidP="003F26A3">
            <w:pPr>
              <w:spacing w:after="0" w:line="240" w:lineRule="auto"/>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 </w:t>
            </w:r>
          </w:p>
        </w:tc>
        <w:tc>
          <w:tcPr>
            <w:tcW w:w="417" w:type="pct"/>
            <w:tcBorders>
              <w:top w:val="nil"/>
              <w:left w:val="nil"/>
              <w:bottom w:val="single" w:sz="4" w:space="0" w:color="auto"/>
              <w:right w:val="nil"/>
            </w:tcBorders>
            <w:noWrap/>
            <w:vAlign w:val="bottom"/>
            <w:hideMark/>
          </w:tcPr>
          <w:p w14:paraId="33B6FF7A" w14:textId="640AD55F"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91</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385</w:t>
            </w:r>
          </w:p>
        </w:tc>
        <w:tc>
          <w:tcPr>
            <w:tcW w:w="417" w:type="pct"/>
            <w:tcBorders>
              <w:top w:val="nil"/>
              <w:left w:val="nil"/>
              <w:bottom w:val="single" w:sz="4" w:space="0" w:color="auto"/>
              <w:right w:val="nil"/>
            </w:tcBorders>
            <w:noWrap/>
            <w:vAlign w:val="bottom"/>
            <w:hideMark/>
          </w:tcPr>
          <w:p w14:paraId="0E73BE92" w14:textId="66B85072"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74</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175</w:t>
            </w:r>
          </w:p>
        </w:tc>
        <w:tc>
          <w:tcPr>
            <w:tcW w:w="417" w:type="pct"/>
            <w:tcBorders>
              <w:top w:val="nil"/>
              <w:left w:val="nil"/>
              <w:bottom w:val="single" w:sz="4" w:space="0" w:color="auto"/>
              <w:right w:val="nil"/>
            </w:tcBorders>
            <w:noWrap/>
            <w:vAlign w:val="bottom"/>
            <w:hideMark/>
          </w:tcPr>
          <w:p w14:paraId="096292F3" w14:textId="47F30F70"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74</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175</w:t>
            </w:r>
          </w:p>
        </w:tc>
        <w:tc>
          <w:tcPr>
            <w:tcW w:w="417" w:type="pct"/>
            <w:tcBorders>
              <w:top w:val="nil"/>
              <w:left w:val="nil"/>
              <w:bottom w:val="single" w:sz="4" w:space="0" w:color="auto"/>
              <w:right w:val="nil"/>
            </w:tcBorders>
            <w:noWrap/>
            <w:vAlign w:val="bottom"/>
            <w:hideMark/>
          </w:tcPr>
          <w:p w14:paraId="25AC38B0" w14:textId="52A4165A"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115</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469</w:t>
            </w:r>
          </w:p>
        </w:tc>
        <w:tc>
          <w:tcPr>
            <w:tcW w:w="417" w:type="pct"/>
            <w:tcBorders>
              <w:top w:val="nil"/>
              <w:left w:val="nil"/>
              <w:bottom w:val="single" w:sz="4" w:space="0" w:color="auto"/>
              <w:right w:val="nil"/>
            </w:tcBorders>
            <w:noWrap/>
            <w:vAlign w:val="bottom"/>
            <w:hideMark/>
          </w:tcPr>
          <w:p w14:paraId="5B078B8E" w14:textId="7BFA4C4A"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64</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602</w:t>
            </w:r>
          </w:p>
        </w:tc>
        <w:tc>
          <w:tcPr>
            <w:tcW w:w="417" w:type="pct"/>
            <w:tcBorders>
              <w:top w:val="nil"/>
              <w:left w:val="nil"/>
              <w:bottom w:val="single" w:sz="4" w:space="0" w:color="auto"/>
              <w:right w:val="nil"/>
            </w:tcBorders>
            <w:noWrap/>
            <w:vAlign w:val="bottom"/>
            <w:hideMark/>
          </w:tcPr>
          <w:p w14:paraId="4B81BBB3" w14:textId="4C4DABAB"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88</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249</w:t>
            </w:r>
          </w:p>
        </w:tc>
        <w:tc>
          <w:tcPr>
            <w:tcW w:w="417" w:type="pct"/>
            <w:tcBorders>
              <w:top w:val="nil"/>
              <w:left w:val="nil"/>
              <w:bottom w:val="single" w:sz="4" w:space="0" w:color="auto"/>
              <w:right w:val="nil"/>
            </w:tcBorders>
            <w:noWrap/>
            <w:vAlign w:val="bottom"/>
            <w:hideMark/>
          </w:tcPr>
          <w:p w14:paraId="4B0A9832" w14:textId="5ABF9177"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91</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664</w:t>
            </w:r>
          </w:p>
        </w:tc>
        <w:tc>
          <w:tcPr>
            <w:tcW w:w="417" w:type="pct"/>
            <w:tcBorders>
              <w:top w:val="nil"/>
              <w:left w:val="nil"/>
              <w:bottom w:val="single" w:sz="4" w:space="0" w:color="auto"/>
              <w:right w:val="nil"/>
            </w:tcBorders>
            <w:noWrap/>
            <w:vAlign w:val="bottom"/>
            <w:hideMark/>
          </w:tcPr>
          <w:p w14:paraId="707D8BA8" w14:textId="023C73FA"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120</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144</w:t>
            </w:r>
          </w:p>
        </w:tc>
        <w:tc>
          <w:tcPr>
            <w:tcW w:w="417" w:type="pct"/>
            <w:tcBorders>
              <w:top w:val="nil"/>
              <w:left w:val="nil"/>
              <w:bottom w:val="single" w:sz="4" w:space="0" w:color="auto"/>
              <w:right w:val="nil"/>
            </w:tcBorders>
            <w:noWrap/>
            <w:vAlign w:val="bottom"/>
            <w:hideMark/>
          </w:tcPr>
          <w:p w14:paraId="1B638F8A" w14:textId="6439E6F4" w:rsidR="003F26A3" w:rsidRPr="003F26A3" w:rsidRDefault="003F26A3" w:rsidP="003F26A3">
            <w:pPr>
              <w:spacing w:after="0" w:line="240" w:lineRule="auto"/>
              <w:jc w:val="center"/>
              <w:rPr>
                <w:rFonts w:ascii="Times New Roman" w:eastAsia="Times New Roman" w:hAnsi="Times New Roman" w:cs="Times New Roman"/>
                <w:color w:val="000000"/>
                <w:sz w:val="20"/>
                <w:szCs w:val="20"/>
                <w:lang w:val="en-GB" w:eastAsia="en-GB"/>
              </w:rPr>
            </w:pPr>
            <w:r w:rsidRPr="003F26A3">
              <w:rPr>
                <w:rFonts w:ascii="Times New Roman" w:eastAsia="Times New Roman" w:hAnsi="Times New Roman" w:cs="Times New Roman"/>
                <w:color w:val="000000"/>
                <w:sz w:val="20"/>
                <w:szCs w:val="20"/>
                <w:lang w:val="en-GB" w:eastAsia="en-GB"/>
              </w:rPr>
              <w:t>55</w:t>
            </w:r>
            <w:r>
              <w:rPr>
                <w:rFonts w:ascii="Times New Roman" w:eastAsia="Times New Roman" w:hAnsi="Times New Roman" w:cs="Times New Roman"/>
                <w:color w:val="000000"/>
                <w:sz w:val="20"/>
                <w:szCs w:val="20"/>
                <w:lang w:val="en-GB" w:eastAsia="en-GB"/>
              </w:rPr>
              <w:t>,</w:t>
            </w:r>
            <w:r w:rsidRPr="003F26A3">
              <w:rPr>
                <w:rFonts w:ascii="Times New Roman" w:eastAsia="Times New Roman" w:hAnsi="Times New Roman" w:cs="Times New Roman"/>
                <w:color w:val="000000"/>
                <w:sz w:val="20"/>
                <w:szCs w:val="20"/>
                <w:lang w:val="en-GB" w:eastAsia="en-GB"/>
              </w:rPr>
              <w:t>415</w:t>
            </w:r>
          </w:p>
        </w:tc>
      </w:tr>
    </w:tbl>
    <w:p w14:paraId="067F1D1A" w14:textId="77777777" w:rsidR="007B4D97" w:rsidRDefault="007B4D97" w:rsidP="002B33BE">
      <w:pPr>
        <w:spacing w:after="0"/>
        <w:jc w:val="center"/>
        <w:rPr>
          <w:rFonts w:ascii="Times New Roman" w:hAnsi="Times New Roman" w:cs="Times New Roman"/>
          <w:b/>
          <w:sz w:val="20"/>
          <w:szCs w:val="20"/>
        </w:rPr>
        <w:sectPr w:rsidR="007B4D97" w:rsidSect="001653E2">
          <w:pgSz w:w="15840" w:h="12240" w:orient="landscape"/>
          <w:pgMar w:top="1440" w:right="1440" w:bottom="1440" w:left="1440" w:header="709" w:footer="709" w:gutter="0"/>
          <w:cols w:space="708"/>
          <w:docGrid w:linePitch="360"/>
        </w:sectPr>
      </w:pPr>
    </w:p>
    <w:p w14:paraId="242030BD" w14:textId="4A118822" w:rsidR="007B4D97" w:rsidRPr="005A60C4" w:rsidRDefault="007B4D97" w:rsidP="007B4D97">
      <w:pPr>
        <w:spacing w:after="0"/>
        <w:jc w:val="center"/>
        <w:rPr>
          <w:rFonts w:ascii="Times New Roman" w:hAnsi="Times New Roman" w:cs="Times New Roman"/>
          <w:b/>
          <w:sz w:val="20"/>
          <w:szCs w:val="20"/>
        </w:rPr>
      </w:pPr>
      <w:r w:rsidRPr="005A60C4">
        <w:rPr>
          <w:rFonts w:ascii="Times New Roman" w:hAnsi="Times New Roman" w:cs="Times New Roman"/>
          <w:b/>
          <w:sz w:val="20"/>
          <w:szCs w:val="20"/>
        </w:rPr>
        <w:lastRenderedPageBreak/>
        <w:t xml:space="preserve">TABLE </w:t>
      </w:r>
      <w:r w:rsidR="007D15CC">
        <w:rPr>
          <w:rFonts w:ascii="Times New Roman" w:hAnsi="Times New Roman" w:cs="Times New Roman"/>
          <w:b/>
          <w:sz w:val="20"/>
          <w:szCs w:val="20"/>
        </w:rPr>
        <w:t>3</w:t>
      </w:r>
    </w:p>
    <w:p w14:paraId="01FA85CD" w14:textId="53CE39AB" w:rsidR="007B4D97" w:rsidRPr="001F027B" w:rsidRDefault="007B4D97" w:rsidP="007B4D97">
      <w:pPr>
        <w:spacing w:after="0" w:line="360" w:lineRule="auto"/>
        <w:jc w:val="center"/>
        <w:rPr>
          <w:rFonts w:ascii="Times New Roman" w:hAnsi="Times New Roman" w:cs="Times New Roman"/>
          <w:b/>
          <w:bCs/>
          <w:sz w:val="20"/>
          <w:szCs w:val="20"/>
        </w:rPr>
      </w:pPr>
      <w:r w:rsidRPr="001F027B">
        <w:rPr>
          <w:rFonts w:ascii="Times New Roman" w:hAnsi="Times New Roman" w:cs="Times New Roman"/>
          <w:b/>
          <w:bCs/>
          <w:sz w:val="20"/>
          <w:szCs w:val="20"/>
        </w:rPr>
        <w:t xml:space="preserve">Validation of </w:t>
      </w:r>
      <w:r>
        <w:rPr>
          <w:rFonts w:ascii="Times New Roman" w:hAnsi="Times New Roman" w:cs="Times New Roman"/>
          <w:b/>
          <w:bCs/>
          <w:sz w:val="20"/>
          <w:szCs w:val="20"/>
        </w:rPr>
        <w:t xml:space="preserve">VU using </w:t>
      </w:r>
      <w:r w:rsidR="003B0007">
        <w:rPr>
          <w:rFonts w:ascii="Times New Roman" w:hAnsi="Times New Roman" w:cs="Times New Roman"/>
          <w:b/>
          <w:bCs/>
          <w:sz w:val="20"/>
          <w:szCs w:val="20"/>
        </w:rPr>
        <w:t xml:space="preserve">Spreads in Industry Valuation </w:t>
      </w:r>
      <w:r>
        <w:rPr>
          <w:rFonts w:ascii="Times New Roman" w:hAnsi="Times New Roman" w:cs="Times New Roman"/>
          <w:b/>
          <w:bCs/>
          <w:sz w:val="20"/>
          <w:szCs w:val="20"/>
        </w:rPr>
        <w:t>Multiples</w:t>
      </w:r>
    </w:p>
    <w:p w14:paraId="02EBB35D" w14:textId="462572C9" w:rsidR="007B4D97" w:rsidRDefault="007B4D97" w:rsidP="007B4D97">
      <w:pPr>
        <w:spacing w:after="0"/>
        <w:jc w:val="both"/>
        <w:rPr>
          <w:rFonts w:ascii="Times New Roman" w:hAnsi="Times New Roman" w:cs="Times New Roman"/>
          <w:sz w:val="20"/>
          <w:szCs w:val="20"/>
        </w:rPr>
      </w:pPr>
      <w:r>
        <w:rPr>
          <w:rFonts w:ascii="Times New Roman" w:hAnsi="Times New Roman" w:cs="Times New Roman"/>
          <w:sz w:val="20"/>
          <w:szCs w:val="20"/>
        </w:rPr>
        <w:t>This table reports estimation results from annual Fama-MacBeth regressions of the valuation uncertainty measure (VU) on spreads in industry-year valuation multiples. The explanatory variable</w:t>
      </w:r>
      <w:r w:rsidR="009B6892">
        <w:rPr>
          <w:rFonts w:ascii="Times New Roman" w:hAnsi="Times New Roman" w:cs="Times New Roman"/>
          <w:sz w:val="20"/>
          <w:szCs w:val="20"/>
        </w:rPr>
        <w:t xml:space="preserve"> </w:t>
      </w:r>
      <w:r>
        <w:rPr>
          <w:rFonts w:ascii="Times New Roman" w:hAnsi="Times New Roman" w:cs="Times New Roman"/>
          <w:sz w:val="20"/>
          <w:szCs w:val="20"/>
        </w:rPr>
        <w:t xml:space="preserve"> in column (1) is the interquartile range in industry-year price-to-book (</w:t>
      </w:r>
      <w:r w:rsidRPr="00186620">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lang w:val="en-GB" w:eastAsia="en-GB"/>
        </w:rPr>
        <w:t>P/B</w:t>
      </w:r>
      <w:r>
        <w:rPr>
          <w:rFonts w:ascii="Times New Roman" w:hAnsi="Times New Roman" w:cs="Times New Roman"/>
          <w:sz w:val="20"/>
          <w:szCs w:val="20"/>
        </w:rPr>
        <w:t xml:space="preserve">)). </w:t>
      </w:r>
      <w:r w:rsidR="00AD3093">
        <w:rPr>
          <w:rFonts w:ascii="Times New Roman" w:hAnsi="Times New Roman" w:cs="Times New Roman"/>
          <w:sz w:val="20"/>
          <w:szCs w:val="20"/>
        </w:rPr>
        <w:t>T</w:t>
      </w:r>
      <w:r>
        <w:rPr>
          <w:rFonts w:ascii="Times New Roman" w:hAnsi="Times New Roman" w:cs="Times New Roman"/>
          <w:sz w:val="20"/>
          <w:szCs w:val="20"/>
        </w:rPr>
        <w:t>he explanatory variable in column (2) is the interquartile range in industry-year EV/EBITDA (</w:t>
      </w:r>
      <w:r w:rsidRPr="00186620">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lang w:val="en-GB" w:eastAsia="en-GB"/>
        </w:rPr>
        <w:t>EV/EBITDA</w:t>
      </w:r>
      <w:r>
        <w:rPr>
          <w:rFonts w:ascii="Times New Roman" w:eastAsia="Times New Roman" w:hAnsi="Times New Roman" w:cs="Times New Roman"/>
          <w:color w:val="000000"/>
          <w:sz w:val="20"/>
          <w:szCs w:val="20"/>
          <w:lang w:val="en-GB" w:eastAsia="en-GB"/>
        </w:rPr>
        <w:t>)</w:t>
      </w:r>
      <w:r>
        <w:rPr>
          <w:rFonts w:ascii="Times New Roman" w:hAnsi="Times New Roman" w:cs="Times New Roman"/>
          <w:sz w:val="20"/>
          <w:szCs w:val="20"/>
        </w:rPr>
        <w:t>). The explanatory variable in column (3) is the interquartile range in industry-year price-to-earnings (</w:t>
      </w:r>
      <w:r w:rsidRPr="00186620">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lang w:val="en-GB" w:eastAsia="en-GB"/>
        </w:rPr>
        <w:t>P/E</w:t>
      </w:r>
      <w:r>
        <w:rPr>
          <w:rFonts w:ascii="Times New Roman" w:hAnsi="Times New Roman" w:cs="Times New Roman"/>
          <w:sz w:val="20"/>
          <w:szCs w:val="20"/>
        </w:rPr>
        <w:t xml:space="preserve">)). </w:t>
      </w:r>
      <w:r w:rsidR="00AD3093">
        <w:rPr>
          <w:rFonts w:ascii="Times New Roman" w:hAnsi="Times New Roman" w:cs="Times New Roman"/>
          <w:sz w:val="20"/>
          <w:szCs w:val="20"/>
        </w:rPr>
        <w:t>T</w:t>
      </w:r>
      <w:r>
        <w:rPr>
          <w:rFonts w:ascii="Times New Roman" w:hAnsi="Times New Roman" w:cs="Times New Roman"/>
          <w:sz w:val="20"/>
          <w:szCs w:val="20"/>
        </w:rPr>
        <w:t>he explanatory variable in column (4) is the interquartile range in industry-year price-to-forward earnings (</w:t>
      </w:r>
      <w:r w:rsidRPr="00186620">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lang w:val="en-GB" w:eastAsia="en-GB"/>
        </w:rPr>
        <w:t>Forward</w:t>
      </w:r>
      <w:r>
        <w:rPr>
          <w:rFonts w:ascii="Times New Roman" w:eastAsia="Times New Roman" w:hAnsi="Times New Roman" w:cs="Times New Roman"/>
          <w:color w:val="000000"/>
          <w:sz w:val="20"/>
          <w:szCs w:val="20"/>
          <w:lang w:val="en-GB" w:eastAsia="en-GB"/>
        </w:rPr>
        <w:t xml:space="preserve"> P/E</w:t>
      </w:r>
      <w:r w:rsidRPr="00A25C55">
        <w:rPr>
          <w:rFonts w:ascii="Times New Roman" w:eastAsia="Times New Roman" w:hAnsi="Times New Roman" w:cs="Times New Roman"/>
          <w:color w:val="000000"/>
          <w:sz w:val="20"/>
          <w:szCs w:val="20"/>
          <w:lang w:val="en-GB" w:eastAsia="en-GB"/>
        </w:rPr>
        <w:t>)</w:t>
      </w:r>
      <w:r>
        <w:rPr>
          <w:rFonts w:ascii="Times New Roman" w:hAnsi="Times New Roman" w:cs="Times New Roman"/>
          <w:sz w:val="20"/>
          <w:szCs w:val="20"/>
        </w:rPr>
        <w:t xml:space="preserve">). The sample period runs from 1975 to 2022 (48 years). </w:t>
      </w:r>
      <w:r w:rsidRPr="0010756C">
        <w:rPr>
          <w:rFonts w:ascii="Times New Roman" w:hAnsi="Times New Roman" w:cs="Times New Roman"/>
          <w:i/>
          <w:sz w:val="20"/>
          <w:szCs w:val="20"/>
        </w:rPr>
        <w:t>p</w:t>
      </w:r>
      <w:r>
        <w:rPr>
          <w:rFonts w:ascii="Times New Roman" w:hAnsi="Times New Roman" w:cs="Times New Roman"/>
          <w:sz w:val="20"/>
          <w:szCs w:val="20"/>
        </w:rPr>
        <w:t>-values in parentheses correspond to Newey-West standard errors with 3 lags. Detailed variable definitions are provided in the Appendix. Symbols ***, **, and * indicate statistical significance at the 1%, 5%, and 10% levels, respectively.</w:t>
      </w:r>
    </w:p>
    <w:p w14:paraId="274C9882" w14:textId="77777777" w:rsidR="007B4D97" w:rsidRDefault="007B4D97" w:rsidP="007B4D97">
      <w:pPr>
        <w:spacing w:after="0"/>
        <w:jc w:val="both"/>
        <w:rPr>
          <w:rFonts w:ascii="Times New Roman" w:hAnsi="Times New Roman" w:cs="Times New Roman"/>
          <w:sz w:val="20"/>
          <w:szCs w:val="20"/>
        </w:rPr>
      </w:pPr>
    </w:p>
    <w:tbl>
      <w:tblPr>
        <w:tblW w:w="5000" w:type="pct"/>
        <w:tblLook w:val="04A0" w:firstRow="1" w:lastRow="0" w:firstColumn="1" w:lastColumn="0" w:noHBand="0" w:noVBand="1"/>
      </w:tblPr>
      <w:tblGrid>
        <w:gridCol w:w="2343"/>
        <w:gridCol w:w="1843"/>
        <w:gridCol w:w="1294"/>
        <w:gridCol w:w="1294"/>
        <w:gridCol w:w="1294"/>
        <w:gridCol w:w="1292"/>
      </w:tblGrid>
      <w:tr w:rsidR="007B4D97" w:rsidRPr="00A501B9" w14:paraId="0F5FB1FE" w14:textId="77777777" w:rsidTr="00D978C6">
        <w:trPr>
          <w:trHeight w:val="230"/>
        </w:trPr>
        <w:tc>
          <w:tcPr>
            <w:tcW w:w="1252" w:type="pct"/>
            <w:tcBorders>
              <w:top w:val="single" w:sz="4" w:space="0" w:color="auto"/>
              <w:left w:val="nil"/>
              <w:bottom w:val="single" w:sz="4" w:space="0" w:color="auto"/>
              <w:right w:val="nil"/>
            </w:tcBorders>
            <w:noWrap/>
            <w:vAlign w:val="bottom"/>
            <w:hideMark/>
          </w:tcPr>
          <w:p w14:paraId="408373A9"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 </w:t>
            </w:r>
          </w:p>
        </w:tc>
        <w:tc>
          <w:tcPr>
            <w:tcW w:w="985" w:type="pct"/>
            <w:tcBorders>
              <w:top w:val="single" w:sz="4" w:space="0" w:color="auto"/>
              <w:left w:val="nil"/>
              <w:bottom w:val="single" w:sz="4" w:space="0" w:color="auto"/>
              <w:right w:val="nil"/>
            </w:tcBorders>
            <w:noWrap/>
            <w:vAlign w:val="bottom"/>
            <w:hideMark/>
          </w:tcPr>
          <w:p w14:paraId="0DF8F4B0"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Exp</w:t>
            </w:r>
            <w:r>
              <w:rPr>
                <w:rFonts w:ascii="Times New Roman" w:eastAsia="Times New Roman" w:hAnsi="Times New Roman" w:cs="Times New Roman"/>
                <w:color w:val="000000"/>
                <w:sz w:val="20"/>
                <w:szCs w:val="20"/>
                <w:lang w:val="en-GB" w:eastAsia="en-GB"/>
              </w:rPr>
              <w:t>.</w:t>
            </w:r>
            <w:r w:rsidRPr="00A501B9">
              <w:rPr>
                <w:rFonts w:ascii="Times New Roman" w:eastAsia="Times New Roman" w:hAnsi="Times New Roman" w:cs="Times New Roman"/>
                <w:color w:val="000000"/>
                <w:sz w:val="20"/>
                <w:szCs w:val="20"/>
                <w:lang w:val="en-GB" w:eastAsia="en-GB"/>
              </w:rPr>
              <w:t xml:space="preserve"> Sign</w:t>
            </w:r>
          </w:p>
        </w:tc>
        <w:tc>
          <w:tcPr>
            <w:tcW w:w="691" w:type="pct"/>
            <w:tcBorders>
              <w:top w:val="single" w:sz="4" w:space="0" w:color="auto"/>
              <w:left w:val="nil"/>
              <w:bottom w:val="single" w:sz="4" w:space="0" w:color="auto"/>
              <w:right w:val="nil"/>
            </w:tcBorders>
            <w:noWrap/>
            <w:vAlign w:val="bottom"/>
            <w:hideMark/>
          </w:tcPr>
          <w:p w14:paraId="22CFB2B2"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(1)</w:t>
            </w:r>
          </w:p>
        </w:tc>
        <w:tc>
          <w:tcPr>
            <w:tcW w:w="691" w:type="pct"/>
            <w:tcBorders>
              <w:top w:val="single" w:sz="4" w:space="0" w:color="auto"/>
              <w:left w:val="nil"/>
              <w:bottom w:val="single" w:sz="4" w:space="0" w:color="auto"/>
              <w:right w:val="nil"/>
            </w:tcBorders>
            <w:noWrap/>
            <w:vAlign w:val="bottom"/>
            <w:hideMark/>
          </w:tcPr>
          <w:p w14:paraId="15071755"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(2)</w:t>
            </w:r>
          </w:p>
        </w:tc>
        <w:tc>
          <w:tcPr>
            <w:tcW w:w="691" w:type="pct"/>
            <w:tcBorders>
              <w:top w:val="single" w:sz="4" w:space="0" w:color="auto"/>
              <w:left w:val="nil"/>
              <w:bottom w:val="single" w:sz="4" w:space="0" w:color="auto"/>
              <w:right w:val="nil"/>
            </w:tcBorders>
            <w:noWrap/>
            <w:vAlign w:val="bottom"/>
            <w:hideMark/>
          </w:tcPr>
          <w:p w14:paraId="4C16C1FD"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(3)</w:t>
            </w:r>
          </w:p>
        </w:tc>
        <w:tc>
          <w:tcPr>
            <w:tcW w:w="691" w:type="pct"/>
            <w:tcBorders>
              <w:top w:val="single" w:sz="4" w:space="0" w:color="auto"/>
              <w:left w:val="nil"/>
              <w:bottom w:val="single" w:sz="4" w:space="0" w:color="auto"/>
              <w:right w:val="nil"/>
            </w:tcBorders>
            <w:noWrap/>
            <w:vAlign w:val="bottom"/>
            <w:hideMark/>
          </w:tcPr>
          <w:p w14:paraId="201CE3E6"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(4)</w:t>
            </w:r>
          </w:p>
        </w:tc>
      </w:tr>
      <w:tr w:rsidR="007B4D97" w:rsidRPr="00A501B9" w14:paraId="5FD3D0AE" w14:textId="77777777" w:rsidTr="00D978C6">
        <w:trPr>
          <w:trHeight w:val="353"/>
        </w:trPr>
        <w:tc>
          <w:tcPr>
            <w:tcW w:w="1252" w:type="pct"/>
            <w:tcBorders>
              <w:top w:val="single" w:sz="4" w:space="0" w:color="auto"/>
              <w:left w:val="nil"/>
              <w:bottom w:val="nil"/>
              <w:right w:val="nil"/>
            </w:tcBorders>
            <w:noWrap/>
            <w:vAlign w:val="bottom"/>
            <w:hideMark/>
          </w:tcPr>
          <w:p w14:paraId="653C2308"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Intercept</w:t>
            </w:r>
          </w:p>
        </w:tc>
        <w:tc>
          <w:tcPr>
            <w:tcW w:w="985" w:type="pct"/>
            <w:tcBorders>
              <w:top w:val="nil"/>
              <w:left w:val="nil"/>
              <w:bottom w:val="nil"/>
              <w:right w:val="nil"/>
            </w:tcBorders>
            <w:noWrap/>
            <w:vAlign w:val="bottom"/>
            <w:hideMark/>
          </w:tcPr>
          <w:p w14:paraId="4F18C7DE"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04B860F3" w14:textId="1435B971"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0.503</w:t>
            </w:r>
            <w:r w:rsidR="00FC48E4">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306C00D4" w14:textId="3FE4B3E5"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0.584</w:t>
            </w:r>
            <w:r w:rsidR="00FC48E4">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3A68817C" w14:textId="43D62046"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0.559</w:t>
            </w:r>
            <w:r w:rsidR="00FC48E4">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563C3BED" w14:textId="08A0ED3B"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0.541</w:t>
            </w:r>
            <w:r w:rsidR="00FC48E4">
              <w:rPr>
                <w:rFonts w:ascii="Times New Roman" w:eastAsia="Times New Roman" w:hAnsi="Times New Roman" w:cs="Times New Roman"/>
                <w:color w:val="000000"/>
                <w:sz w:val="20"/>
                <w:szCs w:val="20"/>
                <w:lang w:val="en-GB" w:eastAsia="en-GB"/>
              </w:rPr>
              <w:t>***</w:t>
            </w:r>
          </w:p>
        </w:tc>
      </w:tr>
      <w:tr w:rsidR="007B4D97" w:rsidRPr="00A501B9" w14:paraId="11E71D17" w14:textId="77777777" w:rsidTr="00D978C6">
        <w:trPr>
          <w:trHeight w:val="230"/>
        </w:trPr>
        <w:tc>
          <w:tcPr>
            <w:tcW w:w="1252" w:type="pct"/>
            <w:tcBorders>
              <w:top w:val="nil"/>
              <w:left w:val="nil"/>
              <w:bottom w:val="nil"/>
              <w:right w:val="nil"/>
            </w:tcBorders>
            <w:noWrap/>
            <w:vAlign w:val="bottom"/>
            <w:hideMark/>
          </w:tcPr>
          <w:p w14:paraId="5BF99E64"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985" w:type="pct"/>
            <w:tcBorders>
              <w:top w:val="nil"/>
              <w:left w:val="nil"/>
              <w:bottom w:val="nil"/>
              <w:right w:val="nil"/>
            </w:tcBorders>
            <w:noWrap/>
            <w:vAlign w:val="bottom"/>
            <w:hideMark/>
          </w:tcPr>
          <w:p w14:paraId="123E53D9" w14:textId="77777777" w:rsidR="007B4D97" w:rsidRPr="00A501B9" w:rsidRDefault="007B4D97" w:rsidP="00D978C6">
            <w:pPr>
              <w:spacing w:after="0" w:line="276" w:lineRule="auto"/>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7C23666C"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c>
          <w:tcPr>
            <w:tcW w:w="691" w:type="pct"/>
            <w:tcBorders>
              <w:top w:val="nil"/>
              <w:left w:val="nil"/>
              <w:bottom w:val="nil"/>
              <w:right w:val="nil"/>
            </w:tcBorders>
            <w:noWrap/>
            <w:vAlign w:val="bottom"/>
            <w:hideMark/>
          </w:tcPr>
          <w:p w14:paraId="751D3F15"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c>
          <w:tcPr>
            <w:tcW w:w="691" w:type="pct"/>
            <w:tcBorders>
              <w:top w:val="nil"/>
              <w:left w:val="nil"/>
              <w:bottom w:val="nil"/>
              <w:right w:val="nil"/>
            </w:tcBorders>
            <w:noWrap/>
            <w:vAlign w:val="bottom"/>
            <w:hideMark/>
          </w:tcPr>
          <w:p w14:paraId="7E0A0096"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c>
          <w:tcPr>
            <w:tcW w:w="691" w:type="pct"/>
            <w:tcBorders>
              <w:top w:val="nil"/>
              <w:left w:val="nil"/>
              <w:bottom w:val="nil"/>
              <w:right w:val="nil"/>
            </w:tcBorders>
            <w:noWrap/>
            <w:vAlign w:val="bottom"/>
            <w:hideMark/>
          </w:tcPr>
          <w:p w14:paraId="60C5735A"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r>
      <w:tr w:rsidR="007B4D97" w:rsidRPr="00A501B9" w14:paraId="056B3D00" w14:textId="77777777" w:rsidTr="00D978C6">
        <w:trPr>
          <w:trHeight w:val="230"/>
        </w:trPr>
        <w:tc>
          <w:tcPr>
            <w:tcW w:w="1252" w:type="pct"/>
            <w:tcBorders>
              <w:top w:val="nil"/>
              <w:left w:val="nil"/>
              <w:bottom w:val="nil"/>
              <w:right w:val="nil"/>
            </w:tcBorders>
            <w:noWrap/>
            <w:vAlign w:val="bottom"/>
            <w:hideMark/>
          </w:tcPr>
          <w:p w14:paraId="6A53A337"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IQR(P/B)</w:t>
            </w:r>
          </w:p>
        </w:tc>
        <w:tc>
          <w:tcPr>
            <w:tcW w:w="985" w:type="pct"/>
            <w:tcBorders>
              <w:top w:val="nil"/>
              <w:left w:val="nil"/>
              <w:bottom w:val="nil"/>
              <w:right w:val="nil"/>
            </w:tcBorders>
            <w:noWrap/>
            <w:vAlign w:val="bottom"/>
            <w:hideMark/>
          </w:tcPr>
          <w:p w14:paraId="25A96719"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6EE4F60F"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0.130***</w:t>
            </w:r>
          </w:p>
        </w:tc>
        <w:tc>
          <w:tcPr>
            <w:tcW w:w="691" w:type="pct"/>
            <w:tcBorders>
              <w:top w:val="nil"/>
              <w:left w:val="nil"/>
              <w:bottom w:val="nil"/>
              <w:right w:val="nil"/>
            </w:tcBorders>
            <w:noWrap/>
            <w:vAlign w:val="bottom"/>
            <w:hideMark/>
          </w:tcPr>
          <w:p w14:paraId="60C07E54"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53BB5779"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55179991"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r>
      <w:tr w:rsidR="007B4D97" w:rsidRPr="00A501B9" w14:paraId="0616C89D" w14:textId="77777777" w:rsidTr="00D978C6">
        <w:trPr>
          <w:trHeight w:val="230"/>
        </w:trPr>
        <w:tc>
          <w:tcPr>
            <w:tcW w:w="1252" w:type="pct"/>
            <w:tcBorders>
              <w:top w:val="nil"/>
              <w:left w:val="nil"/>
              <w:bottom w:val="nil"/>
              <w:right w:val="nil"/>
            </w:tcBorders>
            <w:noWrap/>
            <w:vAlign w:val="bottom"/>
            <w:hideMark/>
          </w:tcPr>
          <w:p w14:paraId="7E0FDCFF"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985" w:type="pct"/>
            <w:tcBorders>
              <w:top w:val="nil"/>
              <w:left w:val="nil"/>
              <w:bottom w:val="nil"/>
              <w:right w:val="nil"/>
            </w:tcBorders>
            <w:noWrap/>
            <w:vAlign w:val="bottom"/>
            <w:hideMark/>
          </w:tcPr>
          <w:p w14:paraId="419E2516" w14:textId="77777777" w:rsidR="007B4D97" w:rsidRPr="00A501B9" w:rsidRDefault="007B4D97" w:rsidP="00D978C6">
            <w:pPr>
              <w:spacing w:after="0" w:line="276" w:lineRule="auto"/>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6B019FF8"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c>
          <w:tcPr>
            <w:tcW w:w="691" w:type="pct"/>
            <w:tcBorders>
              <w:top w:val="nil"/>
              <w:left w:val="nil"/>
              <w:bottom w:val="nil"/>
              <w:right w:val="nil"/>
            </w:tcBorders>
            <w:noWrap/>
            <w:vAlign w:val="bottom"/>
            <w:hideMark/>
          </w:tcPr>
          <w:p w14:paraId="3862EB46"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45E8B1C6"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0AF8CE80"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r>
      <w:tr w:rsidR="007B4D97" w:rsidRPr="00A501B9" w14:paraId="6971C9BB" w14:textId="77777777" w:rsidTr="00D978C6">
        <w:trPr>
          <w:trHeight w:val="230"/>
        </w:trPr>
        <w:tc>
          <w:tcPr>
            <w:tcW w:w="1252" w:type="pct"/>
            <w:tcBorders>
              <w:top w:val="nil"/>
              <w:left w:val="nil"/>
              <w:bottom w:val="nil"/>
              <w:right w:val="nil"/>
            </w:tcBorders>
            <w:noWrap/>
            <w:vAlign w:val="bottom"/>
            <w:hideMark/>
          </w:tcPr>
          <w:p w14:paraId="331AE6C8"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IQR(EV/EBITDA)</w:t>
            </w:r>
          </w:p>
        </w:tc>
        <w:tc>
          <w:tcPr>
            <w:tcW w:w="985" w:type="pct"/>
            <w:tcBorders>
              <w:top w:val="nil"/>
              <w:left w:val="nil"/>
              <w:bottom w:val="nil"/>
              <w:right w:val="nil"/>
            </w:tcBorders>
            <w:noWrap/>
            <w:vAlign w:val="bottom"/>
            <w:hideMark/>
          </w:tcPr>
          <w:p w14:paraId="2A1465E4"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6B95B07F"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68A0DBB7"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0.025***</w:t>
            </w:r>
          </w:p>
        </w:tc>
        <w:tc>
          <w:tcPr>
            <w:tcW w:w="691" w:type="pct"/>
            <w:tcBorders>
              <w:top w:val="nil"/>
              <w:left w:val="nil"/>
              <w:bottom w:val="nil"/>
              <w:right w:val="nil"/>
            </w:tcBorders>
            <w:noWrap/>
            <w:vAlign w:val="bottom"/>
            <w:hideMark/>
          </w:tcPr>
          <w:p w14:paraId="7E19E4C0"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4269A1D2"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r>
      <w:tr w:rsidR="007B4D97" w:rsidRPr="00A501B9" w14:paraId="5C48B7A6" w14:textId="77777777" w:rsidTr="00D978C6">
        <w:trPr>
          <w:trHeight w:val="230"/>
        </w:trPr>
        <w:tc>
          <w:tcPr>
            <w:tcW w:w="1252" w:type="pct"/>
            <w:tcBorders>
              <w:top w:val="nil"/>
              <w:left w:val="nil"/>
              <w:bottom w:val="nil"/>
              <w:right w:val="nil"/>
            </w:tcBorders>
            <w:noWrap/>
            <w:vAlign w:val="bottom"/>
            <w:hideMark/>
          </w:tcPr>
          <w:p w14:paraId="4D54FFF9"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985" w:type="pct"/>
            <w:tcBorders>
              <w:top w:val="nil"/>
              <w:left w:val="nil"/>
              <w:bottom w:val="nil"/>
              <w:right w:val="nil"/>
            </w:tcBorders>
            <w:noWrap/>
            <w:vAlign w:val="bottom"/>
            <w:hideMark/>
          </w:tcPr>
          <w:p w14:paraId="50ECC2A8" w14:textId="77777777" w:rsidR="007B4D97" w:rsidRPr="00A501B9" w:rsidRDefault="007B4D97" w:rsidP="00D978C6">
            <w:pPr>
              <w:spacing w:after="0" w:line="276" w:lineRule="auto"/>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25F480A6"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2FF81D13"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c>
          <w:tcPr>
            <w:tcW w:w="691" w:type="pct"/>
            <w:tcBorders>
              <w:top w:val="nil"/>
              <w:left w:val="nil"/>
              <w:bottom w:val="nil"/>
              <w:right w:val="nil"/>
            </w:tcBorders>
            <w:noWrap/>
            <w:vAlign w:val="bottom"/>
            <w:hideMark/>
          </w:tcPr>
          <w:p w14:paraId="5C80214A"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3A8A0759"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r>
      <w:tr w:rsidR="007B4D97" w:rsidRPr="00A501B9" w14:paraId="450B0B5E" w14:textId="77777777" w:rsidTr="00D978C6">
        <w:trPr>
          <w:trHeight w:val="230"/>
        </w:trPr>
        <w:tc>
          <w:tcPr>
            <w:tcW w:w="1252" w:type="pct"/>
            <w:tcBorders>
              <w:top w:val="nil"/>
              <w:left w:val="nil"/>
              <w:bottom w:val="nil"/>
              <w:right w:val="nil"/>
            </w:tcBorders>
            <w:noWrap/>
            <w:vAlign w:val="bottom"/>
            <w:hideMark/>
          </w:tcPr>
          <w:p w14:paraId="6CBA3EBB"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IQR(P/E)</w:t>
            </w:r>
          </w:p>
        </w:tc>
        <w:tc>
          <w:tcPr>
            <w:tcW w:w="985" w:type="pct"/>
            <w:tcBorders>
              <w:top w:val="nil"/>
              <w:left w:val="nil"/>
              <w:bottom w:val="nil"/>
              <w:right w:val="nil"/>
            </w:tcBorders>
            <w:noWrap/>
            <w:vAlign w:val="bottom"/>
            <w:hideMark/>
          </w:tcPr>
          <w:p w14:paraId="40058D8F"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30148A15"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1F020705"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2BD417EB"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0.013***</w:t>
            </w:r>
          </w:p>
        </w:tc>
        <w:tc>
          <w:tcPr>
            <w:tcW w:w="691" w:type="pct"/>
            <w:tcBorders>
              <w:top w:val="nil"/>
              <w:left w:val="nil"/>
              <w:bottom w:val="nil"/>
              <w:right w:val="nil"/>
            </w:tcBorders>
            <w:noWrap/>
            <w:vAlign w:val="bottom"/>
            <w:hideMark/>
          </w:tcPr>
          <w:p w14:paraId="02A668B1"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r>
      <w:tr w:rsidR="007B4D97" w:rsidRPr="00A501B9" w14:paraId="065C6E2B" w14:textId="77777777" w:rsidTr="00D978C6">
        <w:trPr>
          <w:trHeight w:val="230"/>
        </w:trPr>
        <w:tc>
          <w:tcPr>
            <w:tcW w:w="1252" w:type="pct"/>
            <w:tcBorders>
              <w:top w:val="nil"/>
              <w:left w:val="nil"/>
              <w:bottom w:val="nil"/>
              <w:right w:val="nil"/>
            </w:tcBorders>
            <w:noWrap/>
            <w:vAlign w:val="bottom"/>
            <w:hideMark/>
          </w:tcPr>
          <w:p w14:paraId="53BFF06A"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985" w:type="pct"/>
            <w:tcBorders>
              <w:top w:val="nil"/>
              <w:left w:val="nil"/>
              <w:bottom w:val="nil"/>
              <w:right w:val="nil"/>
            </w:tcBorders>
            <w:noWrap/>
            <w:vAlign w:val="bottom"/>
            <w:hideMark/>
          </w:tcPr>
          <w:p w14:paraId="0576E622" w14:textId="77777777" w:rsidR="007B4D97" w:rsidRPr="00A501B9" w:rsidRDefault="007B4D97" w:rsidP="00D978C6">
            <w:pPr>
              <w:spacing w:after="0" w:line="276" w:lineRule="auto"/>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3D674EBD"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3F447ED4"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41C26082"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c>
          <w:tcPr>
            <w:tcW w:w="691" w:type="pct"/>
            <w:tcBorders>
              <w:top w:val="nil"/>
              <w:left w:val="nil"/>
              <w:bottom w:val="nil"/>
              <w:right w:val="nil"/>
            </w:tcBorders>
            <w:noWrap/>
            <w:vAlign w:val="bottom"/>
            <w:hideMark/>
          </w:tcPr>
          <w:p w14:paraId="58FD3EBB"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r>
      <w:tr w:rsidR="007B4D97" w:rsidRPr="00A501B9" w14:paraId="52C84809" w14:textId="77777777" w:rsidTr="00D978C6">
        <w:trPr>
          <w:trHeight w:val="230"/>
        </w:trPr>
        <w:tc>
          <w:tcPr>
            <w:tcW w:w="1252" w:type="pct"/>
            <w:tcBorders>
              <w:top w:val="nil"/>
              <w:left w:val="nil"/>
              <w:bottom w:val="nil"/>
              <w:right w:val="nil"/>
            </w:tcBorders>
            <w:noWrap/>
            <w:vAlign w:val="bottom"/>
            <w:hideMark/>
          </w:tcPr>
          <w:p w14:paraId="22FB201E"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IQR(Forward P/E)</w:t>
            </w:r>
          </w:p>
        </w:tc>
        <w:tc>
          <w:tcPr>
            <w:tcW w:w="985" w:type="pct"/>
            <w:tcBorders>
              <w:top w:val="nil"/>
              <w:left w:val="nil"/>
              <w:bottom w:val="nil"/>
              <w:right w:val="nil"/>
            </w:tcBorders>
            <w:noWrap/>
            <w:vAlign w:val="bottom"/>
            <w:hideMark/>
          </w:tcPr>
          <w:p w14:paraId="170BF718"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w:t>
            </w:r>
          </w:p>
        </w:tc>
        <w:tc>
          <w:tcPr>
            <w:tcW w:w="691" w:type="pct"/>
            <w:tcBorders>
              <w:top w:val="nil"/>
              <w:left w:val="nil"/>
              <w:bottom w:val="nil"/>
              <w:right w:val="nil"/>
            </w:tcBorders>
            <w:noWrap/>
            <w:vAlign w:val="bottom"/>
            <w:hideMark/>
          </w:tcPr>
          <w:p w14:paraId="4112FF2D"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10D448AD"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3AF4DAD5"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5E7BE9E1"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0.026***</w:t>
            </w:r>
          </w:p>
        </w:tc>
      </w:tr>
      <w:tr w:rsidR="007B4D97" w:rsidRPr="00A501B9" w14:paraId="3C78B6A1" w14:textId="77777777" w:rsidTr="00D978C6">
        <w:trPr>
          <w:trHeight w:val="230"/>
        </w:trPr>
        <w:tc>
          <w:tcPr>
            <w:tcW w:w="1252" w:type="pct"/>
            <w:tcBorders>
              <w:top w:val="nil"/>
              <w:left w:val="nil"/>
              <w:bottom w:val="nil"/>
              <w:right w:val="nil"/>
            </w:tcBorders>
            <w:noWrap/>
            <w:vAlign w:val="bottom"/>
            <w:hideMark/>
          </w:tcPr>
          <w:p w14:paraId="68805F4D"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985" w:type="pct"/>
            <w:tcBorders>
              <w:top w:val="nil"/>
              <w:left w:val="nil"/>
              <w:bottom w:val="nil"/>
              <w:right w:val="nil"/>
            </w:tcBorders>
            <w:noWrap/>
            <w:vAlign w:val="bottom"/>
            <w:hideMark/>
          </w:tcPr>
          <w:p w14:paraId="1FD50B9B" w14:textId="77777777" w:rsidR="007B4D97" w:rsidRPr="00A501B9" w:rsidRDefault="007B4D97" w:rsidP="00D978C6">
            <w:pPr>
              <w:spacing w:after="0" w:line="276" w:lineRule="auto"/>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4B2AEBBC"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48A26E80"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1A761139" w14:textId="77777777" w:rsidR="007B4D97" w:rsidRPr="00A501B9" w:rsidRDefault="007B4D97" w:rsidP="00D978C6">
            <w:pPr>
              <w:spacing w:after="0" w:line="276" w:lineRule="auto"/>
              <w:jc w:val="center"/>
              <w:rPr>
                <w:rFonts w:ascii="Times New Roman" w:eastAsia="Times New Roman" w:hAnsi="Times New Roman" w:cs="Times New Roman"/>
                <w:sz w:val="20"/>
                <w:szCs w:val="20"/>
                <w:lang w:val="en-GB" w:eastAsia="en-GB"/>
              </w:rPr>
            </w:pPr>
          </w:p>
        </w:tc>
        <w:tc>
          <w:tcPr>
            <w:tcW w:w="691" w:type="pct"/>
            <w:tcBorders>
              <w:top w:val="nil"/>
              <w:left w:val="nil"/>
              <w:bottom w:val="nil"/>
              <w:right w:val="nil"/>
            </w:tcBorders>
            <w:noWrap/>
            <w:vAlign w:val="bottom"/>
            <w:hideMark/>
          </w:tcPr>
          <w:p w14:paraId="3E7F80B0"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(0.000)</w:t>
            </w:r>
          </w:p>
        </w:tc>
      </w:tr>
      <w:tr w:rsidR="007B4D97" w:rsidRPr="00A501B9" w14:paraId="09BA4C55" w14:textId="77777777" w:rsidTr="00D978C6">
        <w:trPr>
          <w:trHeight w:val="401"/>
        </w:trPr>
        <w:tc>
          <w:tcPr>
            <w:tcW w:w="1252" w:type="pct"/>
            <w:tcBorders>
              <w:top w:val="nil"/>
              <w:left w:val="nil"/>
              <w:bottom w:val="nil"/>
              <w:right w:val="nil"/>
            </w:tcBorders>
            <w:noWrap/>
            <w:vAlign w:val="bottom"/>
            <w:hideMark/>
          </w:tcPr>
          <w:p w14:paraId="7E031E65"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R2</w:t>
            </w:r>
          </w:p>
        </w:tc>
        <w:tc>
          <w:tcPr>
            <w:tcW w:w="985" w:type="pct"/>
            <w:tcBorders>
              <w:top w:val="nil"/>
              <w:left w:val="nil"/>
              <w:bottom w:val="nil"/>
              <w:right w:val="nil"/>
            </w:tcBorders>
            <w:noWrap/>
            <w:vAlign w:val="bottom"/>
            <w:hideMark/>
          </w:tcPr>
          <w:p w14:paraId="58B1F5B6"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p>
        </w:tc>
        <w:tc>
          <w:tcPr>
            <w:tcW w:w="691" w:type="pct"/>
            <w:tcBorders>
              <w:top w:val="nil"/>
              <w:left w:val="nil"/>
              <w:bottom w:val="nil"/>
              <w:right w:val="nil"/>
            </w:tcBorders>
            <w:noWrap/>
            <w:vAlign w:val="bottom"/>
            <w:hideMark/>
          </w:tcPr>
          <w:p w14:paraId="3E2C2C0C"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0.235</w:t>
            </w:r>
          </w:p>
        </w:tc>
        <w:tc>
          <w:tcPr>
            <w:tcW w:w="691" w:type="pct"/>
            <w:tcBorders>
              <w:top w:val="nil"/>
              <w:left w:val="nil"/>
              <w:bottom w:val="nil"/>
              <w:right w:val="nil"/>
            </w:tcBorders>
            <w:noWrap/>
            <w:vAlign w:val="bottom"/>
            <w:hideMark/>
          </w:tcPr>
          <w:p w14:paraId="3FA29589"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0.188</w:t>
            </w:r>
          </w:p>
        </w:tc>
        <w:tc>
          <w:tcPr>
            <w:tcW w:w="691" w:type="pct"/>
            <w:tcBorders>
              <w:top w:val="nil"/>
              <w:left w:val="nil"/>
              <w:bottom w:val="nil"/>
              <w:right w:val="nil"/>
            </w:tcBorders>
            <w:noWrap/>
            <w:vAlign w:val="bottom"/>
            <w:hideMark/>
          </w:tcPr>
          <w:p w14:paraId="5B4F860E"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0.196</w:t>
            </w:r>
          </w:p>
        </w:tc>
        <w:tc>
          <w:tcPr>
            <w:tcW w:w="691" w:type="pct"/>
            <w:tcBorders>
              <w:top w:val="nil"/>
              <w:left w:val="nil"/>
              <w:bottom w:val="nil"/>
              <w:right w:val="nil"/>
            </w:tcBorders>
            <w:noWrap/>
            <w:vAlign w:val="bottom"/>
            <w:hideMark/>
          </w:tcPr>
          <w:p w14:paraId="14D6A666"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0.211</w:t>
            </w:r>
          </w:p>
        </w:tc>
      </w:tr>
      <w:tr w:rsidR="007B4D97" w:rsidRPr="00A501B9" w14:paraId="38B63875" w14:textId="77777777" w:rsidTr="00D978C6">
        <w:trPr>
          <w:trHeight w:val="230"/>
        </w:trPr>
        <w:tc>
          <w:tcPr>
            <w:tcW w:w="1252" w:type="pct"/>
            <w:tcBorders>
              <w:top w:val="nil"/>
              <w:left w:val="nil"/>
              <w:bottom w:val="single" w:sz="4" w:space="0" w:color="auto"/>
              <w:right w:val="nil"/>
            </w:tcBorders>
            <w:noWrap/>
            <w:vAlign w:val="bottom"/>
            <w:hideMark/>
          </w:tcPr>
          <w:p w14:paraId="4B0F11F9"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N</w:t>
            </w:r>
          </w:p>
        </w:tc>
        <w:tc>
          <w:tcPr>
            <w:tcW w:w="985" w:type="pct"/>
            <w:tcBorders>
              <w:top w:val="nil"/>
              <w:left w:val="nil"/>
              <w:bottom w:val="single" w:sz="4" w:space="0" w:color="auto"/>
              <w:right w:val="nil"/>
            </w:tcBorders>
            <w:noWrap/>
            <w:vAlign w:val="bottom"/>
            <w:hideMark/>
          </w:tcPr>
          <w:p w14:paraId="1C316709" w14:textId="77777777" w:rsidR="007B4D97" w:rsidRPr="00A501B9" w:rsidRDefault="007B4D97" w:rsidP="00D978C6">
            <w:pPr>
              <w:spacing w:after="0" w:line="276" w:lineRule="auto"/>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 </w:t>
            </w:r>
          </w:p>
        </w:tc>
        <w:tc>
          <w:tcPr>
            <w:tcW w:w="691" w:type="pct"/>
            <w:tcBorders>
              <w:top w:val="nil"/>
              <w:left w:val="nil"/>
              <w:bottom w:val="single" w:sz="4" w:space="0" w:color="auto"/>
              <w:right w:val="nil"/>
            </w:tcBorders>
            <w:noWrap/>
            <w:vAlign w:val="bottom"/>
            <w:hideMark/>
          </w:tcPr>
          <w:p w14:paraId="2E4A7520"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120,183</w:t>
            </w:r>
          </w:p>
        </w:tc>
        <w:tc>
          <w:tcPr>
            <w:tcW w:w="691" w:type="pct"/>
            <w:tcBorders>
              <w:top w:val="nil"/>
              <w:left w:val="nil"/>
              <w:bottom w:val="single" w:sz="4" w:space="0" w:color="auto"/>
              <w:right w:val="nil"/>
            </w:tcBorders>
            <w:noWrap/>
            <w:vAlign w:val="bottom"/>
            <w:hideMark/>
          </w:tcPr>
          <w:p w14:paraId="797C1095"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120,181</w:t>
            </w:r>
          </w:p>
        </w:tc>
        <w:tc>
          <w:tcPr>
            <w:tcW w:w="691" w:type="pct"/>
            <w:tcBorders>
              <w:top w:val="nil"/>
              <w:left w:val="nil"/>
              <w:bottom w:val="single" w:sz="4" w:space="0" w:color="auto"/>
              <w:right w:val="nil"/>
            </w:tcBorders>
            <w:noWrap/>
            <w:vAlign w:val="bottom"/>
            <w:hideMark/>
          </w:tcPr>
          <w:p w14:paraId="27951AAB"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120,029</w:t>
            </w:r>
          </w:p>
        </w:tc>
        <w:tc>
          <w:tcPr>
            <w:tcW w:w="691" w:type="pct"/>
            <w:tcBorders>
              <w:top w:val="nil"/>
              <w:left w:val="nil"/>
              <w:bottom w:val="single" w:sz="4" w:space="0" w:color="auto"/>
              <w:right w:val="nil"/>
            </w:tcBorders>
            <w:noWrap/>
            <w:vAlign w:val="bottom"/>
            <w:hideMark/>
          </w:tcPr>
          <w:p w14:paraId="1E2CD363" w14:textId="77777777" w:rsidR="007B4D97" w:rsidRPr="00A501B9" w:rsidRDefault="007B4D97" w:rsidP="00D978C6">
            <w:pPr>
              <w:spacing w:after="0" w:line="276" w:lineRule="auto"/>
              <w:jc w:val="center"/>
              <w:rPr>
                <w:rFonts w:ascii="Times New Roman" w:eastAsia="Times New Roman" w:hAnsi="Times New Roman" w:cs="Times New Roman"/>
                <w:color w:val="000000"/>
                <w:sz w:val="20"/>
                <w:szCs w:val="20"/>
                <w:lang w:val="en-GB" w:eastAsia="en-GB"/>
              </w:rPr>
            </w:pPr>
            <w:r w:rsidRPr="00A501B9">
              <w:rPr>
                <w:rFonts w:ascii="Times New Roman" w:eastAsia="Times New Roman" w:hAnsi="Times New Roman" w:cs="Times New Roman"/>
                <w:color w:val="000000"/>
                <w:sz w:val="20"/>
                <w:szCs w:val="20"/>
                <w:lang w:val="en-GB" w:eastAsia="en-GB"/>
              </w:rPr>
              <w:t>118,226</w:t>
            </w:r>
          </w:p>
        </w:tc>
      </w:tr>
    </w:tbl>
    <w:p w14:paraId="7DC39A83" w14:textId="77777777" w:rsidR="007B4D97" w:rsidRDefault="007B4D97">
      <w:pPr>
        <w:rPr>
          <w:rFonts w:ascii="Times New Roman" w:hAnsi="Times New Roman" w:cs="Times New Roman"/>
          <w:b/>
          <w:sz w:val="20"/>
          <w:szCs w:val="20"/>
        </w:rPr>
        <w:sectPr w:rsidR="007B4D97" w:rsidSect="007B4D97">
          <w:pgSz w:w="12240" w:h="15840"/>
          <w:pgMar w:top="1440" w:right="1440" w:bottom="1440" w:left="1440" w:header="709" w:footer="709" w:gutter="0"/>
          <w:cols w:space="708"/>
          <w:docGrid w:linePitch="360"/>
        </w:sectPr>
      </w:pPr>
    </w:p>
    <w:p w14:paraId="48387310" w14:textId="2D0F8BB2" w:rsidR="002B33BE" w:rsidRPr="005A60C4" w:rsidRDefault="002B33BE" w:rsidP="002B33BE">
      <w:pPr>
        <w:spacing w:after="0"/>
        <w:jc w:val="center"/>
        <w:rPr>
          <w:rFonts w:ascii="Times New Roman" w:hAnsi="Times New Roman" w:cs="Times New Roman"/>
          <w:b/>
          <w:sz w:val="20"/>
          <w:szCs w:val="20"/>
        </w:rPr>
      </w:pPr>
      <w:r w:rsidRPr="005A60C4">
        <w:rPr>
          <w:rFonts w:ascii="Times New Roman" w:hAnsi="Times New Roman" w:cs="Times New Roman"/>
          <w:b/>
          <w:sz w:val="20"/>
          <w:szCs w:val="20"/>
        </w:rPr>
        <w:lastRenderedPageBreak/>
        <w:t xml:space="preserve">TABLE </w:t>
      </w:r>
      <w:r w:rsidR="007D15CC">
        <w:rPr>
          <w:rFonts w:ascii="Times New Roman" w:hAnsi="Times New Roman" w:cs="Times New Roman"/>
          <w:b/>
          <w:sz w:val="20"/>
          <w:szCs w:val="20"/>
        </w:rPr>
        <w:t>4</w:t>
      </w:r>
    </w:p>
    <w:p w14:paraId="38A3084E" w14:textId="05F205B2" w:rsidR="002B33BE" w:rsidRDefault="002B33BE" w:rsidP="002B33BE">
      <w:pPr>
        <w:spacing w:after="0" w:line="360" w:lineRule="auto"/>
        <w:jc w:val="center"/>
        <w:rPr>
          <w:rFonts w:ascii="Times New Roman" w:hAnsi="Times New Roman" w:cs="Times New Roman"/>
          <w:b/>
          <w:bCs/>
          <w:sz w:val="20"/>
          <w:szCs w:val="20"/>
        </w:rPr>
      </w:pPr>
      <w:r w:rsidRPr="001F027B">
        <w:rPr>
          <w:rFonts w:ascii="Times New Roman" w:hAnsi="Times New Roman" w:cs="Times New Roman"/>
          <w:b/>
          <w:bCs/>
          <w:sz w:val="20"/>
          <w:szCs w:val="20"/>
        </w:rPr>
        <w:t>Validation</w:t>
      </w:r>
      <w:r w:rsidR="00BD36A8">
        <w:rPr>
          <w:rFonts w:ascii="Times New Roman" w:hAnsi="Times New Roman" w:cs="Times New Roman"/>
          <w:b/>
          <w:bCs/>
          <w:sz w:val="20"/>
          <w:szCs w:val="20"/>
        </w:rPr>
        <w:t xml:space="preserve"> of</w:t>
      </w:r>
      <w:r w:rsidRPr="001F027B">
        <w:rPr>
          <w:rFonts w:ascii="Times New Roman" w:hAnsi="Times New Roman" w:cs="Times New Roman"/>
          <w:b/>
          <w:bCs/>
          <w:sz w:val="20"/>
          <w:szCs w:val="20"/>
        </w:rPr>
        <w:t xml:space="preserve"> </w:t>
      </w:r>
      <w:r w:rsidR="007B0634">
        <w:rPr>
          <w:rFonts w:ascii="Times New Roman" w:hAnsi="Times New Roman" w:cs="Times New Roman"/>
          <w:b/>
          <w:bCs/>
          <w:sz w:val="20"/>
          <w:szCs w:val="20"/>
        </w:rPr>
        <w:t>VU</w:t>
      </w:r>
      <w:r>
        <w:rPr>
          <w:rFonts w:ascii="Times New Roman" w:hAnsi="Times New Roman" w:cs="Times New Roman"/>
          <w:b/>
          <w:bCs/>
          <w:sz w:val="20"/>
          <w:szCs w:val="20"/>
        </w:rPr>
        <w:t xml:space="preserve"> using </w:t>
      </w:r>
      <w:r w:rsidR="006C4021">
        <w:rPr>
          <w:rFonts w:ascii="Times New Roman" w:hAnsi="Times New Roman" w:cs="Times New Roman"/>
          <w:b/>
          <w:bCs/>
          <w:sz w:val="20"/>
          <w:szCs w:val="20"/>
        </w:rPr>
        <w:t>Future</w:t>
      </w:r>
      <w:r w:rsidR="00800997">
        <w:rPr>
          <w:rFonts w:ascii="Times New Roman" w:hAnsi="Times New Roman" w:cs="Times New Roman"/>
          <w:b/>
          <w:bCs/>
          <w:sz w:val="20"/>
          <w:szCs w:val="20"/>
        </w:rPr>
        <w:t xml:space="preserve"> and Contemporaneous</w:t>
      </w:r>
      <w:r w:rsidR="006C4021">
        <w:rPr>
          <w:rFonts w:ascii="Times New Roman" w:hAnsi="Times New Roman" w:cs="Times New Roman"/>
          <w:b/>
          <w:bCs/>
          <w:sz w:val="20"/>
          <w:szCs w:val="20"/>
        </w:rPr>
        <w:t xml:space="preserve"> Outcomes</w:t>
      </w:r>
    </w:p>
    <w:p w14:paraId="774FDD08" w14:textId="61815003" w:rsidR="00643F5C" w:rsidRDefault="00FE1B3B" w:rsidP="0073671D">
      <w:pPr>
        <w:jc w:val="both"/>
        <w:rPr>
          <w:rFonts w:ascii="Times New Roman" w:eastAsia="Calibri" w:hAnsi="Times New Roman" w:cs="Times New Roman"/>
          <w:sz w:val="20"/>
          <w:szCs w:val="20"/>
        </w:rPr>
      </w:pPr>
      <w:r>
        <w:rPr>
          <w:rFonts w:ascii="Times New Roman" w:hAnsi="Times New Roman" w:cs="Times New Roman"/>
          <w:sz w:val="20"/>
          <w:szCs w:val="20"/>
        </w:rPr>
        <w:t>This table reports estimation results from annual Fama-MacBeth regressions of future</w:t>
      </w:r>
      <w:r w:rsidR="00953220">
        <w:rPr>
          <w:rFonts w:ascii="Times New Roman" w:hAnsi="Times New Roman" w:cs="Times New Roman"/>
          <w:sz w:val="20"/>
          <w:szCs w:val="20"/>
        </w:rPr>
        <w:t>/contemporaneous</w:t>
      </w:r>
      <w:r>
        <w:rPr>
          <w:rFonts w:ascii="Times New Roman" w:hAnsi="Times New Roman" w:cs="Times New Roman"/>
          <w:sz w:val="20"/>
          <w:szCs w:val="20"/>
        </w:rPr>
        <w:t xml:space="preserve"> </w:t>
      </w:r>
      <w:r w:rsidR="00516B61">
        <w:rPr>
          <w:rFonts w:ascii="Times New Roman" w:hAnsi="Times New Roman" w:cs="Times New Roman"/>
          <w:sz w:val="20"/>
          <w:szCs w:val="20"/>
        </w:rPr>
        <w:t xml:space="preserve">uncertainty </w:t>
      </w:r>
      <w:r>
        <w:rPr>
          <w:rFonts w:ascii="Times New Roman" w:hAnsi="Times New Roman" w:cs="Times New Roman"/>
          <w:sz w:val="20"/>
          <w:szCs w:val="20"/>
        </w:rPr>
        <w:t xml:space="preserve">outcomes on </w:t>
      </w:r>
      <w:r w:rsidR="00516B61">
        <w:rPr>
          <w:rFonts w:ascii="Times New Roman" w:hAnsi="Times New Roman" w:cs="Times New Roman"/>
          <w:sz w:val="20"/>
          <w:szCs w:val="20"/>
        </w:rPr>
        <w:t>our</w:t>
      </w:r>
      <w:r>
        <w:rPr>
          <w:rFonts w:ascii="Times New Roman" w:hAnsi="Times New Roman" w:cs="Times New Roman"/>
          <w:sz w:val="20"/>
          <w:szCs w:val="20"/>
        </w:rPr>
        <w:t xml:space="preserve"> valuation uncertainty measure (VU).</w:t>
      </w:r>
      <w:r w:rsidR="00CD6E49">
        <w:rPr>
          <w:rFonts w:ascii="Times New Roman" w:hAnsi="Times New Roman" w:cs="Times New Roman"/>
          <w:sz w:val="20"/>
          <w:szCs w:val="20"/>
        </w:rPr>
        <w:t xml:space="preserve"> Panel A reports regressions using measures of total valuation uncertainty.</w:t>
      </w:r>
      <w:r>
        <w:rPr>
          <w:rFonts w:ascii="Times New Roman" w:hAnsi="Times New Roman" w:cs="Times New Roman"/>
          <w:sz w:val="20"/>
          <w:szCs w:val="20"/>
        </w:rPr>
        <w:t xml:space="preserve"> The </w:t>
      </w:r>
      <w:r w:rsidR="00CD30FD">
        <w:rPr>
          <w:rFonts w:ascii="Times New Roman" w:hAnsi="Times New Roman" w:cs="Times New Roman"/>
          <w:sz w:val="20"/>
          <w:szCs w:val="20"/>
        </w:rPr>
        <w:t>outcome</w:t>
      </w:r>
      <w:r>
        <w:rPr>
          <w:rFonts w:ascii="Times New Roman" w:hAnsi="Times New Roman" w:cs="Times New Roman"/>
          <w:sz w:val="20"/>
          <w:szCs w:val="20"/>
        </w:rPr>
        <w:t xml:space="preserve"> in column</w:t>
      </w:r>
      <w:r w:rsidR="001A053F">
        <w:rPr>
          <w:rFonts w:ascii="Times New Roman" w:hAnsi="Times New Roman" w:cs="Times New Roman"/>
          <w:sz w:val="20"/>
          <w:szCs w:val="20"/>
        </w:rPr>
        <w:t>s</w:t>
      </w:r>
      <w:r>
        <w:rPr>
          <w:rFonts w:ascii="Times New Roman" w:hAnsi="Times New Roman" w:cs="Times New Roman"/>
          <w:sz w:val="20"/>
          <w:szCs w:val="20"/>
        </w:rPr>
        <w:t xml:space="preserve"> (1)</w:t>
      </w:r>
      <w:r w:rsidR="00166321">
        <w:rPr>
          <w:rFonts w:ascii="Times New Roman" w:hAnsi="Times New Roman" w:cs="Times New Roman"/>
          <w:sz w:val="20"/>
          <w:szCs w:val="20"/>
        </w:rPr>
        <w:t>–</w:t>
      </w:r>
      <w:r w:rsidR="001A053F">
        <w:rPr>
          <w:rFonts w:ascii="Times New Roman" w:hAnsi="Times New Roman" w:cs="Times New Roman"/>
          <w:sz w:val="20"/>
          <w:szCs w:val="20"/>
        </w:rPr>
        <w:t xml:space="preserve">(3) is </w:t>
      </w:r>
      <w:r w:rsidR="00CD30FD">
        <w:rPr>
          <w:rFonts w:ascii="Times New Roman" w:hAnsi="Times New Roman" w:cs="Times New Roman"/>
          <w:sz w:val="20"/>
          <w:szCs w:val="20"/>
        </w:rPr>
        <w:t xml:space="preserve">the log of </w:t>
      </w:r>
      <w:r w:rsidR="00770128">
        <w:rPr>
          <w:rFonts w:ascii="Times New Roman" w:hAnsi="Times New Roman" w:cs="Times New Roman"/>
          <w:sz w:val="20"/>
          <w:szCs w:val="20"/>
        </w:rPr>
        <w:t xml:space="preserve">future </w:t>
      </w:r>
      <w:r w:rsidR="004658E5">
        <w:rPr>
          <w:rFonts w:ascii="Times New Roman" w:hAnsi="Times New Roman" w:cs="Times New Roman"/>
          <w:sz w:val="20"/>
          <w:szCs w:val="20"/>
        </w:rPr>
        <w:t xml:space="preserve">stock </w:t>
      </w:r>
      <w:r w:rsidR="00770128">
        <w:rPr>
          <w:rFonts w:ascii="Times New Roman" w:hAnsi="Times New Roman" w:cs="Times New Roman"/>
          <w:sz w:val="20"/>
          <w:szCs w:val="20"/>
        </w:rPr>
        <w:t>return volatility</w:t>
      </w:r>
      <w:r w:rsidR="00E26C92">
        <w:rPr>
          <w:rFonts w:ascii="Times New Roman" w:hAnsi="Times New Roman" w:cs="Times New Roman"/>
          <w:sz w:val="20"/>
          <w:szCs w:val="20"/>
        </w:rPr>
        <w:t xml:space="preserve"> (</w:t>
      </w:r>
      <w:r w:rsidR="00E26C92" w:rsidRPr="00282BCE">
        <w:rPr>
          <w:rFonts w:ascii="Times New Roman" w:eastAsia="Times New Roman" w:hAnsi="Times New Roman" w:cs="Times New Roman"/>
          <w:color w:val="000000"/>
          <w:sz w:val="20"/>
          <w:szCs w:val="20"/>
          <w:lang w:eastAsia="en-CA"/>
        </w:rPr>
        <w:t>σ</w:t>
      </w:r>
      <w:r w:rsidR="00E26C92">
        <w:rPr>
          <w:rFonts w:ascii="Times New Roman" w:eastAsia="Times New Roman" w:hAnsi="Times New Roman" w:cs="Times New Roman"/>
          <w:color w:val="000000"/>
          <w:sz w:val="20"/>
          <w:szCs w:val="20"/>
          <w:vertAlign w:val="superscript"/>
          <w:lang w:val="en-GB" w:eastAsia="en-GB"/>
        </w:rPr>
        <w:t xml:space="preserve"> </w:t>
      </w:r>
      <w:r w:rsidR="00E26C92" w:rsidRPr="00A25C55">
        <w:rPr>
          <w:rFonts w:ascii="Times New Roman" w:eastAsia="Times New Roman" w:hAnsi="Times New Roman" w:cs="Times New Roman"/>
          <w:color w:val="000000"/>
          <w:sz w:val="20"/>
          <w:szCs w:val="20"/>
          <w:lang w:val="en-GB" w:eastAsia="en-GB"/>
        </w:rPr>
        <w:t>(R</w:t>
      </w:r>
      <w:r w:rsidR="00FC0398">
        <w:rPr>
          <w:rFonts w:ascii="Times New Roman" w:eastAsia="Times New Roman" w:hAnsi="Times New Roman" w:cs="Times New Roman"/>
          <w:color w:val="000000"/>
          <w:sz w:val="20"/>
          <w:szCs w:val="20"/>
          <w:lang w:val="en-GB" w:eastAsia="en-GB"/>
        </w:rPr>
        <w:t>eturns</w:t>
      </w:r>
      <w:r w:rsidR="00E26C92" w:rsidRPr="00A25C55">
        <w:rPr>
          <w:rFonts w:ascii="Times New Roman" w:eastAsia="Times New Roman" w:hAnsi="Times New Roman" w:cs="Times New Roman"/>
          <w:color w:val="000000"/>
          <w:sz w:val="20"/>
          <w:szCs w:val="20"/>
          <w:lang w:val="en-GB" w:eastAsia="en-GB"/>
        </w:rPr>
        <w:t>)</w:t>
      </w:r>
      <w:r w:rsidR="00E26C92" w:rsidRPr="00A25C55">
        <w:rPr>
          <w:rFonts w:ascii="Times New Roman" w:eastAsia="Times New Roman" w:hAnsi="Times New Roman" w:cs="Times New Roman"/>
          <w:color w:val="000000"/>
          <w:sz w:val="20"/>
          <w:szCs w:val="20"/>
          <w:vertAlign w:val="superscript"/>
          <w:lang w:val="en-GB" w:eastAsia="en-GB"/>
        </w:rPr>
        <w:t>P</w:t>
      </w:r>
      <w:r w:rsidR="00E26C92">
        <w:rPr>
          <w:rFonts w:ascii="Times New Roman" w:eastAsia="Times New Roman" w:hAnsi="Times New Roman" w:cs="Times New Roman"/>
          <w:color w:val="000000"/>
          <w:sz w:val="20"/>
          <w:szCs w:val="20"/>
          <w:vertAlign w:val="superscript"/>
          <w:lang w:val="en-GB" w:eastAsia="en-GB"/>
        </w:rPr>
        <w:t>OST</w:t>
      </w:r>
      <w:r w:rsidR="00E26C92" w:rsidRPr="00E26C92">
        <w:rPr>
          <w:rFonts w:ascii="Times New Roman" w:eastAsia="Times New Roman" w:hAnsi="Times New Roman" w:cs="Times New Roman"/>
          <w:color w:val="000000"/>
          <w:sz w:val="20"/>
          <w:szCs w:val="20"/>
          <w:lang w:val="en-GB" w:eastAsia="en-GB"/>
        </w:rPr>
        <w:t>)</w:t>
      </w:r>
      <w:r w:rsidR="00CD30FD">
        <w:rPr>
          <w:rFonts w:ascii="Times New Roman" w:hAnsi="Times New Roman" w:cs="Times New Roman"/>
          <w:sz w:val="20"/>
          <w:szCs w:val="20"/>
        </w:rPr>
        <w:t xml:space="preserve">. </w:t>
      </w:r>
      <w:r w:rsidR="000B6378">
        <w:rPr>
          <w:rFonts w:ascii="Times New Roman" w:hAnsi="Times New Roman" w:cs="Times New Roman"/>
          <w:sz w:val="20"/>
          <w:szCs w:val="20"/>
        </w:rPr>
        <w:t>The outcome in columns (4)</w:t>
      </w:r>
      <w:r w:rsidR="00166321">
        <w:rPr>
          <w:rFonts w:ascii="Times New Roman" w:hAnsi="Times New Roman" w:cs="Times New Roman"/>
          <w:sz w:val="20"/>
          <w:szCs w:val="20"/>
        </w:rPr>
        <w:t>–</w:t>
      </w:r>
      <w:r w:rsidR="000B6378">
        <w:rPr>
          <w:rFonts w:ascii="Times New Roman" w:hAnsi="Times New Roman" w:cs="Times New Roman"/>
          <w:sz w:val="20"/>
          <w:szCs w:val="20"/>
        </w:rPr>
        <w:t>(6) is the log of</w:t>
      </w:r>
      <w:r w:rsidR="0006103A">
        <w:rPr>
          <w:rFonts w:ascii="Times New Roman" w:hAnsi="Times New Roman" w:cs="Times New Roman"/>
          <w:sz w:val="20"/>
          <w:szCs w:val="20"/>
        </w:rPr>
        <w:t xml:space="preserve"> </w:t>
      </w:r>
      <w:r w:rsidR="00E3747F">
        <w:rPr>
          <w:rFonts w:ascii="Times New Roman" w:eastAsia="Calibri" w:hAnsi="Times New Roman" w:cs="Times New Roman"/>
          <w:sz w:val="20"/>
          <w:szCs w:val="20"/>
        </w:rPr>
        <w:t>option-implied volatility</w:t>
      </w:r>
      <w:r w:rsidR="00013C6E">
        <w:rPr>
          <w:rFonts w:ascii="Times New Roman" w:eastAsia="Calibri" w:hAnsi="Times New Roman" w:cs="Times New Roman"/>
          <w:sz w:val="20"/>
          <w:szCs w:val="20"/>
        </w:rPr>
        <w:t xml:space="preserve"> (</w:t>
      </w:r>
      <w:r w:rsidR="00013C6E" w:rsidRPr="00282BCE">
        <w:rPr>
          <w:rFonts w:ascii="Times New Roman" w:eastAsia="Times New Roman" w:hAnsi="Times New Roman" w:cs="Times New Roman"/>
          <w:color w:val="000000"/>
          <w:sz w:val="20"/>
          <w:szCs w:val="20"/>
          <w:lang w:eastAsia="en-CA"/>
        </w:rPr>
        <w:t>σ</w:t>
      </w:r>
      <w:r w:rsidR="00013C6E">
        <w:rPr>
          <w:rFonts w:ascii="Times New Roman" w:eastAsia="Times New Roman" w:hAnsi="Times New Roman" w:cs="Times New Roman"/>
          <w:color w:val="000000"/>
          <w:sz w:val="20"/>
          <w:szCs w:val="20"/>
          <w:lang w:val="en-GB" w:eastAsia="en-GB"/>
        </w:rPr>
        <w:t>(implied))</w:t>
      </w:r>
      <w:r w:rsidR="0006103A">
        <w:rPr>
          <w:rFonts w:ascii="Times New Roman" w:hAnsi="Times New Roman" w:cs="Times New Roman"/>
          <w:sz w:val="20"/>
          <w:szCs w:val="20"/>
        </w:rPr>
        <w:t>. The outcome in columns (7)</w:t>
      </w:r>
      <w:r w:rsidR="00166321">
        <w:rPr>
          <w:rFonts w:ascii="Times New Roman" w:hAnsi="Times New Roman" w:cs="Times New Roman"/>
          <w:sz w:val="20"/>
          <w:szCs w:val="20"/>
        </w:rPr>
        <w:t>–</w:t>
      </w:r>
      <w:r w:rsidR="0006103A">
        <w:rPr>
          <w:rFonts w:ascii="Times New Roman" w:hAnsi="Times New Roman" w:cs="Times New Roman"/>
          <w:sz w:val="20"/>
          <w:szCs w:val="20"/>
        </w:rPr>
        <w:t xml:space="preserve">(9) </w:t>
      </w:r>
      <w:r w:rsidR="00971632">
        <w:rPr>
          <w:rFonts w:ascii="Times New Roman" w:hAnsi="Times New Roman" w:cs="Times New Roman"/>
          <w:sz w:val="20"/>
          <w:szCs w:val="20"/>
        </w:rPr>
        <w:t xml:space="preserve">is the log of </w:t>
      </w:r>
      <w:r w:rsidR="004658E5">
        <w:rPr>
          <w:rFonts w:ascii="Times New Roman" w:hAnsi="Times New Roman" w:cs="Times New Roman"/>
          <w:sz w:val="20"/>
          <w:szCs w:val="20"/>
        </w:rPr>
        <w:t>one plus</w:t>
      </w:r>
      <w:r w:rsidR="00971632">
        <w:rPr>
          <w:rFonts w:ascii="Times New Roman" w:hAnsi="Times New Roman" w:cs="Times New Roman"/>
          <w:sz w:val="20"/>
          <w:szCs w:val="20"/>
        </w:rPr>
        <w:t xml:space="preserve"> </w:t>
      </w:r>
      <w:r w:rsidR="004658E5">
        <w:rPr>
          <w:rFonts w:ascii="Times New Roman" w:hAnsi="Times New Roman" w:cs="Times New Roman"/>
          <w:sz w:val="20"/>
          <w:szCs w:val="20"/>
        </w:rPr>
        <w:t xml:space="preserve">the </w:t>
      </w:r>
      <w:r w:rsidR="00747621">
        <w:rPr>
          <w:rFonts w:ascii="Times New Roman" w:hAnsi="Times New Roman" w:cs="Times New Roman"/>
          <w:sz w:val="20"/>
          <w:szCs w:val="20"/>
        </w:rPr>
        <w:t xml:space="preserve">dispersion of </w:t>
      </w:r>
      <w:r w:rsidR="00971632">
        <w:rPr>
          <w:rFonts w:ascii="Times New Roman" w:hAnsi="Times New Roman" w:cs="Times New Roman"/>
          <w:sz w:val="20"/>
          <w:szCs w:val="20"/>
        </w:rPr>
        <w:t>analysts’ target price</w:t>
      </w:r>
      <w:r w:rsidR="00E934FE">
        <w:rPr>
          <w:rFonts w:ascii="Times New Roman" w:hAnsi="Times New Roman" w:cs="Times New Roman"/>
          <w:sz w:val="20"/>
          <w:szCs w:val="20"/>
        </w:rPr>
        <w:t>s</w:t>
      </w:r>
      <w:r w:rsidR="00013C6E">
        <w:rPr>
          <w:rFonts w:ascii="Times New Roman" w:hAnsi="Times New Roman" w:cs="Times New Roman"/>
          <w:sz w:val="20"/>
          <w:szCs w:val="20"/>
        </w:rPr>
        <w:t xml:space="preserve"> (</w:t>
      </w:r>
      <w:r w:rsidR="00013C6E" w:rsidRPr="00282BCE">
        <w:rPr>
          <w:rFonts w:ascii="Times New Roman" w:eastAsia="Times New Roman" w:hAnsi="Times New Roman" w:cs="Times New Roman"/>
          <w:color w:val="000000"/>
          <w:sz w:val="20"/>
          <w:szCs w:val="20"/>
          <w:lang w:eastAsia="en-CA"/>
        </w:rPr>
        <w:t>σ</w:t>
      </w:r>
      <w:r w:rsidR="00013C6E">
        <w:rPr>
          <w:rFonts w:ascii="Times New Roman" w:eastAsia="Times New Roman" w:hAnsi="Times New Roman" w:cs="Times New Roman"/>
          <w:color w:val="000000"/>
          <w:sz w:val="20"/>
          <w:szCs w:val="20"/>
          <w:lang w:val="en-GB" w:eastAsia="en-GB"/>
        </w:rPr>
        <w:t>(TP))</w:t>
      </w:r>
      <w:r w:rsidR="00662324">
        <w:rPr>
          <w:rFonts w:ascii="Times New Roman" w:hAnsi="Times New Roman" w:cs="Times New Roman"/>
          <w:sz w:val="20"/>
          <w:szCs w:val="20"/>
        </w:rPr>
        <w:t>.</w:t>
      </w:r>
      <w:r w:rsidR="00CD6E49">
        <w:rPr>
          <w:rFonts w:ascii="Times New Roman" w:hAnsi="Times New Roman" w:cs="Times New Roman"/>
          <w:sz w:val="20"/>
          <w:szCs w:val="20"/>
        </w:rPr>
        <w:t xml:space="preserve"> Panel B reports regressions using measures of cash flow uncertainty. The outcome in columns (1)</w:t>
      </w:r>
      <w:r w:rsidR="00166321">
        <w:rPr>
          <w:rFonts w:ascii="Times New Roman" w:hAnsi="Times New Roman" w:cs="Times New Roman"/>
          <w:sz w:val="20"/>
          <w:szCs w:val="20"/>
        </w:rPr>
        <w:t>–</w:t>
      </w:r>
      <w:r w:rsidR="00CD6E49">
        <w:rPr>
          <w:rFonts w:ascii="Times New Roman" w:hAnsi="Times New Roman" w:cs="Times New Roman"/>
          <w:sz w:val="20"/>
          <w:szCs w:val="20"/>
        </w:rPr>
        <w:t>(3) is the log of future ROA volatility</w:t>
      </w:r>
      <w:r w:rsidR="00F2330A">
        <w:rPr>
          <w:rFonts w:ascii="Times New Roman" w:hAnsi="Times New Roman" w:cs="Times New Roman"/>
          <w:sz w:val="20"/>
          <w:szCs w:val="20"/>
        </w:rPr>
        <w:t xml:space="preserve"> (</w:t>
      </w:r>
      <w:r w:rsidR="00F2330A" w:rsidRPr="00282BCE">
        <w:rPr>
          <w:rFonts w:ascii="Times New Roman" w:eastAsia="Times New Roman" w:hAnsi="Times New Roman" w:cs="Times New Roman"/>
          <w:color w:val="000000"/>
          <w:sz w:val="20"/>
          <w:szCs w:val="20"/>
          <w:lang w:eastAsia="en-CA"/>
        </w:rPr>
        <w:t>σ</w:t>
      </w:r>
      <w:r w:rsidR="00F2330A" w:rsidRPr="00A25C55">
        <w:rPr>
          <w:rFonts w:ascii="Times New Roman" w:eastAsia="Times New Roman" w:hAnsi="Times New Roman" w:cs="Times New Roman"/>
          <w:color w:val="000000"/>
          <w:sz w:val="20"/>
          <w:szCs w:val="20"/>
          <w:lang w:val="en-GB" w:eastAsia="en-GB"/>
        </w:rPr>
        <w:t>(R</w:t>
      </w:r>
      <w:r w:rsidR="00F2330A">
        <w:rPr>
          <w:rFonts w:ascii="Times New Roman" w:eastAsia="Times New Roman" w:hAnsi="Times New Roman" w:cs="Times New Roman"/>
          <w:color w:val="000000"/>
          <w:sz w:val="20"/>
          <w:szCs w:val="20"/>
          <w:lang w:val="en-GB" w:eastAsia="en-GB"/>
        </w:rPr>
        <w:t>OA</w:t>
      </w:r>
      <w:r w:rsidR="00F2330A" w:rsidRPr="00A25C55">
        <w:rPr>
          <w:rFonts w:ascii="Times New Roman" w:eastAsia="Times New Roman" w:hAnsi="Times New Roman" w:cs="Times New Roman"/>
          <w:color w:val="000000"/>
          <w:sz w:val="20"/>
          <w:szCs w:val="20"/>
          <w:lang w:val="en-GB" w:eastAsia="en-GB"/>
        </w:rPr>
        <w:t>)</w:t>
      </w:r>
      <w:r w:rsidR="00F2330A" w:rsidRPr="00A25C55">
        <w:rPr>
          <w:rFonts w:ascii="Times New Roman" w:eastAsia="Times New Roman" w:hAnsi="Times New Roman" w:cs="Times New Roman"/>
          <w:color w:val="000000"/>
          <w:sz w:val="20"/>
          <w:szCs w:val="20"/>
          <w:vertAlign w:val="superscript"/>
          <w:lang w:val="en-GB" w:eastAsia="en-GB"/>
        </w:rPr>
        <w:t>P</w:t>
      </w:r>
      <w:r w:rsidR="00F2330A">
        <w:rPr>
          <w:rFonts w:ascii="Times New Roman" w:eastAsia="Times New Roman" w:hAnsi="Times New Roman" w:cs="Times New Roman"/>
          <w:color w:val="000000"/>
          <w:sz w:val="20"/>
          <w:szCs w:val="20"/>
          <w:vertAlign w:val="superscript"/>
          <w:lang w:val="en-GB" w:eastAsia="en-GB"/>
        </w:rPr>
        <w:t>OST</w:t>
      </w:r>
      <w:r w:rsidR="00F2330A" w:rsidRPr="00E26C92">
        <w:rPr>
          <w:rFonts w:ascii="Times New Roman" w:eastAsia="Times New Roman" w:hAnsi="Times New Roman" w:cs="Times New Roman"/>
          <w:color w:val="000000"/>
          <w:sz w:val="20"/>
          <w:szCs w:val="20"/>
          <w:lang w:val="en-GB" w:eastAsia="en-GB"/>
        </w:rPr>
        <w:t>)</w:t>
      </w:r>
      <w:r w:rsidR="00CD6E49">
        <w:rPr>
          <w:rFonts w:ascii="Times New Roman" w:hAnsi="Times New Roman" w:cs="Times New Roman"/>
          <w:sz w:val="20"/>
          <w:szCs w:val="20"/>
        </w:rPr>
        <w:t>. The outcome in columns (4)</w:t>
      </w:r>
      <w:r w:rsidR="00166321">
        <w:rPr>
          <w:rFonts w:ascii="Times New Roman" w:hAnsi="Times New Roman" w:cs="Times New Roman"/>
          <w:sz w:val="20"/>
          <w:szCs w:val="20"/>
        </w:rPr>
        <w:t>–</w:t>
      </w:r>
      <w:r w:rsidR="00CD6E49">
        <w:rPr>
          <w:rFonts w:ascii="Times New Roman" w:hAnsi="Times New Roman" w:cs="Times New Roman"/>
          <w:sz w:val="20"/>
          <w:szCs w:val="20"/>
        </w:rPr>
        <w:t>(6) is the log</w:t>
      </w:r>
      <w:r w:rsidR="00166321">
        <w:rPr>
          <w:rFonts w:ascii="Times New Roman" w:hAnsi="Times New Roman" w:cs="Times New Roman"/>
          <w:sz w:val="20"/>
          <w:szCs w:val="20"/>
        </w:rPr>
        <w:t xml:space="preserve"> of future</w:t>
      </w:r>
      <w:r w:rsidR="00CD6E49">
        <w:rPr>
          <w:rFonts w:ascii="Times New Roman" w:hAnsi="Times New Roman" w:cs="Times New Roman"/>
          <w:sz w:val="20"/>
          <w:szCs w:val="20"/>
        </w:rPr>
        <w:t xml:space="preserve"> cash flow news</w:t>
      </w:r>
      <w:r w:rsidR="00825371">
        <w:rPr>
          <w:rFonts w:ascii="Times New Roman" w:hAnsi="Times New Roman" w:cs="Times New Roman"/>
          <w:sz w:val="20"/>
          <w:szCs w:val="20"/>
        </w:rPr>
        <w:t xml:space="preserve"> volatility</w:t>
      </w:r>
      <w:r w:rsidR="00CD6E49">
        <w:rPr>
          <w:rFonts w:ascii="Times New Roman" w:hAnsi="Times New Roman" w:cs="Times New Roman"/>
          <w:sz w:val="20"/>
          <w:szCs w:val="20"/>
        </w:rPr>
        <w:t xml:space="preserve"> </w:t>
      </w:r>
      <w:r w:rsidR="001E46A8">
        <w:rPr>
          <w:rFonts w:ascii="Times New Roman" w:eastAsia="Times New Roman" w:hAnsi="Times New Roman" w:cs="Times New Roman"/>
          <w:color w:val="000000"/>
          <w:sz w:val="20"/>
          <w:szCs w:val="20"/>
          <w:lang w:val="en-GB" w:eastAsia="en-GB"/>
        </w:rPr>
        <w:t>(</w:t>
      </w:r>
      <w:r w:rsidR="001E46A8" w:rsidRPr="00282BCE">
        <w:rPr>
          <w:rFonts w:ascii="Times New Roman" w:eastAsia="Times New Roman" w:hAnsi="Times New Roman" w:cs="Times New Roman"/>
          <w:color w:val="000000"/>
          <w:sz w:val="20"/>
          <w:szCs w:val="20"/>
          <w:lang w:eastAsia="en-CA"/>
        </w:rPr>
        <w:t>σ</w:t>
      </w:r>
      <w:r w:rsidR="001E46A8" w:rsidRPr="00A25C55">
        <w:rPr>
          <w:rFonts w:ascii="Times New Roman" w:eastAsia="Times New Roman" w:hAnsi="Times New Roman" w:cs="Times New Roman"/>
          <w:color w:val="000000"/>
          <w:sz w:val="20"/>
          <w:szCs w:val="20"/>
          <w:lang w:val="en-GB" w:eastAsia="en-GB"/>
        </w:rPr>
        <w:t>(</w:t>
      </w:r>
      <w:r w:rsidR="001E46A8">
        <w:rPr>
          <w:rFonts w:ascii="Times New Roman" w:eastAsia="Times New Roman" w:hAnsi="Times New Roman" w:cs="Times New Roman"/>
          <w:color w:val="000000"/>
          <w:sz w:val="20"/>
          <w:szCs w:val="20"/>
          <w:lang w:val="en-GB" w:eastAsia="en-GB"/>
        </w:rPr>
        <w:t>CF News</w:t>
      </w:r>
      <w:r w:rsidR="001E46A8" w:rsidRPr="00A25C55">
        <w:rPr>
          <w:rFonts w:ascii="Times New Roman" w:eastAsia="Times New Roman" w:hAnsi="Times New Roman" w:cs="Times New Roman"/>
          <w:color w:val="000000"/>
          <w:sz w:val="20"/>
          <w:szCs w:val="20"/>
          <w:lang w:val="en-GB" w:eastAsia="en-GB"/>
        </w:rPr>
        <w:t>)</w:t>
      </w:r>
      <w:r w:rsidR="001E46A8" w:rsidRPr="00FD7E89">
        <w:rPr>
          <w:rFonts w:ascii="Times New Roman" w:eastAsia="Times New Roman" w:hAnsi="Times New Roman" w:cs="Times New Roman"/>
          <w:color w:val="000000"/>
          <w:sz w:val="20"/>
          <w:szCs w:val="20"/>
          <w:vertAlign w:val="superscript"/>
          <w:lang w:val="en-GB" w:eastAsia="en-GB"/>
        </w:rPr>
        <w:t>POST</w:t>
      </w:r>
      <w:r w:rsidR="001E46A8" w:rsidRPr="00FD7E89">
        <w:rPr>
          <w:rFonts w:ascii="Times New Roman" w:eastAsia="Times New Roman" w:hAnsi="Times New Roman" w:cs="Times New Roman"/>
          <w:color w:val="000000"/>
          <w:sz w:val="20"/>
          <w:szCs w:val="20"/>
          <w:lang w:val="en-GB" w:eastAsia="en-GB"/>
        </w:rPr>
        <w:t>)</w:t>
      </w:r>
      <w:r w:rsidR="00CD6E49">
        <w:rPr>
          <w:rFonts w:ascii="Times New Roman" w:hAnsi="Times New Roman" w:cs="Times New Roman"/>
          <w:sz w:val="20"/>
          <w:szCs w:val="20"/>
        </w:rPr>
        <w:t xml:space="preserve">, where cash flow news is constructed </w:t>
      </w:r>
      <w:r w:rsidR="00EF17B1">
        <w:rPr>
          <w:rFonts w:ascii="Times New Roman" w:hAnsi="Times New Roman" w:cs="Times New Roman"/>
          <w:sz w:val="20"/>
          <w:szCs w:val="20"/>
        </w:rPr>
        <w:t xml:space="preserve">in the spirit of </w:t>
      </w:r>
      <w:r w:rsidR="00CD6E49">
        <w:rPr>
          <w:rFonts w:ascii="Times New Roman" w:hAnsi="Times New Roman" w:cs="Times New Roman"/>
          <w:sz w:val="20"/>
          <w:szCs w:val="20"/>
        </w:rPr>
        <w:t xml:space="preserve">Da and </w:t>
      </w:r>
      <w:proofErr w:type="spellStart"/>
      <w:r w:rsidR="00CD6E49">
        <w:rPr>
          <w:rFonts w:ascii="Times New Roman" w:hAnsi="Times New Roman" w:cs="Times New Roman"/>
          <w:sz w:val="20"/>
          <w:szCs w:val="20"/>
        </w:rPr>
        <w:t>Warachka</w:t>
      </w:r>
      <w:proofErr w:type="spellEnd"/>
      <w:r w:rsidR="00CD6E49">
        <w:rPr>
          <w:rFonts w:ascii="Times New Roman" w:hAnsi="Times New Roman" w:cs="Times New Roman"/>
          <w:sz w:val="20"/>
          <w:szCs w:val="20"/>
        </w:rPr>
        <w:t xml:space="preserve"> (2009). The outcome in columns (7)</w:t>
      </w:r>
      <w:r w:rsidR="00166321">
        <w:rPr>
          <w:rFonts w:ascii="Times New Roman" w:hAnsi="Times New Roman" w:cs="Times New Roman"/>
          <w:sz w:val="20"/>
          <w:szCs w:val="20"/>
        </w:rPr>
        <w:t>–</w:t>
      </w:r>
      <w:r w:rsidR="00CD6E49">
        <w:rPr>
          <w:rFonts w:ascii="Times New Roman" w:hAnsi="Times New Roman" w:cs="Times New Roman"/>
          <w:sz w:val="20"/>
          <w:szCs w:val="20"/>
        </w:rPr>
        <w:t xml:space="preserve">(9) is the log </w:t>
      </w:r>
      <w:r w:rsidR="001D0B30">
        <w:rPr>
          <w:rFonts w:ascii="Times New Roman" w:hAnsi="Times New Roman" w:cs="Times New Roman"/>
          <w:sz w:val="20"/>
          <w:szCs w:val="20"/>
        </w:rPr>
        <w:t xml:space="preserve">of one plus </w:t>
      </w:r>
      <w:r w:rsidR="000964B0">
        <w:rPr>
          <w:rFonts w:ascii="Times New Roman" w:hAnsi="Times New Roman" w:cs="Times New Roman"/>
          <w:sz w:val="20"/>
          <w:szCs w:val="20"/>
        </w:rPr>
        <w:t>dispersion</w:t>
      </w:r>
      <w:r w:rsidR="001D0B30">
        <w:rPr>
          <w:rFonts w:ascii="Times New Roman" w:hAnsi="Times New Roman" w:cs="Times New Roman"/>
          <w:sz w:val="20"/>
          <w:szCs w:val="20"/>
        </w:rPr>
        <w:t xml:space="preserve"> of analysts</w:t>
      </w:r>
      <w:r w:rsidR="00DD6062">
        <w:rPr>
          <w:rFonts w:ascii="Times New Roman" w:hAnsi="Times New Roman" w:cs="Times New Roman"/>
          <w:sz w:val="20"/>
          <w:szCs w:val="20"/>
        </w:rPr>
        <w:t>’</w:t>
      </w:r>
      <w:r w:rsidR="001D0B30">
        <w:rPr>
          <w:rFonts w:ascii="Times New Roman" w:hAnsi="Times New Roman" w:cs="Times New Roman"/>
          <w:sz w:val="20"/>
          <w:szCs w:val="20"/>
        </w:rPr>
        <w:t xml:space="preserve"> one-year ahead earnings forecasts</w:t>
      </w:r>
      <w:r w:rsidR="000964B0">
        <w:rPr>
          <w:rFonts w:ascii="Times New Roman" w:hAnsi="Times New Roman" w:cs="Times New Roman"/>
          <w:sz w:val="20"/>
          <w:szCs w:val="20"/>
        </w:rPr>
        <w:t xml:space="preserve"> (</w:t>
      </w:r>
      <w:r w:rsidR="000964B0" w:rsidRPr="00282BCE">
        <w:rPr>
          <w:rFonts w:ascii="Times New Roman" w:eastAsia="Times New Roman" w:hAnsi="Times New Roman" w:cs="Times New Roman"/>
          <w:color w:val="000000"/>
          <w:sz w:val="20"/>
          <w:szCs w:val="20"/>
          <w:lang w:eastAsia="en-CA"/>
        </w:rPr>
        <w:t>σ</w:t>
      </w:r>
      <w:r w:rsidR="000964B0">
        <w:rPr>
          <w:rFonts w:ascii="Times New Roman" w:eastAsia="Times New Roman" w:hAnsi="Times New Roman" w:cs="Times New Roman"/>
          <w:color w:val="000000"/>
          <w:sz w:val="20"/>
          <w:szCs w:val="20"/>
          <w:vertAlign w:val="superscript"/>
          <w:lang w:val="en-GB" w:eastAsia="en-GB"/>
        </w:rPr>
        <w:t xml:space="preserve"> </w:t>
      </w:r>
      <w:r w:rsidR="000964B0" w:rsidRPr="00A25C55">
        <w:rPr>
          <w:rFonts w:ascii="Times New Roman" w:eastAsia="Times New Roman" w:hAnsi="Times New Roman" w:cs="Times New Roman"/>
          <w:color w:val="000000"/>
          <w:sz w:val="20"/>
          <w:szCs w:val="20"/>
          <w:lang w:val="en-GB" w:eastAsia="en-GB"/>
        </w:rPr>
        <w:t>(</w:t>
      </w:r>
      <w:r w:rsidR="000964B0">
        <w:rPr>
          <w:rFonts w:ascii="Times New Roman" w:eastAsia="Times New Roman" w:hAnsi="Times New Roman" w:cs="Times New Roman"/>
          <w:color w:val="000000"/>
          <w:sz w:val="20"/>
          <w:szCs w:val="20"/>
          <w:lang w:val="en-GB" w:eastAsia="en-GB"/>
        </w:rPr>
        <w:t>E[</w:t>
      </w:r>
      <w:r w:rsidR="000964B0" w:rsidRPr="00FD7E89">
        <w:rPr>
          <w:rFonts w:ascii="Times New Roman" w:eastAsia="Times New Roman" w:hAnsi="Times New Roman" w:cs="Times New Roman"/>
          <w:color w:val="000000"/>
          <w:sz w:val="20"/>
          <w:szCs w:val="20"/>
          <w:lang w:val="en-GB" w:eastAsia="en-GB"/>
        </w:rPr>
        <w:t>EPS</w:t>
      </w:r>
      <w:r w:rsidR="000964B0">
        <w:rPr>
          <w:rFonts w:ascii="Times New Roman" w:eastAsia="Times New Roman" w:hAnsi="Times New Roman" w:cs="Times New Roman"/>
          <w:color w:val="000000"/>
          <w:sz w:val="20"/>
          <w:szCs w:val="20"/>
          <w:lang w:val="en-GB" w:eastAsia="en-GB"/>
        </w:rPr>
        <w:t>]))</w:t>
      </w:r>
      <w:r w:rsidR="001D0B30">
        <w:rPr>
          <w:rFonts w:ascii="Times New Roman" w:hAnsi="Times New Roman" w:cs="Times New Roman"/>
          <w:sz w:val="20"/>
          <w:szCs w:val="20"/>
        </w:rPr>
        <w:t>. Panel C reports regressions using measures of growth rate and discount rate uncertainty. The outcome in columns (1)</w:t>
      </w:r>
      <w:r w:rsidR="00166321">
        <w:rPr>
          <w:rFonts w:ascii="Times New Roman" w:hAnsi="Times New Roman" w:cs="Times New Roman"/>
          <w:sz w:val="20"/>
          <w:szCs w:val="20"/>
        </w:rPr>
        <w:t>–</w:t>
      </w:r>
      <w:r w:rsidR="001D0B30">
        <w:rPr>
          <w:rFonts w:ascii="Times New Roman" w:hAnsi="Times New Roman" w:cs="Times New Roman"/>
          <w:sz w:val="20"/>
          <w:szCs w:val="20"/>
        </w:rPr>
        <w:t>(3) is the log of</w:t>
      </w:r>
      <w:r w:rsidR="00DD6062">
        <w:rPr>
          <w:rFonts w:ascii="Times New Roman" w:hAnsi="Times New Roman" w:cs="Times New Roman"/>
          <w:sz w:val="20"/>
          <w:szCs w:val="20"/>
        </w:rPr>
        <w:t xml:space="preserve"> one plus the standard deviation of analysts’ long-term growth forecasts</w:t>
      </w:r>
      <w:r w:rsidR="000527DE">
        <w:rPr>
          <w:rFonts w:ascii="Times New Roman" w:hAnsi="Times New Roman" w:cs="Times New Roman"/>
          <w:sz w:val="20"/>
          <w:szCs w:val="20"/>
        </w:rPr>
        <w:t xml:space="preserve"> (</w:t>
      </w:r>
      <w:r w:rsidR="000527DE" w:rsidRPr="00282BCE">
        <w:rPr>
          <w:rFonts w:ascii="Times New Roman" w:eastAsia="Times New Roman" w:hAnsi="Times New Roman" w:cs="Times New Roman"/>
          <w:color w:val="000000"/>
          <w:sz w:val="20"/>
          <w:szCs w:val="20"/>
          <w:lang w:eastAsia="en-CA"/>
        </w:rPr>
        <w:t>σ</w:t>
      </w:r>
      <w:r w:rsidR="000527DE" w:rsidRPr="00A25C55">
        <w:rPr>
          <w:rFonts w:ascii="Times New Roman" w:eastAsia="Times New Roman" w:hAnsi="Times New Roman" w:cs="Times New Roman"/>
          <w:color w:val="000000"/>
          <w:sz w:val="20"/>
          <w:szCs w:val="20"/>
          <w:lang w:val="en-GB" w:eastAsia="en-GB"/>
        </w:rPr>
        <w:t>(</w:t>
      </w:r>
      <w:r w:rsidR="000527DE">
        <w:rPr>
          <w:rFonts w:ascii="Times New Roman" w:eastAsia="Times New Roman" w:hAnsi="Times New Roman" w:cs="Times New Roman"/>
          <w:color w:val="000000"/>
          <w:sz w:val="20"/>
          <w:szCs w:val="20"/>
          <w:lang w:val="en-GB" w:eastAsia="en-GB"/>
        </w:rPr>
        <w:t>E[LTG]))</w:t>
      </w:r>
      <w:r w:rsidR="00832155">
        <w:rPr>
          <w:rFonts w:ascii="Times New Roman" w:hAnsi="Times New Roman" w:cs="Times New Roman"/>
          <w:sz w:val="20"/>
          <w:szCs w:val="20"/>
        </w:rPr>
        <w:t>. The outcome in columns (4)</w:t>
      </w:r>
      <w:r w:rsidR="00166321">
        <w:rPr>
          <w:rFonts w:ascii="Times New Roman" w:hAnsi="Times New Roman" w:cs="Times New Roman"/>
          <w:sz w:val="20"/>
          <w:szCs w:val="20"/>
        </w:rPr>
        <w:t>–</w:t>
      </w:r>
      <w:r w:rsidR="00832155">
        <w:rPr>
          <w:rFonts w:ascii="Times New Roman" w:hAnsi="Times New Roman" w:cs="Times New Roman"/>
          <w:sz w:val="20"/>
          <w:szCs w:val="20"/>
        </w:rPr>
        <w:t xml:space="preserve">(6) is the log of </w:t>
      </w:r>
      <w:r w:rsidR="00987236">
        <w:rPr>
          <w:rFonts w:ascii="Times New Roman" w:hAnsi="Times New Roman" w:cs="Times New Roman"/>
          <w:sz w:val="20"/>
          <w:szCs w:val="20"/>
        </w:rPr>
        <w:t>the volatility of</w:t>
      </w:r>
      <w:r w:rsidR="00166321">
        <w:rPr>
          <w:rFonts w:ascii="Times New Roman" w:hAnsi="Times New Roman" w:cs="Times New Roman"/>
          <w:sz w:val="20"/>
          <w:szCs w:val="20"/>
        </w:rPr>
        <w:t xml:space="preserve"> future</w:t>
      </w:r>
      <w:r w:rsidR="00987236">
        <w:rPr>
          <w:rFonts w:ascii="Times New Roman" w:hAnsi="Times New Roman" w:cs="Times New Roman"/>
          <w:sz w:val="20"/>
          <w:szCs w:val="20"/>
        </w:rPr>
        <w:t xml:space="preserve"> market</w:t>
      </w:r>
      <w:r w:rsidR="00166321">
        <w:rPr>
          <w:rFonts w:ascii="Times New Roman" w:hAnsi="Times New Roman" w:cs="Times New Roman"/>
          <w:sz w:val="20"/>
          <w:szCs w:val="20"/>
        </w:rPr>
        <w:t xml:space="preserve"> betas</w:t>
      </w:r>
      <w:r w:rsidR="00987236">
        <w:rPr>
          <w:rFonts w:ascii="Times New Roman" w:hAnsi="Times New Roman" w:cs="Times New Roman"/>
          <w:sz w:val="20"/>
          <w:szCs w:val="20"/>
        </w:rPr>
        <w:t xml:space="preserve"> </w:t>
      </w:r>
      <w:r w:rsidR="008742E2">
        <w:rPr>
          <w:rFonts w:ascii="Times New Roman" w:hAnsi="Times New Roman" w:cs="Times New Roman"/>
          <w:sz w:val="20"/>
          <w:szCs w:val="20"/>
        </w:rPr>
        <w:t>(</w:t>
      </w:r>
      <w:r w:rsidR="008742E2" w:rsidRPr="00282BCE">
        <w:rPr>
          <w:rFonts w:ascii="Times New Roman" w:eastAsia="Times New Roman" w:hAnsi="Times New Roman" w:cs="Times New Roman"/>
          <w:color w:val="000000"/>
          <w:sz w:val="20"/>
          <w:szCs w:val="20"/>
          <w:lang w:eastAsia="en-CA"/>
        </w:rPr>
        <w:t>σ</w:t>
      </w:r>
      <w:r w:rsidR="008742E2" w:rsidRPr="00A25C55">
        <w:rPr>
          <w:rFonts w:ascii="Times New Roman" w:eastAsia="Times New Roman" w:hAnsi="Times New Roman" w:cs="Times New Roman"/>
          <w:color w:val="000000"/>
          <w:sz w:val="20"/>
          <w:szCs w:val="20"/>
          <w:lang w:val="en-GB" w:eastAsia="en-GB"/>
        </w:rPr>
        <w:t>(</w:t>
      </w:r>
      <w:r w:rsidR="008742E2">
        <w:rPr>
          <w:rFonts w:ascii="Times New Roman" w:eastAsia="Times New Roman" w:hAnsi="Times New Roman" w:cs="Times New Roman"/>
          <w:color w:val="000000"/>
          <w:sz w:val="20"/>
          <w:szCs w:val="20"/>
          <w:lang w:val="en-GB" w:eastAsia="en-GB"/>
        </w:rPr>
        <w:t>Beta</w:t>
      </w:r>
      <w:r w:rsidR="008742E2" w:rsidRPr="00A25C55">
        <w:rPr>
          <w:rFonts w:ascii="Times New Roman" w:eastAsia="Times New Roman" w:hAnsi="Times New Roman" w:cs="Times New Roman"/>
          <w:color w:val="000000"/>
          <w:sz w:val="20"/>
          <w:szCs w:val="20"/>
          <w:lang w:val="en-GB" w:eastAsia="en-GB"/>
        </w:rPr>
        <w:t>)</w:t>
      </w:r>
      <w:r w:rsidR="008742E2">
        <w:rPr>
          <w:rFonts w:ascii="Times New Roman" w:eastAsia="Times New Roman" w:hAnsi="Times New Roman" w:cs="Times New Roman"/>
          <w:color w:val="000000"/>
          <w:sz w:val="20"/>
          <w:szCs w:val="20"/>
          <w:vertAlign w:val="superscript"/>
          <w:lang w:val="en-GB" w:eastAsia="en-GB"/>
        </w:rPr>
        <w:t>POST</w:t>
      </w:r>
      <w:r w:rsidR="008742E2" w:rsidRPr="008742E2">
        <w:rPr>
          <w:rFonts w:ascii="Times New Roman" w:eastAsia="Times New Roman" w:hAnsi="Times New Roman" w:cs="Times New Roman"/>
          <w:color w:val="000000"/>
          <w:sz w:val="20"/>
          <w:szCs w:val="20"/>
          <w:lang w:val="en-GB" w:eastAsia="en-GB"/>
        </w:rPr>
        <w:t>)</w:t>
      </w:r>
      <w:r w:rsidR="00987236">
        <w:rPr>
          <w:rFonts w:ascii="Times New Roman" w:hAnsi="Times New Roman" w:cs="Times New Roman"/>
          <w:sz w:val="20"/>
          <w:szCs w:val="20"/>
        </w:rPr>
        <w:t>. The outcome in columns (</w:t>
      </w:r>
      <w:r w:rsidR="00F21E31">
        <w:rPr>
          <w:rFonts w:ascii="Times New Roman" w:hAnsi="Times New Roman" w:cs="Times New Roman"/>
          <w:sz w:val="20"/>
          <w:szCs w:val="20"/>
        </w:rPr>
        <w:t>7</w:t>
      </w:r>
      <w:r w:rsidR="00987236">
        <w:rPr>
          <w:rFonts w:ascii="Times New Roman" w:hAnsi="Times New Roman" w:cs="Times New Roman"/>
          <w:sz w:val="20"/>
          <w:szCs w:val="20"/>
        </w:rPr>
        <w:t>)</w:t>
      </w:r>
      <w:r w:rsidR="00166321">
        <w:rPr>
          <w:rFonts w:ascii="Times New Roman" w:hAnsi="Times New Roman" w:cs="Times New Roman"/>
          <w:sz w:val="20"/>
          <w:szCs w:val="20"/>
        </w:rPr>
        <w:t>–</w:t>
      </w:r>
      <w:r w:rsidR="00987236">
        <w:rPr>
          <w:rFonts w:ascii="Times New Roman" w:hAnsi="Times New Roman" w:cs="Times New Roman"/>
          <w:sz w:val="20"/>
          <w:szCs w:val="20"/>
        </w:rPr>
        <w:t>(</w:t>
      </w:r>
      <w:r w:rsidR="00F21E31">
        <w:rPr>
          <w:rFonts w:ascii="Times New Roman" w:hAnsi="Times New Roman" w:cs="Times New Roman"/>
          <w:sz w:val="20"/>
          <w:szCs w:val="20"/>
        </w:rPr>
        <w:t>9</w:t>
      </w:r>
      <w:r w:rsidR="00987236">
        <w:rPr>
          <w:rFonts w:ascii="Times New Roman" w:hAnsi="Times New Roman" w:cs="Times New Roman"/>
          <w:sz w:val="20"/>
          <w:szCs w:val="20"/>
        </w:rPr>
        <w:t>) is the log of the standard error of</w:t>
      </w:r>
      <w:r w:rsidR="00166321">
        <w:rPr>
          <w:rFonts w:ascii="Times New Roman" w:hAnsi="Times New Roman" w:cs="Times New Roman"/>
          <w:sz w:val="20"/>
          <w:szCs w:val="20"/>
        </w:rPr>
        <w:t xml:space="preserve"> future</w:t>
      </w:r>
      <w:r w:rsidR="00987236">
        <w:rPr>
          <w:rFonts w:ascii="Times New Roman" w:hAnsi="Times New Roman" w:cs="Times New Roman"/>
          <w:sz w:val="20"/>
          <w:szCs w:val="20"/>
        </w:rPr>
        <w:t xml:space="preserve"> market beta</w:t>
      </w:r>
      <w:r w:rsidR="00A7230C">
        <w:rPr>
          <w:rFonts w:ascii="Times New Roman" w:hAnsi="Times New Roman" w:cs="Times New Roman"/>
          <w:sz w:val="20"/>
          <w:szCs w:val="20"/>
        </w:rPr>
        <w:t xml:space="preserve"> (</w:t>
      </w:r>
      <w:r w:rsidR="00A7230C">
        <w:rPr>
          <w:rFonts w:ascii="Times New Roman" w:eastAsia="Times New Roman" w:hAnsi="Times New Roman" w:cs="Times New Roman"/>
          <w:color w:val="000000"/>
          <w:sz w:val="20"/>
          <w:szCs w:val="20"/>
          <w:lang w:eastAsia="en-CA"/>
        </w:rPr>
        <w:t>SE</w:t>
      </w:r>
      <w:r w:rsidR="00A7230C" w:rsidRPr="00A25C55">
        <w:rPr>
          <w:rFonts w:ascii="Times New Roman" w:eastAsia="Times New Roman" w:hAnsi="Times New Roman" w:cs="Times New Roman"/>
          <w:color w:val="000000"/>
          <w:sz w:val="20"/>
          <w:szCs w:val="20"/>
          <w:lang w:val="en-GB" w:eastAsia="en-GB"/>
        </w:rPr>
        <w:t>(</w:t>
      </w:r>
      <w:r w:rsidR="00A7230C">
        <w:rPr>
          <w:rFonts w:ascii="Times New Roman" w:eastAsia="Times New Roman" w:hAnsi="Times New Roman" w:cs="Times New Roman"/>
          <w:color w:val="000000"/>
          <w:sz w:val="20"/>
          <w:szCs w:val="20"/>
          <w:lang w:val="en-GB" w:eastAsia="en-GB"/>
        </w:rPr>
        <w:t>Beta</w:t>
      </w:r>
      <w:r w:rsidR="00A7230C" w:rsidRPr="00A25C55">
        <w:rPr>
          <w:rFonts w:ascii="Times New Roman" w:eastAsia="Times New Roman" w:hAnsi="Times New Roman" w:cs="Times New Roman"/>
          <w:color w:val="000000"/>
          <w:sz w:val="20"/>
          <w:szCs w:val="20"/>
          <w:lang w:val="en-GB" w:eastAsia="en-GB"/>
        </w:rPr>
        <w:t>)</w:t>
      </w:r>
      <w:r w:rsidR="00A7230C">
        <w:rPr>
          <w:rFonts w:ascii="Times New Roman" w:eastAsia="Times New Roman" w:hAnsi="Times New Roman" w:cs="Times New Roman"/>
          <w:color w:val="000000"/>
          <w:sz w:val="20"/>
          <w:szCs w:val="20"/>
          <w:vertAlign w:val="superscript"/>
          <w:lang w:val="en-GB" w:eastAsia="en-GB"/>
        </w:rPr>
        <w:t>POST</w:t>
      </w:r>
      <w:r w:rsidR="00A7230C" w:rsidRPr="00A25C55">
        <w:rPr>
          <w:rFonts w:ascii="Times New Roman" w:eastAsia="Times New Roman" w:hAnsi="Times New Roman" w:cs="Times New Roman"/>
          <w:color w:val="000000"/>
          <w:sz w:val="20"/>
          <w:szCs w:val="20"/>
          <w:lang w:val="en-GB" w:eastAsia="en-GB"/>
        </w:rPr>
        <w:t>)</w:t>
      </w:r>
      <w:r w:rsidR="00987236">
        <w:rPr>
          <w:rFonts w:ascii="Times New Roman" w:hAnsi="Times New Roman" w:cs="Times New Roman"/>
          <w:sz w:val="20"/>
          <w:szCs w:val="20"/>
        </w:rPr>
        <w:t>.</w:t>
      </w:r>
      <w:r w:rsidR="00662324">
        <w:rPr>
          <w:rFonts w:ascii="Times New Roman" w:hAnsi="Times New Roman" w:cs="Times New Roman"/>
          <w:sz w:val="20"/>
          <w:szCs w:val="20"/>
        </w:rPr>
        <w:t xml:space="preserve"> </w:t>
      </w:r>
      <w:r w:rsidRPr="0010756C">
        <w:rPr>
          <w:rFonts w:ascii="Times New Roman" w:hAnsi="Times New Roman" w:cs="Times New Roman"/>
          <w:i/>
          <w:sz w:val="20"/>
          <w:szCs w:val="20"/>
        </w:rPr>
        <w:t>p</w:t>
      </w:r>
      <w:r>
        <w:rPr>
          <w:rFonts w:ascii="Times New Roman" w:hAnsi="Times New Roman" w:cs="Times New Roman"/>
          <w:sz w:val="20"/>
          <w:szCs w:val="20"/>
        </w:rPr>
        <w:t xml:space="preserve">-values in parentheses correspond to Newey-West standard errors with 3 lags. </w:t>
      </w:r>
      <w:r w:rsidR="00166321">
        <w:rPr>
          <w:rFonts w:ascii="Times New Roman" w:hAnsi="Times New Roman" w:cs="Times New Roman"/>
          <w:sz w:val="20"/>
          <w:szCs w:val="20"/>
        </w:rPr>
        <w:t>C</w:t>
      </w:r>
      <w:r w:rsidR="001E744A">
        <w:rPr>
          <w:rFonts w:ascii="Times New Roman" w:eastAsia="Times New Roman" w:hAnsi="Times New Roman" w:cs="Times New Roman"/>
          <w:color w:val="000000"/>
          <w:sz w:val="20"/>
          <w:szCs w:val="20"/>
          <w:lang w:eastAsia="en-CA"/>
        </w:rPr>
        <w:t xml:space="preserve">ontinuous variables except VU, IQR(EV/EBITDA), </w:t>
      </w:r>
      <w:r w:rsidR="00D42E22">
        <w:rPr>
          <w:rFonts w:ascii="Times New Roman" w:eastAsia="Times New Roman" w:hAnsi="Times New Roman" w:cs="Times New Roman"/>
          <w:color w:val="000000"/>
          <w:sz w:val="20"/>
          <w:szCs w:val="20"/>
          <w:lang w:eastAsia="en-CA"/>
        </w:rPr>
        <w:t>market equity</w:t>
      </w:r>
      <w:r w:rsidR="001E744A">
        <w:rPr>
          <w:rFonts w:ascii="Times New Roman" w:eastAsia="Times New Roman" w:hAnsi="Times New Roman" w:cs="Times New Roman"/>
          <w:color w:val="000000"/>
          <w:sz w:val="20"/>
          <w:szCs w:val="20"/>
          <w:lang w:eastAsia="en-CA"/>
        </w:rPr>
        <w:t xml:space="preserve">, and </w:t>
      </w:r>
      <w:r w:rsidR="00D42E22">
        <w:rPr>
          <w:rFonts w:ascii="Times New Roman" w:eastAsia="Times New Roman" w:hAnsi="Times New Roman" w:cs="Times New Roman"/>
          <w:color w:val="000000"/>
          <w:sz w:val="20"/>
          <w:szCs w:val="20"/>
          <w:lang w:eastAsia="en-CA"/>
        </w:rPr>
        <w:t>firm a</w:t>
      </w:r>
      <w:r w:rsidR="001E744A">
        <w:rPr>
          <w:rFonts w:ascii="Times New Roman" w:eastAsia="Times New Roman" w:hAnsi="Times New Roman" w:cs="Times New Roman"/>
          <w:color w:val="000000"/>
          <w:sz w:val="20"/>
          <w:szCs w:val="20"/>
          <w:lang w:eastAsia="en-CA"/>
        </w:rPr>
        <w:t>ge and are</w:t>
      </w:r>
      <w:r w:rsidR="00B15AEF">
        <w:rPr>
          <w:rFonts w:ascii="Times New Roman" w:hAnsi="Times New Roman" w:cs="Times New Roman"/>
          <w:sz w:val="20"/>
          <w:szCs w:val="20"/>
        </w:rPr>
        <w:t xml:space="preserve"> </w:t>
      </w:r>
      <w:proofErr w:type="spellStart"/>
      <w:r w:rsidR="00B15AEF">
        <w:rPr>
          <w:rFonts w:ascii="Times New Roman" w:hAnsi="Times New Roman" w:cs="Times New Roman"/>
          <w:sz w:val="20"/>
          <w:szCs w:val="20"/>
        </w:rPr>
        <w:t>winsorized</w:t>
      </w:r>
      <w:proofErr w:type="spellEnd"/>
      <w:r w:rsidR="00B15AEF">
        <w:rPr>
          <w:rFonts w:ascii="Times New Roman" w:hAnsi="Times New Roman" w:cs="Times New Roman"/>
          <w:sz w:val="20"/>
          <w:szCs w:val="20"/>
        </w:rPr>
        <w:t xml:space="preserve"> at the 1</w:t>
      </w:r>
      <w:r w:rsidR="00B15AEF" w:rsidRPr="005F78A1">
        <w:rPr>
          <w:rFonts w:ascii="Times New Roman" w:hAnsi="Times New Roman" w:cs="Times New Roman"/>
          <w:sz w:val="20"/>
          <w:szCs w:val="20"/>
          <w:vertAlign w:val="superscript"/>
        </w:rPr>
        <w:t>st</w:t>
      </w:r>
      <w:r w:rsidR="00B15AEF">
        <w:rPr>
          <w:rFonts w:ascii="Times New Roman" w:hAnsi="Times New Roman" w:cs="Times New Roman"/>
          <w:sz w:val="20"/>
          <w:szCs w:val="20"/>
        </w:rPr>
        <w:t xml:space="preserve"> and 99</w:t>
      </w:r>
      <w:r w:rsidR="00B15AEF" w:rsidRPr="005F78A1">
        <w:rPr>
          <w:rFonts w:ascii="Times New Roman" w:hAnsi="Times New Roman" w:cs="Times New Roman"/>
          <w:sz w:val="20"/>
          <w:szCs w:val="20"/>
          <w:vertAlign w:val="superscript"/>
        </w:rPr>
        <w:t>th</w:t>
      </w:r>
      <w:r w:rsidR="00B15AEF">
        <w:rPr>
          <w:rFonts w:ascii="Times New Roman" w:hAnsi="Times New Roman" w:cs="Times New Roman"/>
          <w:sz w:val="20"/>
          <w:szCs w:val="20"/>
        </w:rPr>
        <w:t xml:space="preserve"> percentiles.</w:t>
      </w:r>
      <w:r w:rsidR="007B04A9">
        <w:rPr>
          <w:rFonts w:ascii="Times New Roman" w:hAnsi="Times New Roman" w:cs="Times New Roman"/>
          <w:sz w:val="20"/>
          <w:szCs w:val="20"/>
        </w:rPr>
        <w:t xml:space="preserve"> </w:t>
      </w:r>
      <w:r>
        <w:rPr>
          <w:rFonts w:ascii="Times New Roman" w:hAnsi="Times New Roman" w:cs="Times New Roman"/>
          <w:sz w:val="20"/>
          <w:szCs w:val="20"/>
        </w:rPr>
        <w:t>Variable definitions are provided in the</w:t>
      </w:r>
      <w:r w:rsidR="00290EBB">
        <w:rPr>
          <w:rFonts w:ascii="Times New Roman" w:hAnsi="Times New Roman" w:cs="Times New Roman"/>
          <w:sz w:val="20"/>
          <w:szCs w:val="20"/>
        </w:rPr>
        <w:t xml:space="preserve"> </w:t>
      </w:r>
      <w:r>
        <w:rPr>
          <w:rFonts w:ascii="Times New Roman" w:hAnsi="Times New Roman" w:cs="Times New Roman"/>
          <w:sz w:val="20"/>
          <w:szCs w:val="20"/>
        </w:rPr>
        <w:t>Appendix.</w:t>
      </w:r>
      <w:r w:rsidR="00701DB0">
        <w:rPr>
          <w:rFonts w:ascii="Times New Roman" w:hAnsi="Times New Roman" w:cs="Times New Roman"/>
          <w:sz w:val="20"/>
          <w:szCs w:val="20"/>
        </w:rPr>
        <w:t xml:space="preserve"> Symbols ***, **, and * indicate statistical significance at the 1%, 5%, and 10% levels, respectively.</w:t>
      </w:r>
    </w:p>
    <w:p w14:paraId="1A2FC619" w14:textId="18B0F981" w:rsidR="006E077B" w:rsidRPr="00290EBB" w:rsidRDefault="0063379C" w:rsidP="00290EBB">
      <w:pPr>
        <w:rPr>
          <w:rFonts w:ascii="Times New Roman" w:eastAsia="Calibri" w:hAnsi="Times New Roman" w:cs="Times New Roman"/>
          <w:sz w:val="20"/>
          <w:szCs w:val="20"/>
        </w:rPr>
      </w:pPr>
      <w:r w:rsidRPr="007F410E">
        <w:rPr>
          <w:rFonts w:ascii="Times New Roman" w:hAnsi="Times New Roman" w:cs="Times New Roman"/>
          <w:sz w:val="20"/>
          <w:szCs w:val="20"/>
        </w:rPr>
        <w:t>Panel A: Total Valuation Uncertainty</w:t>
      </w:r>
    </w:p>
    <w:tbl>
      <w:tblPr>
        <w:tblW w:w="5000" w:type="pct"/>
        <w:tblLook w:val="04A0" w:firstRow="1" w:lastRow="0" w:firstColumn="1" w:lastColumn="0" w:noHBand="0" w:noVBand="1"/>
      </w:tblPr>
      <w:tblGrid>
        <w:gridCol w:w="1806"/>
        <w:gridCol w:w="1138"/>
        <w:gridCol w:w="222"/>
        <w:gridCol w:w="1033"/>
        <w:gridCol w:w="1033"/>
        <w:gridCol w:w="1033"/>
        <w:gridCol w:w="252"/>
        <w:gridCol w:w="1033"/>
        <w:gridCol w:w="1033"/>
        <w:gridCol w:w="1033"/>
        <w:gridCol w:w="446"/>
        <w:gridCol w:w="966"/>
        <w:gridCol w:w="966"/>
        <w:gridCol w:w="966"/>
      </w:tblGrid>
      <w:tr w:rsidR="005558A7" w:rsidRPr="00790FE1" w14:paraId="3CDAC457" w14:textId="77777777" w:rsidTr="00166321">
        <w:trPr>
          <w:trHeight w:val="105"/>
        </w:trPr>
        <w:tc>
          <w:tcPr>
            <w:tcW w:w="695" w:type="pct"/>
            <w:tcBorders>
              <w:top w:val="single" w:sz="4" w:space="0" w:color="auto"/>
              <w:left w:val="nil"/>
              <w:right w:val="nil"/>
            </w:tcBorders>
            <w:noWrap/>
            <w:vAlign w:val="bottom"/>
          </w:tcPr>
          <w:p w14:paraId="7D288DD6"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62" w:type="pct"/>
            <w:tcBorders>
              <w:top w:val="single" w:sz="4" w:space="0" w:color="auto"/>
              <w:left w:val="nil"/>
              <w:right w:val="nil"/>
            </w:tcBorders>
            <w:vAlign w:val="bottom"/>
          </w:tcPr>
          <w:p w14:paraId="125C5F38" w14:textId="77777777"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98" w:type="pct"/>
            <w:tcBorders>
              <w:top w:val="single" w:sz="4" w:space="0" w:color="auto"/>
              <w:left w:val="nil"/>
              <w:right w:val="nil"/>
            </w:tcBorders>
            <w:vAlign w:val="bottom"/>
          </w:tcPr>
          <w:p w14:paraId="7CBDA754"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1145" w:type="pct"/>
            <w:gridSpan w:val="3"/>
            <w:tcBorders>
              <w:top w:val="single" w:sz="4" w:space="0" w:color="auto"/>
              <w:left w:val="nil"/>
              <w:bottom w:val="single" w:sz="4" w:space="0" w:color="auto"/>
              <w:right w:val="nil"/>
            </w:tcBorders>
            <w:noWrap/>
            <w:vAlign w:val="bottom"/>
          </w:tcPr>
          <w:p w14:paraId="00B68370" w14:textId="2C2E431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eastAsia="en-CA"/>
              </w:rPr>
              <w:t>Log(</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Returns</w:t>
            </w:r>
            <w:r w:rsidRPr="00A25C55">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vertAlign w:val="superscript"/>
                <w:lang w:val="en-GB" w:eastAsia="en-GB"/>
              </w:rPr>
              <w:t>P</w:t>
            </w:r>
            <w:r>
              <w:rPr>
                <w:rFonts w:ascii="Times New Roman" w:eastAsia="Times New Roman" w:hAnsi="Times New Roman" w:cs="Times New Roman"/>
                <w:color w:val="000000"/>
                <w:sz w:val="20"/>
                <w:szCs w:val="20"/>
                <w:vertAlign w:val="superscript"/>
                <w:lang w:val="en-GB" w:eastAsia="en-GB"/>
              </w:rPr>
              <w:t>OST</w:t>
            </w:r>
            <w:r w:rsidRPr="006664C8">
              <w:rPr>
                <w:rFonts w:ascii="Times New Roman" w:eastAsia="Times New Roman" w:hAnsi="Times New Roman" w:cs="Times New Roman"/>
                <w:color w:val="000000"/>
                <w:sz w:val="20"/>
                <w:szCs w:val="20"/>
                <w:lang w:val="en-GB" w:eastAsia="en-GB"/>
              </w:rPr>
              <w:t>)</w:t>
            </w:r>
          </w:p>
        </w:tc>
        <w:tc>
          <w:tcPr>
            <w:tcW w:w="152" w:type="pct"/>
            <w:tcBorders>
              <w:top w:val="single" w:sz="4" w:space="0" w:color="auto"/>
              <w:left w:val="nil"/>
              <w:bottom w:val="nil"/>
              <w:right w:val="nil"/>
            </w:tcBorders>
            <w:noWrap/>
            <w:vAlign w:val="bottom"/>
          </w:tcPr>
          <w:p w14:paraId="74DD1AA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1152" w:type="pct"/>
            <w:gridSpan w:val="3"/>
            <w:tcBorders>
              <w:top w:val="single" w:sz="4" w:space="0" w:color="auto"/>
              <w:left w:val="nil"/>
              <w:bottom w:val="single" w:sz="4" w:space="0" w:color="auto"/>
              <w:right w:val="nil"/>
            </w:tcBorders>
            <w:noWrap/>
            <w:vAlign w:val="bottom"/>
          </w:tcPr>
          <w:p w14:paraId="649F6BC7" w14:textId="3C3B83BF"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Log(</w:t>
            </w: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lang w:val="en-GB" w:eastAsia="en-GB"/>
              </w:rPr>
              <w:t>(implied))</w:t>
            </w:r>
          </w:p>
        </w:tc>
        <w:tc>
          <w:tcPr>
            <w:tcW w:w="195" w:type="pct"/>
            <w:tcBorders>
              <w:top w:val="single" w:sz="4" w:space="0" w:color="auto"/>
              <w:left w:val="nil"/>
              <w:bottom w:val="nil"/>
              <w:right w:val="nil"/>
            </w:tcBorders>
            <w:noWrap/>
            <w:vAlign w:val="bottom"/>
          </w:tcPr>
          <w:p w14:paraId="52F6AE0D"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1101" w:type="pct"/>
            <w:gridSpan w:val="3"/>
            <w:tcBorders>
              <w:top w:val="single" w:sz="4" w:space="0" w:color="auto"/>
              <w:left w:val="nil"/>
              <w:bottom w:val="single" w:sz="4" w:space="0" w:color="auto"/>
              <w:right w:val="nil"/>
            </w:tcBorders>
            <w:noWrap/>
            <w:vAlign w:val="bottom"/>
          </w:tcPr>
          <w:p w14:paraId="0C6FECC4" w14:textId="692B160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 xml:space="preserve">Log(1 + </w:t>
            </w: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lang w:val="en-GB" w:eastAsia="en-GB"/>
              </w:rPr>
              <w:t>(TP))</w:t>
            </w:r>
          </w:p>
        </w:tc>
      </w:tr>
      <w:tr w:rsidR="005558A7" w:rsidRPr="00790FE1" w14:paraId="7D33DAA6" w14:textId="77777777" w:rsidTr="002B4AF2">
        <w:trPr>
          <w:trHeight w:val="119"/>
        </w:trPr>
        <w:tc>
          <w:tcPr>
            <w:tcW w:w="695" w:type="pct"/>
            <w:tcBorders>
              <w:left w:val="nil"/>
              <w:bottom w:val="single" w:sz="4" w:space="0" w:color="auto"/>
              <w:right w:val="nil"/>
            </w:tcBorders>
            <w:noWrap/>
            <w:vAlign w:val="bottom"/>
            <w:hideMark/>
          </w:tcPr>
          <w:p w14:paraId="2913D8B4" w14:textId="77777777" w:rsidR="005558A7" w:rsidRPr="00EF0972" w:rsidRDefault="005558A7" w:rsidP="00C67FD1">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 </w:t>
            </w:r>
          </w:p>
        </w:tc>
        <w:tc>
          <w:tcPr>
            <w:tcW w:w="462" w:type="pct"/>
            <w:tcBorders>
              <w:left w:val="nil"/>
              <w:bottom w:val="single" w:sz="4" w:space="0" w:color="auto"/>
              <w:right w:val="nil"/>
            </w:tcBorders>
            <w:vAlign w:val="bottom"/>
          </w:tcPr>
          <w:p w14:paraId="06ECB8D9" w14:textId="65393E67" w:rsidR="005558A7" w:rsidRPr="00790FE1"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Exp. Sign</w:t>
            </w:r>
          </w:p>
        </w:tc>
        <w:tc>
          <w:tcPr>
            <w:tcW w:w="98" w:type="pct"/>
            <w:tcBorders>
              <w:top w:val="nil"/>
              <w:left w:val="nil"/>
              <w:right w:val="nil"/>
            </w:tcBorders>
            <w:vAlign w:val="bottom"/>
          </w:tcPr>
          <w:p w14:paraId="6FCA4DE6" w14:textId="77777777"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p>
        </w:tc>
        <w:tc>
          <w:tcPr>
            <w:tcW w:w="401" w:type="pct"/>
            <w:tcBorders>
              <w:top w:val="nil"/>
              <w:left w:val="nil"/>
              <w:bottom w:val="single" w:sz="4" w:space="0" w:color="auto"/>
              <w:right w:val="nil"/>
            </w:tcBorders>
            <w:noWrap/>
            <w:vAlign w:val="bottom"/>
            <w:hideMark/>
          </w:tcPr>
          <w:p w14:paraId="796D4B4D" w14:textId="7463BF93"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1</w:t>
            </w:r>
            <w:r>
              <w:rPr>
                <w:rFonts w:ascii="Times New Roman" w:eastAsia="Times New Roman" w:hAnsi="Times New Roman" w:cs="Times New Roman"/>
                <w:color w:val="000000"/>
                <w:sz w:val="20"/>
                <w:szCs w:val="20"/>
                <w:lang w:val="en-GB" w:eastAsia="en-GB"/>
              </w:rPr>
              <w:t>)</w:t>
            </w:r>
          </w:p>
        </w:tc>
        <w:tc>
          <w:tcPr>
            <w:tcW w:w="372" w:type="pct"/>
            <w:tcBorders>
              <w:top w:val="nil"/>
              <w:left w:val="nil"/>
              <w:bottom w:val="single" w:sz="4" w:space="0" w:color="auto"/>
              <w:right w:val="nil"/>
            </w:tcBorders>
            <w:noWrap/>
            <w:vAlign w:val="bottom"/>
            <w:hideMark/>
          </w:tcPr>
          <w:p w14:paraId="70EEC7F9" w14:textId="2F47648F"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2</w:t>
            </w:r>
            <w:r>
              <w:rPr>
                <w:rFonts w:ascii="Times New Roman" w:eastAsia="Times New Roman" w:hAnsi="Times New Roman" w:cs="Times New Roman"/>
                <w:color w:val="000000"/>
                <w:sz w:val="20"/>
                <w:szCs w:val="20"/>
                <w:lang w:val="en-GB" w:eastAsia="en-GB"/>
              </w:rPr>
              <w:t>)</w:t>
            </w:r>
          </w:p>
        </w:tc>
        <w:tc>
          <w:tcPr>
            <w:tcW w:w="372" w:type="pct"/>
            <w:tcBorders>
              <w:top w:val="nil"/>
              <w:left w:val="nil"/>
              <w:bottom w:val="single" w:sz="4" w:space="0" w:color="auto"/>
              <w:right w:val="nil"/>
            </w:tcBorders>
            <w:noWrap/>
            <w:vAlign w:val="bottom"/>
            <w:hideMark/>
          </w:tcPr>
          <w:p w14:paraId="137A972B" w14:textId="7C3E4F3C"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3</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6105FBE6" w14:textId="77777777"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single" w:sz="4" w:space="0" w:color="auto"/>
              <w:right w:val="nil"/>
            </w:tcBorders>
            <w:noWrap/>
            <w:vAlign w:val="bottom"/>
            <w:hideMark/>
          </w:tcPr>
          <w:p w14:paraId="61DCEBA0" w14:textId="31C6D84D"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4</w:t>
            </w:r>
            <w:r>
              <w:rPr>
                <w:rFonts w:ascii="Times New Roman" w:eastAsia="Times New Roman" w:hAnsi="Times New Roman" w:cs="Times New Roman"/>
                <w:color w:val="000000"/>
                <w:sz w:val="20"/>
                <w:szCs w:val="20"/>
                <w:lang w:val="en-GB" w:eastAsia="en-GB"/>
              </w:rPr>
              <w:t>)</w:t>
            </w:r>
          </w:p>
        </w:tc>
        <w:tc>
          <w:tcPr>
            <w:tcW w:w="385" w:type="pct"/>
            <w:tcBorders>
              <w:top w:val="nil"/>
              <w:left w:val="nil"/>
              <w:bottom w:val="single" w:sz="4" w:space="0" w:color="auto"/>
              <w:right w:val="nil"/>
            </w:tcBorders>
            <w:noWrap/>
            <w:vAlign w:val="bottom"/>
            <w:hideMark/>
          </w:tcPr>
          <w:p w14:paraId="734838BB" w14:textId="1988AC4F"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5</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single" w:sz="4" w:space="0" w:color="auto"/>
              <w:right w:val="nil"/>
            </w:tcBorders>
            <w:noWrap/>
            <w:vAlign w:val="bottom"/>
            <w:hideMark/>
          </w:tcPr>
          <w:p w14:paraId="34B55572" w14:textId="62625460"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6</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2B9BC577" w14:textId="77777777"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single" w:sz="4" w:space="0" w:color="auto"/>
              <w:left w:val="nil"/>
              <w:bottom w:val="single" w:sz="4" w:space="0" w:color="auto"/>
              <w:right w:val="nil"/>
            </w:tcBorders>
            <w:noWrap/>
            <w:vAlign w:val="bottom"/>
            <w:hideMark/>
          </w:tcPr>
          <w:p w14:paraId="39CE7CA7" w14:textId="047763C6"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7</w:t>
            </w:r>
            <w:r>
              <w:rPr>
                <w:rFonts w:ascii="Times New Roman" w:eastAsia="Times New Roman" w:hAnsi="Times New Roman" w:cs="Times New Roman"/>
                <w:color w:val="000000"/>
                <w:sz w:val="20"/>
                <w:szCs w:val="20"/>
                <w:lang w:val="en-GB" w:eastAsia="en-GB"/>
              </w:rPr>
              <w:t>)</w:t>
            </w:r>
          </w:p>
        </w:tc>
        <w:tc>
          <w:tcPr>
            <w:tcW w:w="372" w:type="pct"/>
            <w:tcBorders>
              <w:top w:val="single" w:sz="4" w:space="0" w:color="auto"/>
              <w:left w:val="nil"/>
              <w:bottom w:val="single" w:sz="4" w:space="0" w:color="auto"/>
              <w:right w:val="nil"/>
            </w:tcBorders>
            <w:noWrap/>
            <w:vAlign w:val="bottom"/>
            <w:hideMark/>
          </w:tcPr>
          <w:p w14:paraId="4190F7AC" w14:textId="46E1A048"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8</w:t>
            </w:r>
            <w:r>
              <w:rPr>
                <w:rFonts w:ascii="Times New Roman" w:eastAsia="Times New Roman" w:hAnsi="Times New Roman" w:cs="Times New Roman"/>
                <w:color w:val="000000"/>
                <w:sz w:val="20"/>
                <w:szCs w:val="20"/>
                <w:lang w:val="en-GB" w:eastAsia="en-GB"/>
              </w:rPr>
              <w:t>)</w:t>
            </w:r>
          </w:p>
        </w:tc>
        <w:tc>
          <w:tcPr>
            <w:tcW w:w="357" w:type="pct"/>
            <w:tcBorders>
              <w:top w:val="single" w:sz="4" w:space="0" w:color="auto"/>
              <w:left w:val="nil"/>
              <w:bottom w:val="single" w:sz="4" w:space="0" w:color="auto"/>
              <w:right w:val="nil"/>
            </w:tcBorders>
            <w:noWrap/>
            <w:vAlign w:val="bottom"/>
            <w:hideMark/>
          </w:tcPr>
          <w:p w14:paraId="717A55A0" w14:textId="0D81737D" w:rsidR="005558A7" w:rsidRPr="00EF0972"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9</w:t>
            </w:r>
            <w:r>
              <w:rPr>
                <w:rFonts w:ascii="Times New Roman" w:eastAsia="Times New Roman" w:hAnsi="Times New Roman" w:cs="Times New Roman"/>
                <w:color w:val="000000"/>
                <w:sz w:val="20"/>
                <w:szCs w:val="20"/>
                <w:lang w:val="en-GB" w:eastAsia="en-GB"/>
              </w:rPr>
              <w:t>)</w:t>
            </w:r>
          </w:p>
        </w:tc>
      </w:tr>
      <w:tr w:rsidR="005558A7" w:rsidRPr="00790FE1" w14:paraId="1849D587" w14:textId="77777777" w:rsidTr="002B4AF2">
        <w:trPr>
          <w:trHeight w:val="307"/>
        </w:trPr>
        <w:tc>
          <w:tcPr>
            <w:tcW w:w="695" w:type="pct"/>
            <w:tcBorders>
              <w:top w:val="single" w:sz="4" w:space="0" w:color="auto"/>
              <w:left w:val="nil"/>
              <w:bottom w:val="nil"/>
              <w:right w:val="nil"/>
            </w:tcBorders>
            <w:noWrap/>
            <w:vAlign w:val="bottom"/>
            <w:hideMark/>
          </w:tcPr>
          <w:p w14:paraId="49581880"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Intercept</w:t>
            </w:r>
          </w:p>
        </w:tc>
        <w:tc>
          <w:tcPr>
            <w:tcW w:w="462" w:type="pct"/>
            <w:tcBorders>
              <w:top w:val="single" w:sz="4" w:space="0" w:color="auto"/>
              <w:left w:val="nil"/>
              <w:bottom w:val="nil"/>
              <w:right w:val="nil"/>
            </w:tcBorders>
            <w:vAlign w:val="bottom"/>
          </w:tcPr>
          <w:p w14:paraId="169A3AA8" w14:textId="41A2A370"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98" w:type="pct"/>
            <w:tcBorders>
              <w:left w:val="nil"/>
              <w:bottom w:val="nil"/>
              <w:right w:val="nil"/>
            </w:tcBorders>
            <w:vAlign w:val="bottom"/>
          </w:tcPr>
          <w:p w14:paraId="2E26AA49"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01" w:type="pct"/>
            <w:tcBorders>
              <w:top w:val="single" w:sz="4" w:space="0" w:color="auto"/>
              <w:left w:val="nil"/>
              <w:bottom w:val="nil"/>
              <w:right w:val="nil"/>
            </w:tcBorders>
            <w:noWrap/>
            <w:vAlign w:val="bottom"/>
            <w:hideMark/>
          </w:tcPr>
          <w:p w14:paraId="53B0CCA0" w14:textId="19977EC9"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-4.464</w:t>
            </w:r>
            <w:r w:rsidR="0061408F">
              <w:rPr>
                <w:rFonts w:ascii="Times New Roman" w:eastAsia="Times New Roman" w:hAnsi="Times New Roman" w:cs="Times New Roman"/>
                <w:color w:val="000000"/>
                <w:sz w:val="20"/>
                <w:szCs w:val="20"/>
                <w:lang w:val="en-GB" w:eastAsia="en-GB"/>
              </w:rPr>
              <w:t>***</w:t>
            </w:r>
          </w:p>
        </w:tc>
        <w:tc>
          <w:tcPr>
            <w:tcW w:w="372" w:type="pct"/>
            <w:tcBorders>
              <w:top w:val="single" w:sz="4" w:space="0" w:color="auto"/>
              <w:left w:val="nil"/>
              <w:bottom w:val="nil"/>
              <w:right w:val="nil"/>
            </w:tcBorders>
            <w:noWrap/>
            <w:vAlign w:val="bottom"/>
            <w:hideMark/>
          </w:tcPr>
          <w:p w14:paraId="40A70611" w14:textId="11332AEF"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-4.486</w:t>
            </w:r>
            <w:r w:rsidR="0061408F">
              <w:rPr>
                <w:rFonts w:ascii="Times New Roman" w:eastAsia="Times New Roman" w:hAnsi="Times New Roman" w:cs="Times New Roman"/>
                <w:color w:val="000000"/>
                <w:sz w:val="20"/>
                <w:szCs w:val="20"/>
                <w:lang w:val="en-GB" w:eastAsia="en-GB"/>
              </w:rPr>
              <w:t>***</w:t>
            </w:r>
          </w:p>
        </w:tc>
        <w:tc>
          <w:tcPr>
            <w:tcW w:w="372" w:type="pct"/>
            <w:tcBorders>
              <w:left w:val="nil"/>
              <w:bottom w:val="nil"/>
              <w:right w:val="nil"/>
            </w:tcBorders>
            <w:noWrap/>
            <w:vAlign w:val="bottom"/>
            <w:hideMark/>
          </w:tcPr>
          <w:p w14:paraId="62A0A240" w14:textId="7302BE5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-1.020</w:t>
            </w:r>
            <w:r w:rsidR="0061408F">
              <w:rPr>
                <w:rFonts w:ascii="Times New Roman" w:eastAsia="Times New Roman" w:hAnsi="Times New Roman" w:cs="Times New Roman"/>
                <w:color w:val="000000"/>
                <w:sz w:val="20"/>
                <w:szCs w:val="20"/>
                <w:lang w:val="en-GB" w:eastAsia="en-GB"/>
              </w:rPr>
              <w:t>***</w:t>
            </w:r>
          </w:p>
        </w:tc>
        <w:tc>
          <w:tcPr>
            <w:tcW w:w="152" w:type="pct"/>
            <w:tcBorders>
              <w:left w:val="nil"/>
              <w:bottom w:val="nil"/>
              <w:right w:val="nil"/>
            </w:tcBorders>
            <w:noWrap/>
            <w:vAlign w:val="bottom"/>
            <w:hideMark/>
          </w:tcPr>
          <w:p w14:paraId="477D568E"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single" w:sz="4" w:space="0" w:color="auto"/>
              <w:left w:val="nil"/>
              <w:bottom w:val="nil"/>
              <w:right w:val="nil"/>
            </w:tcBorders>
            <w:noWrap/>
            <w:vAlign w:val="bottom"/>
            <w:hideMark/>
          </w:tcPr>
          <w:p w14:paraId="58E2C634" w14:textId="4B4D975A"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-1.639</w:t>
            </w:r>
            <w:r w:rsidR="0061408F">
              <w:rPr>
                <w:rFonts w:ascii="Times New Roman" w:eastAsia="Times New Roman" w:hAnsi="Times New Roman" w:cs="Times New Roman"/>
                <w:color w:val="000000"/>
                <w:sz w:val="20"/>
                <w:szCs w:val="20"/>
                <w:lang w:val="en-GB" w:eastAsia="en-GB"/>
              </w:rPr>
              <w:t>***</w:t>
            </w:r>
          </w:p>
        </w:tc>
        <w:tc>
          <w:tcPr>
            <w:tcW w:w="385" w:type="pct"/>
            <w:tcBorders>
              <w:top w:val="nil"/>
              <w:left w:val="nil"/>
              <w:bottom w:val="nil"/>
              <w:right w:val="nil"/>
            </w:tcBorders>
            <w:noWrap/>
            <w:vAlign w:val="bottom"/>
            <w:hideMark/>
          </w:tcPr>
          <w:p w14:paraId="0EDA9A13" w14:textId="7AB43FE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-1.647</w:t>
            </w:r>
            <w:r w:rsidR="0061408F">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735594EE" w14:textId="70050D9C"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1.890</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353F59FC"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7844A865" w14:textId="0CE8019A"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0.040</w:t>
            </w:r>
            <w:r w:rsidR="0061408F">
              <w:rPr>
                <w:rFonts w:ascii="Times New Roman" w:eastAsia="Times New Roman" w:hAnsi="Times New Roman" w:cs="Times New Roman"/>
                <w:color w:val="000000"/>
                <w:sz w:val="20"/>
                <w:szCs w:val="20"/>
                <w:lang w:val="en-GB" w:eastAsia="en-GB"/>
              </w:rPr>
              <w:t>***</w:t>
            </w:r>
          </w:p>
        </w:tc>
        <w:tc>
          <w:tcPr>
            <w:tcW w:w="372" w:type="pct"/>
            <w:tcBorders>
              <w:top w:val="nil"/>
              <w:left w:val="nil"/>
              <w:bottom w:val="nil"/>
              <w:right w:val="nil"/>
            </w:tcBorders>
            <w:noWrap/>
            <w:vAlign w:val="bottom"/>
            <w:hideMark/>
          </w:tcPr>
          <w:p w14:paraId="7CFD26D8" w14:textId="3B92220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0.039</w:t>
            </w:r>
            <w:r w:rsidR="0061408F">
              <w:rPr>
                <w:rFonts w:ascii="Times New Roman" w:eastAsia="Times New Roman" w:hAnsi="Times New Roman" w:cs="Times New Roman"/>
                <w:color w:val="000000"/>
                <w:sz w:val="20"/>
                <w:szCs w:val="20"/>
                <w:lang w:val="en-GB" w:eastAsia="en-GB"/>
              </w:rPr>
              <w:t>***</w:t>
            </w:r>
          </w:p>
        </w:tc>
        <w:tc>
          <w:tcPr>
            <w:tcW w:w="357" w:type="pct"/>
            <w:tcBorders>
              <w:top w:val="nil"/>
              <w:left w:val="nil"/>
              <w:bottom w:val="nil"/>
              <w:right w:val="nil"/>
            </w:tcBorders>
            <w:noWrap/>
            <w:vAlign w:val="bottom"/>
            <w:hideMark/>
          </w:tcPr>
          <w:p w14:paraId="16C82BED" w14:textId="7030190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0.470</w:t>
            </w:r>
            <w:r w:rsidR="0061408F">
              <w:rPr>
                <w:rFonts w:ascii="Times New Roman" w:eastAsia="Times New Roman" w:hAnsi="Times New Roman" w:cs="Times New Roman"/>
                <w:color w:val="000000"/>
                <w:sz w:val="20"/>
                <w:szCs w:val="20"/>
                <w:lang w:val="en-GB" w:eastAsia="en-GB"/>
              </w:rPr>
              <w:t>***</w:t>
            </w:r>
          </w:p>
        </w:tc>
      </w:tr>
      <w:tr w:rsidR="005558A7" w:rsidRPr="00790FE1" w14:paraId="2BC47388" w14:textId="77777777" w:rsidTr="002B4AF2">
        <w:trPr>
          <w:trHeight w:val="227"/>
        </w:trPr>
        <w:tc>
          <w:tcPr>
            <w:tcW w:w="695" w:type="pct"/>
            <w:tcBorders>
              <w:top w:val="nil"/>
              <w:left w:val="nil"/>
              <w:bottom w:val="nil"/>
              <w:right w:val="nil"/>
            </w:tcBorders>
            <w:noWrap/>
            <w:vAlign w:val="bottom"/>
            <w:hideMark/>
          </w:tcPr>
          <w:p w14:paraId="639158E2"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23F9DBD0" w14:textId="4158A49F"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98" w:type="pct"/>
            <w:tcBorders>
              <w:top w:val="nil"/>
              <w:left w:val="nil"/>
              <w:bottom w:val="nil"/>
              <w:right w:val="nil"/>
            </w:tcBorders>
            <w:vAlign w:val="bottom"/>
          </w:tcPr>
          <w:p w14:paraId="49C7AE64"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5A0BC2D2" w14:textId="0B85E910"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72" w:type="pct"/>
            <w:tcBorders>
              <w:top w:val="nil"/>
              <w:left w:val="nil"/>
              <w:bottom w:val="nil"/>
              <w:right w:val="nil"/>
            </w:tcBorders>
            <w:noWrap/>
            <w:vAlign w:val="bottom"/>
            <w:hideMark/>
          </w:tcPr>
          <w:p w14:paraId="103DE1A3" w14:textId="6F55D8D3"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72" w:type="pct"/>
            <w:tcBorders>
              <w:top w:val="nil"/>
              <w:left w:val="nil"/>
              <w:bottom w:val="nil"/>
              <w:right w:val="nil"/>
            </w:tcBorders>
            <w:noWrap/>
            <w:vAlign w:val="bottom"/>
            <w:hideMark/>
          </w:tcPr>
          <w:p w14:paraId="3105DA8B" w14:textId="76BB7524"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489DE66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5ADAAF8A" w14:textId="15E3E37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85" w:type="pct"/>
            <w:tcBorders>
              <w:top w:val="nil"/>
              <w:left w:val="nil"/>
              <w:bottom w:val="nil"/>
              <w:right w:val="nil"/>
            </w:tcBorders>
            <w:noWrap/>
            <w:vAlign w:val="bottom"/>
            <w:hideMark/>
          </w:tcPr>
          <w:p w14:paraId="128D2DDB" w14:textId="21E6F00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4D24F38A" w14:textId="405DDDFD"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1D9FCBD4"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55583F8" w14:textId="3D98FCBC"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72" w:type="pct"/>
            <w:tcBorders>
              <w:top w:val="nil"/>
              <w:left w:val="nil"/>
              <w:bottom w:val="nil"/>
              <w:right w:val="nil"/>
            </w:tcBorders>
            <w:noWrap/>
            <w:vAlign w:val="bottom"/>
            <w:hideMark/>
          </w:tcPr>
          <w:p w14:paraId="7CB4A5F2" w14:textId="6174AC7E"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57" w:type="pct"/>
            <w:tcBorders>
              <w:top w:val="nil"/>
              <w:left w:val="nil"/>
              <w:bottom w:val="nil"/>
              <w:right w:val="nil"/>
            </w:tcBorders>
            <w:noWrap/>
            <w:vAlign w:val="bottom"/>
            <w:hideMark/>
          </w:tcPr>
          <w:p w14:paraId="394F217C" w14:textId="272C91E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5558A7" w:rsidRPr="00790FE1" w14:paraId="74DF01A7" w14:textId="77777777" w:rsidTr="002B4AF2">
        <w:trPr>
          <w:trHeight w:val="227"/>
        </w:trPr>
        <w:tc>
          <w:tcPr>
            <w:tcW w:w="695" w:type="pct"/>
            <w:tcBorders>
              <w:top w:val="nil"/>
              <w:left w:val="nil"/>
              <w:bottom w:val="nil"/>
              <w:right w:val="nil"/>
            </w:tcBorders>
            <w:noWrap/>
            <w:vAlign w:val="bottom"/>
            <w:hideMark/>
          </w:tcPr>
          <w:p w14:paraId="2A90E7F2" w14:textId="77777777" w:rsidR="005558A7" w:rsidRPr="001660DF" w:rsidRDefault="005558A7" w:rsidP="006664C8">
            <w:pPr>
              <w:spacing w:after="0" w:line="240" w:lineRule="auto"/>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VU</w:t>
            </w:r>
          </w:p>
        </w:tc>
        <w:tc>
          <w:tcPr>
            <w:tcW w:w="462" w:type="pct"/>
            <w:tcBorders>
              <w:top w:val="nil"/>
              <w:left w:val="nil"/>
              <w:bottom w:val="nil"/>
              <w:right w:val="nil"/>
            </w:tcBorders>
            <w:vAlign w:val="bottom"/>
          </w:tcPr>
          <w:p w14:paraId="09E7CE34" w14:textId="0097BA98"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w:t>
            </w:r>
          </w:p>
        </w:tc>
        <w:tc>
          <w:tcPr>
            <w:tcW w:w="98" w:type="pct"/>
            <w:tcBorders>
              <w:top w:val="nil"/>
              <w:left w:val="nil"/>
              <w:bottom w:val="nil"/>
              <w:right w:val="nil"/>
            </w:tcBorders>
            <w:vAlign w:val="bottom"/>
          </w:tcPr>
          <w:p w14:paraId="41458454" w14:textId="77777777"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401" w:type="pct"/>
            <w:tcBorders>
              <w:top w:val="nil"/>
              <w:left w:val="nil"/>
              <w:bottom w:val="nil"/>
              <w:right w:val="nil"/>
            </w:tcBorders>
            <w:noWrap/>
            <w:vAlign w:val="bottom"/>
            <w:hideMark/>
          </w:tcPr>
          <w:p w14:paraId="141F09F4" w14:textId="18E6A28A"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1.183***</w:t>
            </w:r>
          </w:p>
        </w:tc>
        <w:tc>
          <w:tcPr>
            <w:tcW w:w="372" w:type="pct"/>
            <w:tcBorders>
              <w:top w:val="nil"/>
              <w:left w:val="nil"/>
              <w:bottom w:val="nil"/>
              <w:right w:val="nil"/>
            </w:tcBorders>
            <w:noWrap/>
            <w:vAlign w:val="bottom"/>
            <w:hideMark/>
          </w:tcPr>
          <w:p w14:paraId="05CDA3B8" w14:textId="5AB4A4A2"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1.110***</w:t>
            </w:r>
          </w:p>
        </w:tc>
        <w:tc>
          <w:tcPr>
            <w:tcW w:w="372" w:type="pct"/>
            <w:tcBorders>
              <w:top w:val="nil"/>
              <w:left w:val="nil"/>
              <w:bottom w:val="nil"/>
              <w:right w:val="nil"/>
            </w:tcBorders>
            <w:noWrap/>
            <w:vAlign w:val="bottom"/>
            <w:hideMark/>
          </w:tcPr>
          <w:p w14:paraId="3D0E87A9" w14:textId="59932338"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0.112***</w:t>
            </w:r>
          </w:p>
        </w:tc>
        <w:tc>
          <w:tcPr>
            <w:tcW w:w="152" w:type="pct"/>
            <w:tcBorders>
              <w:top w:val="nil"/>
              <w:left w:val="nil"/>
              <w:bottom w:val="nil"/>
              <w:right w:val="nil"/>
            </w:tcBorders>
            <w:noWrap/>
            <w:vAlign w:val="bottom"/>
            <w:hideMark/>
          </w:tcPr>
          <w:p w14:paraId="7177329C" w14:textId="77777777"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372" w:type="pct"/>
            <w:tcBorders>
              <w:top w:val="nil"/>
              <w:left w:val="nil"/>
              <w:bottom w:val="nil"/>
              <w:right w:val="nil"/>
            </w:tcBorders>
            <w:noWrap/>
            <w:vAlign w:val="bottom"/>
            <w:hideMark/>
          </w:tcPr>
          <w:p w14:paraId="4316FA42" w14:textId="185180B1"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1.041***</w:t>
            </w:r>
          </w:p>
        </w:tc>
        <w:tc>
          <w:tcPr>
            <w:tcW w:w="385" w:type="pct"/>
            <w:tcBorders>
              <w:top w:val="nil"/>
              <w:left w:val="nil"/>
              <w:bottom w:val="nil"/>
              <w:right w:val="nil"/>
            </w:tcBorders>
            <w:noWrap/>
            <w:vAlign w:val="bottom"/>
            <w:hideMark/>
          </w:tcPr>
          <w:p w14:paraId="638B956F" w14:textId="3779897B"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0.939***</w:t>
            </w:r>
          </w:p>
        </w:tc>
        <w:tc>
          <w:tcPr>
            <w:tcW w:w="395" w:type="pct"/>
            <w:tcBorders>
              <w:top w:val="nil"/>
              <w:left w:val="nil"/>
              <w:bottom w:val="nil"/>
              <w:right w:val="nil"/>
            </w:tcBorders>
            <w:noWrap/>
            <w:vAlign w:val="bottom"/>
            <w:hideMark/>
          </w:tcPr>
          <w:p w14:paraId="7CF0ACE5" w14:textId="715001D4"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0.031***</w:t>
            </w:r>
          </w:p>
        </w:tc>
        <w:tc>
          <w:tcPr>
            <w:tcW w:w="195" w:type="pct"/>
            <w:tcBorders>
              <w:top w:val="nil"/>
              <w:left w:val="nil"/>
              <w:bottom w:val="nil"/>
              <w:right w:val="nil"/>
            </w:tcBorders>
            <w:noWrap/>
            <w:vAlign w:val="bottom"/>
            <w:hideMark/>
          </w:tcPr>
          <w:p w14:paraId="3825CAC6" w14:textId="77777777"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372" w:type="pct"/>
            <w:tcBorders>
              <w:top w:val="nil"/>
              <w:left w:val="nil"/>
              <w:bottom w:val="nil"/>
              <w:right w:val="nil"/>
            </w:tcBorders>
            <w:noWrap/>
            <w:vAlign w:val="bottom"/>
            <w:hideMark/>
          </w:tcPr>
          <w:p w14:paraId="77E0E800" w14:textId="0F0399A1" w:rsidR="005558A7" w:rsidRPr="001660DF" w:rsidRDefault="005558A7" w:rsidP="006664C8">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sz w:val="20"/>
                <w:szCs w:val="20"/>
                <w:lang w:val="en-GB" w:eastAsia="en-GB"/>
              </w:rPr>
              <w:t>0.127***</w:t>
            </w:r>
          </w:p>
        </w:tc>
        <w:tc>
          <w:tcPr>
            <w:tcW w:w="372" w:type="pct"/>
            <w:tcBorders>
              <w:top w:val="nil"/>
              <w:left w:val="nil"/>
              <w:bottom w:val="nil"/>
              <w:right w:val="nil"/>
            </w:tcBorders>
            <w:noWrap/>
            <w:vAlign w:val="bottom"/>
            <w:hideMark/>
          </w:tcPr>
          <w:p w14:paraId="0A312F7B" w14:textId="7E4B8881" w:rsidR="005558A7" w:rsidRPr="001660DF" w:rsidRDefault="005558A7" w:rsidP="006664C8">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sz w:val="20"/>
                <w:szCs w:val="20"/>
                <w:lang w:val="en-GB" w:eastAsia="en-GB"/>
              </w:rPr>
              <w:t>0.117***</w:t>
            </w:r>
          </w:p>
        </w:tc>
        <w:tc>
          <w:tcPr>
            <w:tcW w:w="357" w:type="pct"/>
            <w:tcBorders>
              <w:top w:val="nil"/>
              <w:left w:val="nil"/>
              <w:bottom w:val="nil"/>
              <w:right w:val="nil"/>
            </w:tcBorders>
            <w:noWrap/>
            <w:vAlign w:val="bottom"/>
            <w:hideMark/>
          </w:tcPr>
          <w:p w14:paraId="1BF72F51" w14:textId="77777777" w:rsidR="005558A7" w:rsidRPr="001660DF" w:rsidRDefault="005558A7" w:rsidP="006664C8">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sz w:val="20"/>
                <w:szCs w:val="20"/>
                <w:lang w:val="en-GB" w:eastAsia="en-GB"/>
              </w:rPr>
              <w:t>-0.004</w:t>
            </w:r>
          </w:p>
        </w:tc>
      </w:tr>
      <w:tr w:rsidR="005558A7" w:rsidRPr="00790FE1" w14:paraId="08CFB5A3" w14:textId="77777777" w:rsidTr="002B4AF2">
        <w:trPr>
          <w:trHeight w:val="227"/>
        </w:trPr>
        <w:tc>
          <w:tcPr>
            <w:tcW w:w="695" w:type="pct"/>
            <w:tcBorders>
              <w:top w:val="nil"/>
              <w:left w:val="nil"/>
              <w:bottom w:val="nil"/>
              <w:right w:val="nil"/>
            </w:tcBorders>
            <w:noWrap/>
            <w:vAlign w:val="bottom"/>
            <w:hideMark/>
          </w:tcPr>
          <w:p w14:paraId="2A4F4B98" w14:textId="77777777" w:rsidR="005558A7" w:rsidRPr="001660DF" w:rsidRDefault="005558A7" w:rsidP="006664C8">
            <w:pPr>
              <w:spacing w:after="0" w:line="240" w:lineRule="auto"/>
              <w:jc w:val="center"/>
              <w:rPr>
                <w:rFonts w:ascii="Times New Roman" w:eastAsia="Times New Roman" w:hAnsi="Times New Roman" w:cs="Times New Roman"/>
                <w:b/>
                <w:bCs/>
                <w:color w:val="CC00FF"/>
                <w:sz w:val="20"/>
                <w:szCs w:val="20"/>
                <w:lang w:val="en-GB" w:eastAsia="en-GB"/>
              </w:rPr>
            </w:pPr>
          </w:p>
        </w:tc>
        <w:tc>
          <w:tcPr>
            <w:tcW w:w="462" w:type="pct"/>
            <w:tcBorders>
              <w:top w:val="nil"/>
              <w:left w:val="nil"/>
              <w:bottom w:val="nil"/>
              <w:right w:val="nil"/>
            </w:tcBorders>
            <w:vAlign w:val="bottom"/>
          </w:tcPr>
          <w:p w14:paraId="07B13864" w14:textId="1B130B2A"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98" w:type="pct"/>
            <w:tcBorders>
              <w:top w:val="nil"/>
              <w:left w:val="nil"/>
              <w:bottom w:val="nil"/>
              <w:right w:val="nil"/>
            </w:tcBorders>
            <w:vAlign w:val="bottom"/>
          </w:tcPr>
          <w:p w14:paraId="680B0152" w14:textId="77777777"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401" w:type="pct"/>
            <w:tcBorders>
              <w:top w:val="nil"/>
              <w:left w:val="nil"/>
              <w:bottom w:val="nil"/>
              <w:right w:val="nil"/>
            </w:tcBorders>
            <w:noWrap/>
            <w:vAlign w:val="bottom"/>
            <w:hideMark/>
          </w:tcPr>
          <w:p w14:paraId="3F13DDA9" w14:textId="66FAC9AF"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72" w:type="pct"/>
            <w:tcBorders>
              <w:top w:val="nil"/>
              <w:left w:val="nil"/>
              <w:bottom w:val="nil"/>
              <w:right w:val="nil"/>
            </w:tcBorders>
            <w:noWrap/>
            <w:vAlign w:val="bottom"/>
            <w:hideMark/>
          </w:tcPr>
          <w:p w14:paraId="782B7542" w14:textId="3FB4F1ED"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72" w:type="pct"/>
            <w:tcBorders>
              <w:top w:val="nil"/>
              <w:left w:val="nil"/>
              <w:bottom w:val="nil"/>
              <w:right w:val="nil"/>
            </w:tcBorders>
            <w:noWrap/>
            <w:vAlign w:val="bottom"/>
            <w:hideMark/>
          </w:tcPr>
          <w:p w14:paraId="363E4F27" w14:textId="149A1ED6"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152" w:type="pct"/>
            <w:tcBorders>
              <w:top w:val="nil"/>
              <w:left w:val="nil"/>
              <w:bottom w:val="nil"/>
              <w:right w:val="nil"/>
            </w:tcBorders>
            <w:noWrap/>
            <w:vAlign w:val="bottom"/>
            <w:hideMark/>
          </w:tcPr>
          <w:p w14:paraId="0F6F4D7C" w14:textId="77777777"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372" w:type="pct"/>
            <w:tcBorders>
              <w:top w:val="nil"/>
              <w:left w:val="nil"/>
              <w:bottom w:val="nil"/>
              <w:right w:val="nil"/>
            </w:tcBorders>
            <w:noWrap/>
            <w:vAlign w:val="bottom"/>
            <w:hideMark/>
          </w:tcPr>
          <w:p w14:paraId="55FD73C6" w14:textId="25687128"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85" w:type="pct"/>
            <w:tcBorders>
              <w:top w:val="nil"/>
              <w:left w:val="nil"/>
              <w:bottom w:val="nil"/>
              <w:right w:val="nil"/>
            </w:tcBorders>
            <w:noWrap/>
            <w:vAlign w:val="bottom"/>
            <w:hideMark/>
          </w:tcPr>
          <w:p w14:paraId="774F64F8" w14:textId="04C21296"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3BE16977" w14:textId="66A8F593"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(0.006)</w:t>
            </w:r>
          </w:p>
        </w:tc>
        <w:tc>
          <w:tcPr>
            <w:tcW w:w="195" w:type="pct"/>
            <w:tcBorders>
              <w:top w:val="nil"/>
              <w:left w:val="nil"/>
              <w:bottom w:val="nil"/>
              <w:right w:val="nil"/>
            </w:tcBorders>
            <w:noWrap/>
            <w:vAlign w:val="bottom"/>
            <w:hideMark/>
          </w:tcPr>
          <w:p w14:paraId="5197DF4F" w14:textId="77777777" w:rsidR="005558A7" w:rsidRPr="001660DF" w:rsidRDefault="005558A7" w:rsidP="006664C8">
            <w:pPr>
              <w:spacing w:after="0" w:line="240" w:lineRule="auto"/>
              <w:jc w:val="center"/>
              <w:rPr>
                <w:rFonts w:ascii="Times New Roman" w:eastAsia="Times New Roman" w:hAnsi="Times New Roman" w:cs="Times New Roman"/>
                <w:b/>
                <w:bCs/>
                <w:color w:val="000000"/>
                <w:sz w:val="20"/>
                <w:szCs w:val="20"/>
                <w:lang w:val="en-GB" w:eastAsia="en-GB"/>
              </w:rPr>
            </w:pPr>
          </w:p>
        </w:tc>
        <w:tc>
          <w:tcPr>
            <w:tcW w:w="372" w:type="pct"/>
            <w:tcBorders>
              <w:top w:val="nil"/>
              <w:left w:val="nil"/>
              <w:bottom w:val="nil"/>
              <w:right w:val="nil"/>
            </w:tcBorders>
            <w:noWrap/>
            <w:vAlign w:val="bottom"/>
            <w:hideMark/>
          </w:tcPr>
          <w:p w14:paraId="2E4B649C" w14:textId="56665C81" w:rsidR="005558A7" w:rsidRPr="001660DF" w:rsidRDefault="005558A7" w:rsidP="006664C8">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72" w:type="pct"/>
            <w:tcBorders>
              <w:top w:val="nil"/>
              <w:left w:val="nil"/>
              <w:bottom w:val="nil"/>
              <w:right w:val="nil"/>
            </w:tcBorders>
            <w:noWrap/>
            <w:vAlign w:val="bottom"/>
            <w:hideMark/>
          </w:tcPr>
          <w:p w14:paraId="1D5F6E5E" w14:textId="4AFC25C9" w:rsidR="005558A7" w:rsidRPr="001660DF" w:rsidRDefault="005558A7" w:rsidP="006664C8">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57" w:type="pct"/>
            <w:tcBorders>
              <w:top w:val="nil"/>
              <w:left w:val="nil"/>
              <w:bottom w:val="nil"/>
              <w:right w:val="nil"/>
            </w:tcBorders>
            <w:noWrap/>
            <w:vAlign w:val="bottom"/>
            <w:hideMark/>
          </w:tcPr>
          <w:p w14:paraId="7119E0BD" w14:textId="4FB827C5" w:rsidR="005558A7" w:rsidRPr="001660DF" w:rsidRDefault="005558A7" w:rsidP="006664C8">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sz w:val="20"/>
                <w:szCs w:val="20"/>
                <w:lang w:val="en-GB" w:eastAsia="en-GB"/>
              </w:rPr>
              <w:t>(0.355)</w:t>
            </w:r>
          </w:p>
        </w:tc>
      </w:tr>
      <w:tr w:rsidR="005558A7" w:rsidRPr="00790FE1" w14:paraId="24A7A253" w14:textId="77777777" w:rsidTr="002B4AF2">
        <w:trPr>
          <w:trHeight w:val="227"/>
        </w:trPr>
        <w:tc>
          <w:tcPr>
            <w:tcW w:w="695" w:type="pct"/>
            <w:tcBorders>
              <w:top w:val="nil"/>
              <w:left w:val="nil"/>
              <w:bottom w:val="nil"/>
              <w:right w:val="nil"/>
            </w:tcBorders>
            <w:noWrap/>
            <w:vAlign w:val="bottom"/>
            <w:hideMark/>
          </w:tcPr>
          <w:p w14:paraId="2377F52D" w14:textId="06D69BD0"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6664C8">
              <w:rPr>
                <w:rFonts w:ascii="Times New Roman" w:eastAsia="Times New Roman" w:hAnsi="Times New Roman" w:cs="Times New Roman"/>
                <w:color w:val="000000"/>
                <w:sz w:val="20"/>
                <w:szCs w:val="20"/>
                <w:lang w:val="en-GB" w:eastAsia="en-GB"/>
              </w:rPr>
              <w:t>EV/EBITDA</w:t>
            </w:r>
            <w:r>
              <w:rPr>
                <w:rFonts w:ascii="Times New Roman" w:eastAsia="Times New Roman" w:hAnsi="Times New Roman" w:cs="Times New Roman"/>
                <w:color w:val="000000"/>
                <w:sz w:val="20"/>
                <w:szCs w:val="20"/>
                <w:lang w:val="en-GB" w:eastAsia="en-GB"/>
              </w:rPr>
              <w:t>)</w:t>
            </w:r>
          </w:p>
        </w:tc>
        <w:tc>
          <w:tcPr>
            <w:tcW w:w="462" w:type="pct"/>
            <w:tcBorders>
              <w:top w:val="nil"/>
              <w:left w:val="nil"/>
              <w:bottom w:val="nil"/>
              <w:right w:val="nil"/>
            </w:tcBorders>
            <w:vAlign w:val="bottom"/>
          </w:tcPr>
          <w:p w14:paraId="06CE2948" w14:textId="747CA55B"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085A8FBA"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4C057359" w14:textId="6547A38F"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0826F96C" w14:textId="003DA52C"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0.011</w:t>
            </w:r>
            <w:r w:rsidR="0061408F">
              <w:rPr>
                <w:rFonts w:ascii="Times New Roman" w:eastAsia="Times New Roman" w:hAnsi="Times New Roman" w:cs="Times New Roman"/>
                <w:color w:val="000000"/>
                <w:sz w:val="20"/>
                <w:szCs w:val="20"/>
                <w:lang w:val="en-GB" w:eastAsia="en-GB"/>
              </w:rPr>
              <w:t>***</w:t>
            </w:r>
          </w:p>
        </w:tc>
        <w:tc>
          <w:tcPr>
            <w:tcW w:w="372" w:type="pct"/>
            <w:tcBorders>
              <w:top w:val="nil"/>
              <w:left w:val="nil"/>
              <w:bottom w:val="nil"/>
              <w:right w:val="nil"/>
            </w:tcBorders>
            <w:noWrap/>
            <w:vAlign w:val="bottom"/>
            <w:hideMark/>
          </w:tcPr>
          <w:p w14:paraId="5A3B60C6" w14:textId="57F64B4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0.002</w:t>
            </w:r>
            <w:r w:rsidR="0061408F">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32FC8324"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57F00AB0"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2ED6EFEF" w14:textId="099D79E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0.007</w:t>
            </w:r>
            <w:r w:rsidR="0061408F">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06BF702E" w14:textId="795A3468"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0.004</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793F4BB5"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B8D1B7F"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7F64BDEF" w14:textId="502553BD"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0.001</w:t>
            </w:r>
            <w:r w:rsidR="0061408F">
              <w:rPr>
                <w:rFonts w:ascii="Times New Roman" w:eastAsia="Times New Roman" w:hAnsi="Times New Roman" w:cs="Times New Roman"/>
                <w:color w:val="000000"/>
                <w:sz w:val="20"/>
                <w:szCs w:val="20"/>
                <w:lang w:val="en-GB" w:eastAsia="en-GB"/>
              </w:rPr>
              <w:t>*</w:t>
            </w:r>
          </w:p>
        </w:tc>
        <w:tc>
          <w:tcPr>
            <w:tcW w:w="357" w:type="pct"/>
            <w:tcBorders>
              <w:top w:val="nil"/>
              <w:left w:val="nil"/>
              <w:bottom w:val="nil"/>
              <w:right w:val="nil"/>
            </w:tcBorders>
            <w:noWrap/>
            <w:vAlign w:val="bottom"/>
            <w:hideMark/>
          </w:tcPr>
          <w:p w14:paraId="56D7821E" w14:textId="430A6362"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0.000</w:t>
            </w:r>
            <w:r w:rsidR="0061408F">
              <w:rPr>
                <w:rFonts w:ascii="Times New Roman" w:eastAsia="Times New Roman" w:hAnsi="Times New Roman" w:cs="Times New Roman"/>
                <w:color w:val="000000"/>
                <w:sz w:val="20"/>
                <w:szCs w:val="20"/>
                <w:lang w:val="en-GB" w:eastAsia="en-GB"/>
              </w:rPr>
              <w:t>***</w:t>
            </w:r>
          </w:p>
        </w:tc>
      </w:tr>
      <w:tr w:rsidR="005558A7" w:rsidRPr="00790FE1" w14:paraId="5FAB1686" w14:textId="77777777" w:rsidTr="002B4AF2">
        <w:trPr>
          <w:trHeight w:val="227"/>
        </w:trPr>
        <w:tc>
          <w:tcPr>
            <w:tcW w:w="695" w:type="pct"/>
            <w:tcBorders>
              <w:top w:val="nil"/>
              <w:left w:val="nil"/>
              <w:bottom w:val="nil"/>
              <w:right w:val="nil"/>
            </w:tcBorders>
            <w:noWrap/>
            <w:vAlign w:val="bottom"/>
            <w:hideMark/>
          </w:tcPr>
          <w:p w14:paraId="4E0B136F"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3282F3EB" w14:textId="41048BAB"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63773901"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19F55587" w14:textId="14DC5360"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73DEEB77" w14:textId="4A072092"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0.002</w:t>
            </w:r>
            <w:r>
              <w:rPr>
                <w:rFonts w:ascii="Times New Roman" w:eastAsia="Times New Roman" w:hAnsi="Times New Roman" w:cs="Times New Roman"/>
                <w:color w:val="000000"/>
                <w:sz w:val="20"/>
                <w:szCs w:val="20"/>
                <w:lang w:val="en-GB" w:eastAsia="en-GB"/>
              </w:rPr>
              <w:t>)</w:t>
            </w:r>
          </w:p>
        </w:tc>
        <w:tc>
          <w:tcPr>
            <w:tcW w:w="372" w:type="pct"/>
            <w:tcBorders>
              <w:top w:val="nil"/>
              <w:left w:val="nil"/>
              <w:bottom w:val="nil"/>
              <w:right w:val="nil"/>
            </w:tcBorders>
            <w:noWrap/>
            <w:vAlign w:val="bottom"/>
            <w:hideMark/>
          </w:tcPr>
          <w:p w14:paraId="49FC22C0" w14:textId="5F6F891E"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0.065</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68CDF69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207A73CF"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14B98B71" w14:textId="0365948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0.029</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2D272D38" w14:textId="4E089F39"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52FE758A"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2E83ADE"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62273C79" w14:textId="61F27703"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0.087</w:t>
            </w:r>
            <w:r>
              <w:rPr>
                <w:rFonts w:ascii="Times New Roman" w:eastAsia="Times New Roman" w:hAnsi="Times New Roman" w:cs="Times New Roman"/>
                <w:color w:val="000000"/>
                <w:sz w:val="20"/>
                <w:szCs w:val="20"/>
                <w:lang w:val="en-GB" w:eastAsia="en-GB"/>
              </w:rPr>
              <w:t>)</w:t>
            </w:r>
          </w:p>
        </w:tc>
        <w:tc>
          <w:tcPr>
            <w:tcW w:w="357" w:type="pct"/>
            <w:tcBorders>
              <w:top w:val="nil"/>
              <w:left w:val="nil"/>
              <w:bottom w:val="nil"/>
              <w:right w:val="nil"/>
            </w:tcBorders>
            <w:noWrap/>
            <w:vAlign w:val="bottom"/>
            <w:hideMark/>
          </w:tcPr>
          <w:p w14:paraId="1647E865" w14:textId="437F94E4"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0.006</w:t>
            </w:r>
            <w:r>
              <w:rPr>
                <w:rFonts w:ascii="Times New Roman" w:eastAsia="Times New Roman" w:hAnsi="Times New Roman" w:cs="Times New Roman"/>
                <w:color w:val="000000"/>
                <w:sz w:val="20"/>
                <w:szCs w:val="20"/>
                <w:lang w:val="en-GB" w:eastAsia="en-GB"/>
              </w:rPr>
              <w:t>)</w:t>
            </w:r>
          </w:p>
        </w:tc>
      </w:tr>
      <w:tr w:rsidR="005558A7" w:rsidRPr="00790FE1" w14:paraId="2190796A" w14:textId="77777777" w:rsidTr="002B4AF2">
        <w:trPr>
          <w:trHeight w:val="227"/>
        </w:trPr>
        <w:tc>
          <w:tcPr>
            <w:tcW w:w="695" w:type="pct"/>
            <w:tcBorders>
              <w:top w:val="nil"/>
              <w:left w:val="nil"/>
              <w:bottom w:val="nil"/>
              <w:right w:val="nil"/>
            </w:tcBorders>
            <w:noWrap/>
            <w:vAlign w:val="bottom"/>
            <w:hideMark/>
          </w:tcPr>
          <w:p w14:paraId="418BF67C" w14:textId="47CDB935"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EF0972">
              <w:rPr>
                <w:rFonts w:ascii="Times New Roman" w:eastAsia="Times New Roman" w:hAnsi="Times New Roman" w:cs="Times New Roman"/>
                <w:color w:val="000000"/>
                <w:sz w:val="20"/>
                <w:szCs w:val="20"/>
                <w:lang w:val="en-GB" w:eastAsia="en-GB"/>
              </w:rPr>
              <w:t>og(ME)</w:t>
            </w:r>
          </w:p>
        </w:tc>
        <w:tc>
          <w:tcPr>
            <w:tcW w:w="462" w:type="pct"/>
            <w:tcBorders>
              <w:top w:val="nil"/>
              <w:left w:val="nil"/>
              <w:bottom w:val="nil"/>
              <w:right w:val="nil"/>
            </w:tcBorders>
            <w:vAlign w:val="bottom"/>
          </w:tcPr>
          <w:p w14:paraId="31406978" w14:textId="128CEBFC"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162EAFA6"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317BCACA" w14:textId="795392AB"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751F75C1"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52F56D2A" w14:textId="1EB372F0"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-0.030</w:t>
            </w:r>
            <w:r w:rsidR="0061408F">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2C69CE6F"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7FD06FAA"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7A58C65D"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ABED67F" w14:textId="14998168"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-0.061</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4637919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11534F29"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410848D"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48B9F8F4" w14:textId="37654D32"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-0.002</w:t>
            </w:r>
            <w:r w:rsidR="0061408F">
              <w:rPr>
                <w:rFonts w:ascii="Times New Roman" w:eastAsia="Times New Roman" w:hAnsi="Times New Roman" w:cs="Times New Roman"/>
                <w:color w:val="000000"/>
                <w:sz w:val="20"/>
                <w:szCs w:val="20"/>
                <w:lang w:val="en-GB" w:eastAsia="en-GB"/>
              </w:rPr>
              <w:t>**</w:t>
            </w:r>
          </w:p>
        </w:tc>
      </w:tr>
      <w:tr w:rsidR="005558A7" w:rsidRPr="00790FE1" w14:paraId="64E725A8" w14:textId="77777777" w:rsidTr="002B4AF2">
        <w:trPr>
          <w:trHeight w:val="227"/>
        </w:trPr>
        <w:tc>
          <w:tcPr>
            <w:tcW w:w="695" w:type="pct"/>
            <w:tcBorders>
              <w:top w:val="nil"/>
              <w:left w:val="nil"/>
              <w:bottom w:val="nil"/>
              <w:right w:val="nil"/>
            </w:tcBorders>
            <w:noWrap/>
            <w:vAlign w:val="bottom"/>
            <w:hideMark/>
          </w:tcPr>
          <w:p w14:paraId="3E8EAA01"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73893336" w14:textId="0F2AE6E9"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0D40FB1D"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021CC1AF" w14:textId="17720BF2"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243EF778"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1EA88679" w14:textId="5FE6BDB5"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423B8C33"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797173B"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2A632C7F"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9AEBEF5" w14:textId="1531FAC4"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7FE08708"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BA72D9C"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078DB2E9"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62154439" w14:textId="00095C4C"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0.013</w:t>
            </w:r>
            <w:r>
              <w:rPr>
                <w:rFonts w:ascii="Times New Roman" w:eastAsia="Times New Roman" w:hAnsi="Times New Roman" w:cs="Times New Roman"/>
                <w:color w:val="000000"/>
                <w:sz w:val="20"/>
                <w:szCs w:val="20"/>
                <w:lang w:val="en-GB" w:eastAsia="en-GB"/>
              </w:rPr>
              <w:t>)</w:t>
            </w:r>
          </w:p>
        </w:tc>
      </w:tr>
      <w:tr w:rsidR="005558A7" w:rsidRPr="00790FE1" w14:paraId="02604A8B" w14:textId="77777777" w:rsidTr="002B4AF2">
        <w:trPr>
          <w:trHeight w:val="227"/>
        </w:trPr>
        <w:tc>
          <w:tcPr>
            <w:tcW w:w="695" w:type="pct"/>
            <w:tcBorders>
              <w:top w:val="nil"/>
              <w:left w:val="nil"/>
              <w:bottom w:val="nil"/>
              <w:right w:val="nil"/>
            </w:tcBorders>
            <w:noWrap/>
            <w:vAlign w:val="bottom"/>
            <w:hideMark/>
          </w:tcPr>
          <w:p w14:paraId="129C8DE7" w14:textId="0B7C2291"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EF0972">
              <w:rPr>
                <w:rFonts w:ascii="Times New Roman" w:eastAsia="Times New Roman" w:hAnsi="Times New Roman" w:cs="Times New Roman"/>
                <w:color w:val="000000"/>
                <w:sz w:val="20"/>
                <w:szCs w:val="20"/>
                <w:lang w:val="en-GB" w:eastAsia="en-GB"/>
              </w:rPr>
              <w:t>og(Age)</w:t>
            </w:r>
          </w:p>
        </w:tc>
        <w:tc>
          <w:tcPr>
            <w:tcW w:w="462" w:type="pct"/>
            <w:tcBorders>
              <w:top w:val="nil"/>
              <w:left w:val="nil"/>
              <w:bottom w:val="nil"/>
              <w:right w:val="nil"/>
            </w:tcBorders>
            <w:vAlign w:val="bottom"/>
          </w:tcPr>
          <w:p w14:paraId="43921C1D" w14:textId="6B13601F"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6DFDC57B"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1AFC91AA" w14:textId="0661B8DE"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66CE9D1"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7B52E691" w14:textId="654D1842"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-0.024</w:t>
            </w:r>
            <w:r w:rsidR="0061408F">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36643B3E"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73327A4D"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728AD4FB"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3198882" w14:textId="60061D90"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-0.013</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1596CFA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BAA211B"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58C4E738"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14E7241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0.001</w:t>
            </w:r>
          </w:p>
        </w:tc>
      </w:tr>
      <w:tr w:rsidR="005558A7" w:rsidRPr="00790FE1" w14:paraId="7052F53C" w14:textId="77777777" w:rsidTr="002B4AF2">
        <w:trPr>
          <w:trHeight w:val="227"/>
        </w:trPr>
        <w:tc>
          <w:tcPr>
            <w:tcW w:w="695" w:type="pct"/>
            <w:tcBorders>
              <w:top w:val="nil"/>
              <w:left w:val="nil"/>
              <w:bottom w:val="nil"/>
              <w:right w:val="nil"/>
            </w:tcBorders>
            <w:noWrap/>
            <w:vAlign w:val="bottom"/>
            <w:hideMark/>
          </w:tcPr>
          <w:p w14:paraId="43187536"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4B0E7CBA" w14:textId="391F3B60"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7210A26C"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1C5573BC" w14:textId="7CC6CF6E"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1545B8FC"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2ED64C2D" w14:textId="2D4BE9B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6E352FC3"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1AB78F17"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0EF92473"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6F80102" w14:textId="13EFB6AF"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734B6A29"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1331ADDD"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73E7C090"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1CD346E1" w14:textId="79EDAB53"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0.387</w:t>
            </w:r>
            <w:r>
              <w:rPr>
                <w:rFonts w:ascii="Times New Roman" w:eastAsia="Times New Roman" w:hAnsi="Times New Roman" w:cs="Times New Roman"/>
                <w:color w:val="000000"/>
                <w:sz w:val="20"/>
                <w:szCs w:val="20"/>
                <w:lang w:val="en-GB" w:eastAsia="en-GB"/>
              </w:rPr>
              <w:t>)</w:t>
            </w:r>
          </w:p>
        </w:tc>
      </w:tr>
      <w:tr w:rsidR="005558A7" w:rsidRPr="00790FE1" w14:paraId="0EEC2C4E" w14:textId="77777777" w:rsidTr="002B4AF2">
        <w:trPr>
          <w:trHeight w:val="227"/>
        </w:trPr>
        <w:tc>
          <w:tcPr>
            <w:tcW w:w="695" w:type="pct"/>
            <w:tcBorders>
              <w:top w:val="nil"/>
              <w:left w:val="nil"/>
              <w:bottom w:val="nil"/>
              <w:right w:val="nil"/>
            </w:tcBorders>
            <w:noWrap/>
            <w:vAlign w:val="bottom"/>
            <w:hideMark/>
          </w:tcPr>
          <w:p w14:paraId="3996F449" w14:textId="2CCA5CFA"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eastAsia="en-CA"/>
              </w:rPr>
              <w:t>Log(</w:t>
            </w: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vertAlign w:val="superscript"/>
                <w:lang w:val="en-GB" w:eastAsia="en-GB"/>
              </w:rPr>
              <w:t xml:space="preserve"> </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Returns</w:t>
            </w:r>
            <w:r w:rsidRPr="00A25C55">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vertAlign w:val="superscript"/>
                <w:lang w:val="en-GB" w:eastAsia="en-GB"/>
              </w:rPr>
              <w:t>PRE</w:t>
            </w:r>
            <w:r w:rsidRPr="006664C8">
              <w:rPr>
                <w:rFonts w:ascii="Times New Roman" w:eastAsia="Times New Roman" w:hAnsi="Times New Roman" w:cs="Times New Roman"/>
                <w:color w:val="000000"/>
                <w:sz w:val="20"/>
                <w:szCs w:val="20"/>
                <w:lang w:val="en-GB" w:eastAsia="en-GB"/>
              </w:rPr>
              <w:t>)</w:t>
            </w:r>
          </w:p>
        </w:tc>
        <w:tc>
          <w:tcPr>
            <w:tcW w:w="462" w:type="pct"/>
            <w:tcBorders>
              <w:top w:val="nil"/>
              <w:left w:val="nil"/>
              <w:bottom w:val="nil"/>
              <w:right w:val="nil"/>
            </w:tcBorders>
            <w:vAlign w:val="bottom"/>
          </w:tcPr>
          <w:p w14:paraId="75AD5EED" w14:textId="5208963F"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6B71026D"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6F26672A" w14:textId="2E937EB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2F509D83"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42B769C1" w14:textId="59A88939"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0.667</w:t>
            </w:r>
            <w:r w:rsidR="0061408F">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1160EFAD"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3BC33990"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4B842F24"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9114C26" w14:textId="65A912A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0.637</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17A32001"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36404D94"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5BECF524"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2C853FC5" w14:textId="444F481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0.093</w:t>
            </w:r>
            <w:r w:rsidR="0061408F">
              <w:rPr>
                <w:rFonts w:ascii="Times New Roman" w:eastAsia="Times New Roman" w:hAnsi="Times New Roman" w:cs="Times New Roman"/>
                <w:color w:val="000000"/>
                <w:sz w:val="20"/>
                <w:szCs w:val="20"/>
                <w:lang w:val="en-GB" w:eastAsia="en-GB"/>
              </w:rPr>
              <w:t>***</w:t>
            </w:r>
          </w:p>
        </w:tc>
      </w:tr>
      <w:tr w:rsidR="005558A7" w:rsidRPr="00790FE1" w14:paraId="1CCCBD5C" w14:textId="77777777" w:rsidTr="002B4AF2">
        <w:trPr>
          <w:trHeight w:val="227"/>
        </w:trPr>
        <w:tc>
          <w:tcPr>
            <w:tcW w:w="695" w:type="pct"/>
            <w:tcBorders>
              <w:top w:val="nil"/>
              <w:left w:val="nil"/>
              <w:bottom w:val="nil"/>
              <w:right w:val="nil"/>
            </w:tcBorders>
            <w:noWrap/>
            <w:vAlign w:val="bottom"/>
            <w:hideMark/>
          </w:tcPr>
          <w:p w14:paraId="156C679B"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5C668BA4" w14:textId="559B0791"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287222B8"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7ACF72C8" w14:textId="0D44EE2E"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03735BD2"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7B962FD2" w14:textId="6D779CB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4BB595C2"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5C0BC3D3"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4A6450D7"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57E241F" w14:textId="29E6640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533C6ED6"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2E440B35"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036EC8F9"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4C20AE54" w14:textId="77022E0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5558A7" w:rsidRPr="00790FE1" w14:paraId="20115030" w14:textId="77777777" w:rsidTr="002B4AF2">
        <w:trPr>
          <w:trHeight w:val="227"/>
        </w:trPr>
        <w:tc>
          <w:tcPr>
            <w:tcW w:w="695" w:type="pct"/>
            <w:tcBorders>
              <w:top w:val="nil"/>
              <w:left w:val="nil"/>
              <w:bottom w:val="nil"/>
              <w:right w:val="nil"/>
            </w:tcBorders>
            <w:noWrap/>
            <w:vAlign w:val="bottom"/>
            <w:hideMark/>
          </w:tcPr>
          <w:p w14:paraId="75893B06"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Intan/Assets</w:t>
            </w:r>
          </w:p>
        </w:tc>
        <w:tc>
          <w:tcPr>
            <w:tcW w:w="462" w:type="pct"/>
            <w:tcBorders>
              <w:top w:val="nil"/>
              <w:left w:val="nil"/>
              <w:bottom w:val="nil"/>
              <w:right w:val="nil"/>
            </w:tcBorders>
            <w:vAlign w:val="bottom"/>
          </w:tcPr>
          <w:p w14:paraId="257C061A" w14:textId="65FDA5BB"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7F4DB6FD"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2CAA55C2" w14:textId="34BADA19"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1DA8C1A1"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6E190245"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0.011</w:t>
            </w:r>
          </w:p>
        </w:tc>
        <w:tc>
          <w:tcPr>
            <w:tcW w:w="152" w:type="pct"/>
            <w:tcBorders>
              <w:top w:val="nil"/>
              <w:left w:val="nil"/>
              <w:bottom w:val="nil"/>
              <w:right w:val="nil"/>
            </w:tcBorders>
            <w:noWrap/>
            <w:vAlign w:val="bottom"/>
            <w:hideMark/>
          </w:tcPr>
          <w:p w14:paraId="5079078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225F2723"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376D297B"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1DD1D43" w14:textId="223D556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-0.048</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4AB87B6A"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5CD4B316"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6E73DEA"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503F1B90" w14:textId="527199C3"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-0.008</w:t>
            </w:r>
            <w:r w:rsidR="0061408F">
              <w:rPr>
                <w:rFonts w:ascii="Times New Roman" w:eastAsia="Times New Roman" w:hAnsi="Times New Roman" w:cs="Times New Roman"/>
                <w:color w:val="000000"/>
                <w:sz w:val="20"/>
                <w:szCs w:val="20"/>
                <w:lang w:val="en-GB" w:eastAsia="en-GB"/>
              </w:rPr>
              <w:t>*</w:t>
            </w:r>
          </w:p>
        </w:tc>
      </w:tr>
      <w:tr w:rsidR="005558A7" w:rsidRPr="00790FE1" w14:paraId="7947C011" w14:textId="77777777" w:rsidTr="002B4AF2">
        <w:trPr>
          <w:trHeight w:val="227"/>
        </w:trPr>
        <w:tc>
          <w:tcPr>
            <w:tcW w:w="695" w:type="pct"/>
            <w:tcBorders>
              <w:top w:val="nil"/>
              <w:left w:val="nil"/>
              <w:bottom w:val="nil"/>
              <w:right w:val="nil"/>
            </w:tcBorders>
            <w:noWrap/>
            <w:vAlign w:val="bottom"/>
            <w:hideMark/>
          </w:tcPr>
          <w:p w14:paraId="533DF1FD"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2396754F" w14:textId="3CF8038B"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6BDC2537"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0A796BBA" w14:textId="7C733C45"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6F2678DD"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31F79C44" w14:textId="1AE45024"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0.487</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0332986D"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078D36F8"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4F8289CE"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DED8923" w14:textId="4C035BB4"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7CB2F3BB"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032C727"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170EFB36"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34C80A81" w14:textId="6AABB60D"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0.085</w:t>
            </w:r>
            <w:r>
              <w:rPr>
                <w:rFonts w:ascii="Times New Roman" w:eastAsia="Times New Roman" w:hAnsi="Times New Roman" w:cs="Times New Roman"/>
                <w:color w:val="000000"/>
                <w:sz w:val="20"/>
                <w:szCs w:val="20"/>
                <w:lang w:val="en-GB" w:eastAsia="en-GB"/>
              </w:rPr>
              <w:t>)</w:t>
            </w:r>
          </w:p>
        </w:tc>
      </w:tr>
      <w:tr w:rsidR="005558A7" w:rsidRPr="00790FE1" w14:paraId="07C557A8" w14:textId="77777777" w:rsidTr="002B4AF2">
        <w:trPr>
          <w:trHeight w:val="227"/>
        </w:trPr>
        <w:tc>
          <w:tcPr>
            <w:tcW w:w="695" w:type="pct"/>
            <w:tcBorders>
              <w:top w:val="nil"/>
              <w:left w:val="nil"/>
              <w:bottom w:val="nil"/>
              <w:right w:val="nil"/>
            </w:tcBorders>
            <w:noWrap/>
            <w:vAlign w:val="bottom"/>
            <w:hideMark/>
          </w:tcPr>
          <w:p w14:paraId="50A037C6"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w:t>
            </w:r>
            <w:r w:rsidRPr="00EF0972">
              <w:rPr>
                <w:rFonts w:ascii="Times New Roman" w:eastAsia="Times New Roman" w:hAnsi="Times New Roman" w:cs="Times New Roman"/>
                <w:color w:val="000000"/>
                <w:sz w:val="20"/>
                <w:szCs w:val="20"/>
                <w:vertAlign w:val="subscript"/>
                <w:lang w:val="en-GB" w:eastAsia="en-GB"/>
              </w:rPr>
              <w:t>EARN&lt;0</w:t>
            </w:r>
          </w:p>
        </w:tc>
        <w:tc>
          <w:tcPr>
            <w:tcW w:w="462" w:type="pct"/>
            <w:tcBorders>
              <w:top w:val="nil"/>
              <w:left w:val="nil"/>
              <w:bottom w:val="nil"/>
              <w:right w:val="nil"/>
            </w:tcBorders>
            <w:vAlign w:val="bottom"/>
          </w:tcPr>
          <w:p w14:paraId="04B1F714" w14:textId="5971973D"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62495696"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2D887A7A" w14:textId="7EF0430D"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7CF6219"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19F359BD" w14:textId="31A5231A"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0.066</w:t>
            </w:r>
            <w:r w:rsidR="0061408F">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27C6566B"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0CA3E33F"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06519EAA"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4408AC5" w14:textId="2601335F"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0.072</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3B186515"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143B94DD"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CCA95FC"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12E8CB20" w14:textId="6B24A9A0"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0.031</w:t>
            </w:r>
            <w:r w:rsidR="0061408F">
              <w:rPr>
                <w:rFonts w:ascii="Times New Roman" w:eastAsia="Times New Roman" w:hAnsi="Times New Roman" w:cs="Times New Roman"/>
                <w:color w:val="000000"/>
                <w:sz w:val="20"/>
                <w:szCs w:val="20"/>
                <w:lang w:val="en-GB" w:eastAsia="en-GB"/>
              </w:rPr>
              <w:t>***</w:t>
            </w:r>
          </w:p>
        </w:tc>
      </w:tr>
      <w:tr w:rsidR="005558A7" w:rsidRPr="00790FE1" w14:paraId="5BBEE99B" w14:textId="77777777" w:rsidTr="002B4AF2">
        <w:trPr>
          <w:trHeight w:val="227"/>
        </w:trPr>
        <w:tc>
          <w:tcPr>
            <w:tcW w:w="695" w:type="pct"/>
            <w:tcBorders>
              <w:top w:val="nil"/>
              <w:left w:val="nil"/>
              <w:bottom w:val="nil"/>
              <w:right w:val="nil"/>
            </w:tcBorders>
            <w:noWrap/>
            <w:vAlign w:val="bottom"/>
            <w:hideMark/>
          </w:tcPr>
          <w:p w14:paraId="38C07105"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7FE585C3" w14:textId="08D2F11F"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2736318C"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49BC8E01" w14:textId="3B14C77F"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61A09740"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68D758C0" w14:textId="15496A39"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2874AA2C"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0E29A252"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6E44DBD5"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2B2757C" w14:textId="5D7168E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735200AB"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63E24C3"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59153032"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1CE6C276" w14:textId="7AE4459C"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5558A7" w:rsidRPr="00790FE1" w14:paraId="4DF5706A" w14:textId="77777777" w:rsidTr="002B4AF2">
        <w:trPr>
          <w:trHeight w:val="227"/>
        </w:trPr>
        <w:tc>
          <w:tcPr>
            <w:tcW w:w="695" w:type="pct"/>
            <w:tcBorders>
              <w:top w:val="nil"/>
              <w:left w:val="nil"/>
              <w:bottom w:val="nil"/>
              <w:right w:val="nil"/>
            </w:tcBorders>
            <w:noWrap/>
            <w:vAlign w:val="bottom"/>
            <w:hideMark/>
          </w:tcPr>
          <w:p w14:paraId="4614B6C0"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w:t>
            </w:r>
            <w:r w:rsidRPr="00EF0972">
              <w:rPr>
                <w:rFonts w:ascii="Times New Roman" w:eastAsia="Times New Roman" w:hAnsi="Times New Roman" w:cs="Times New Roman"/>
                <w:color w:val="000000"/>
                <w:sz w:val="20"/>
                <w:szCs w:val="20"/>
                <w:vertAlign w:val="subscript"/>
                <w:lang w:val="en-GB" w:eastAsia="en-GB"/>
              </w:rPr>
              <w:t>DIV&gt;0</w:t>
            </w:r>
          </w:p>
        </w:tc>
        <w:tc>
          <w:tcPr>
            <w:tcW w:w="462" w:type="pct"/>
            <w:tcBorders>
              <w:top w:val="nil"/>
              <w:left w:val="nil"/>
              <w:bottom w:val="nil"/>
              <w:right w:val="nil"/>
            </w:tcBorders>
            <w:vAlign w:val="bottom"/>
          </w:tcPr>
          <w:p w14:paraId="61CE19E1" w14:textId="0EC5BBDC"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790FE1">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790FE1">
              <w:rPr>
                <w:rFonts w:ascii="Times New Roman" w:eastAsia="Times New Roman" w:hAnsi="Times New Roman" w:cs="Times New Roman"/>
                <w:color w:val="000000"/>
                <w:sz w:val="20"/>
                <w:szCs w:val="20"/>
                <w:lang w:val="en-GB" w:eastAsia="en-GB"/>
              </w:rPr>
              <w:t>)</w:t>
            </w:r>
          </w:p>
        </w:tc>
        <w:tc>
          <w:tcPr>
            <w:tcW w:w="98" w:type="pct"/>
            <w:tcBorders>
              <w:top w:val="nil"/>
              <w:left w:val="nil"/>
              <w:bottom w:val="nil"/>
              <w:right w:val="nil"/>
            </w:tcBorders>
            <w:vAlign w:val="bottom"/>
          </w:tcPr>
          <w:p w14:paraId="103AEE50"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401" w:type="pct"/>
            <w:tcBorders>
              <w:top w:val="nil"/>
              <w:left w:val="nil"/>
              <w:bottom w:val="nil"/>
              <w:right w:val="nil"/>
            </w:tcBorders>
            <w:noWrap/>
            <w:vAlign w:val="bottom"/>
            <w:hideMark/>
          </w:tcPr>
          <w:p w14:paraId="23B3BC9E" w14:textId="009C88DB"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4157BD35"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5E0282DA" w14:textId="27407CA8"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-0.055</w:t>
            </w:r>
            <w:r w:rsidR="0061408F">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2162D4EA"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706DF803"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85" w:type="pct"/>
            <w:tcBorders>
              <w:top w:val="nil"/>
              <w:left w:val="nil"/>
              <w:bottom w:val="nil"/>
              <w:right w:val="nil"/>
            </w:tcBorders>
            <w:noWrap/>
            <w:vAlign w:val="bottom"/>
            <w:hideMark/>
          </w:tcPr>
          <w:p w14:paraId="45D079FC"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9E48BCA" w14:textId="171C81C8"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-0.029</w:t>
            </w:r>
            <w:r w:rsidR="0061408F">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7FD3BD04"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235EDDC4"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096E7E00"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6EE478A6" w14:textId="788C4C84"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0.008</w:t>
            </w:r>
            <w:r w:rsidR="0061408F">
              <w:rPr>
                <w:rFonts w:ascii="Times New Roman" w:eastAsia="Times New Roman" w:hAnsi="Times New Roman" w:cs="Times New Roman"/>
                <w:color w:val="000000"/>
                <w:sz w:val="20"/>
                <w:szCs w:val="20"/>
                <w:lang w:val="en-GB" w:eastAsia="en-GB"/>
              </w:rPr>
              <w:t>***</w:t>
            </w:r>
          </w:p>
        </w:tc>
      </w:tr>
      <w:tr w:rsidR="005558A7" w:rsidRPr="00790FE1" w14:paraId="6AEFA55A" w14:textId="77777777" w:rsidTr="002B4AF2">
        <w:trPr>
          <w:trHeight w:val="227"/>
        </w:trPr>
        <w:tc>
          <w:tcPr>
            <w:tcW w:w="695" w:type="pct"/>
            <w:tcBorders>
              <w:top w:val="nil"/>
              <w:left w:val="nil"/>
              <w:bottom w:val="nil"/>
              <w:right w:val="nil"/>
            </w:tcBorders>
            <w:noWrap/>
            <w:vAlign w:val="bottom"/>
            <w:hideMark/>
          </w:tcPr>
          <w:p w14:paraId="5BE672F0"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62" w:type="pct"/>
            <w:tcBorders>
              <w:top w:val="nil"/>
              <w:left w:val="nil"/>
              <w:bottom w:val="nil"/>
              <w:right w:val="nil"/>
            </w:tcBorders>
            <w:vAlign w:val="bottom"/>
          </w:tcPr>
          <w:p w14:paraId="30E32579" w14:textId="5FCFF354" w:rsidR="005558A7" w:rsidRPr="00790FE1"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98" w:type="pct"/>
            <w:tcBorders>
              <w:top w:val="nil"/>
              <w:left w:val="nil"/>
              <w:bottom w:val="nil"/>
              <w:right w:val="nil"/>
            </w:tcBorders>
            <w:vAlign w:val="bottom"/>
          </w:tcPr>
          <w:p w14:paraId="2353CD9A"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401" w:type="pct"/>
            <w:tcBorders>
              <w:top w:val="nil"/>
              <w:left w:val="nil"/>
              <w:bottom w:val="nil"/>
              <w:right w:val="nil"/>
            </w:tcBorders>
            <w:noWrap/>
            <w:vAlign w:val="bottom"/>
            <w:hideMark/>
          </w:tcPr>
          <w:p w14:paraId="32D458A0" w14:textId="34B87456"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1758BA22"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41E9732F" w14:textId="1BC85B83"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2" w:type="pct"/>
            <w:tcBorders>
              <w:top w:val="nil"/>
              <w:left w:val="nil"/>
              <w:bottom w:val="nil"/>
              <w:right w:val="nil"/>
            </w:tcBorders>
            <w:noWrap/>
            <w:vAlign w:val="bottom"/>
            <w:hideMark/>
          </w:tcPr>
          <w:p w14:paraId="33F49AD5"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62BAFA87"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85" w:type="pct"/>
            <w:tcBorders>
              <w:top w:val="nil"/>
              <w:left w:val="nil"/>
              <w:bottom w:val="nil"/>
              <w:right w:val="nil"/>
            </w:tcBorders>
            <w:noWrap/>
            <w:vAlign w:val="bottom"/>
            <w:hideMark/>
          </w:tcPr>
          <w:p w14:paraId="3A29F8F1"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73FFE9A" w14:textId="651B38A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95" w:type="pct"/>
            <w:tcBorders>
              <w:top w:val="nil"/>
              <w:left w:val="nil"/>
              <w:bottom w:val="nil"/>
              <w:right w:val="nil"/>
            </w:tcBorders>
            <w:noWrap/>
            <w:vAlign w:val="bottom"/>
            <w:hideMark/>
          </w:tcPr>
          <w:p w14:paraId="6D175DF7"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nil"/>
              <w:right w:val="nil"/>
            </w:tcBorders>
            <w:noWrap/>
            <w:vAlign w:val="bottom"/>
            <w:hideMark/>
          </w:tcPr>
          <w:p w14:paraId="331F3AF3" w14:textId="77777777" w:rsidR="005558A7" w:rsidRPr="00EF0972" w:rsidRDefault="005558A7" w:rsidP="006664C8">
            <w:pPr>
              <w:spacing w:after="0" w:line="240" w:lineRule="auto"/>
              <w:rPr>
                <w:rFonts w:ascii="Times New Roman" w:eastAsia="Times New Roman" w:hAnsi="Times New Roman" w:cs="Times New Roman"/>
                <w:sz w:val="20"/>
                <w:szCs w:val="20"/>
                <w:lang w:val="en-GB" w:eastAsia="en-GB"/>
              </w:rPr>
            </w:pPr>
          </w:p>
        </w:tc>
        <w:tc>
          <w:tcPr>
            <w:tcW w:w="372" w:type="pct"/>
            <w:tcBorders>
              <w:top w:val="nil"/>
              <w:left w:val="nil"/>
              <w:bottom w:val="nil"/>
              <w:right w:val="nil"/>
            </w:tcBorders>
            <w:noWrap/>
            <w:vAlign w:val="bottom"/>
            <w:hideMark/>
          </w:tcPr>
          <w:p w14:paraId="50255C56" w14:textId="77777777" w:rsidR="005558A7" w:rsidRPr="00EF0972" w:rsidRDefault="005558A7" w:rsidP="006664C8">
            <w:pPr>
              <w:spacing w:after="0" w:line="240" w:lineRule="auto"/>
              <w:jc w:val="center"/>
              <w:rPr>
                <w:rFonts w:ascii="Times New Roman" w:eastAsia="Times New Roman" w:hAnsi="Times New Roman" w:cs="Times New Roman"/>
                <w:sz w:val="20"/>
                <w:szCs w:val="20"/>
                <w:lang w:val="en-GB" w:eastAsia="en-GB"/>
              </w:rPr>
            </w:pPr>
          </w:p>
        </w:tc>
        <w:tc>
          <w:tcPr>
            <w:tcW w:w="357" w:type="pct"/>
            <w:tcBorders>
              <w:top w:val="nil"/>
              <w:left w:val="nil"/>
              <w:bottom w:val="nil"/>
              <w:right w:val="nil"/>
            </w:tcBorders>
            <w:noWrap/>
            <w:vAlign w:val="bottom"/>
            <w:hideMark/>
          </w:tcPr>
          <w:p w14:paraId="445423D6" w14:textId="379A6F58"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5558A7" w:rsidRPr="00790FE1" w14:paraId="5563AA9A" w14:textId="77777777" w:rsidTr="002B4AF2">
        <w:trPr>
          <w:trHeight w:val="419"/>
        </w:trPr>
        <w:tc>
          <w:tcPr>
            <w:tcW w:w="695" w:type="pct"/>
            <w:tcBorders>
              <w:top w:val="nil"/>
              <w:left w:val="nil"/>
              <w:right w:val="nil"/>
            </w:tcBorders>
            <w:noWrap/>
            <w:vAlign w:val="bottom"/>
            <w:hideMark/>
          </w:tcPr>
          <w:p w14:paraId="06A75B05"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Adj. R2</w:t>
            </w:r>
          </w:p>
        </w:tc>
        <w:tc>
          <w:tcPr>
            <w:tcW w:w="462" w:type="pct"/>
            <w:tcBorders>
              <w:top w:val="nil"/>
              <w:left w:val="nil"/>
              <w:right w:val="nil"/>
            </w:tcBorders>
            <w:vAlign w:val="bottom"/>
          </w:tcPr>
          <w:p w14:paraId="631D8130" w14:textId="7A363155"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98" w:type="pct"/>
            <w:tcBorders>
              <w:top w:val="nil"/>
              <w:left w:val="nil"/>
              <w:right w:val="nil"/>
            </w:tcBorders>
            <w:vAlign w:val="bottom"/>
          </w:tcPr>
          <w:p w14:paraId="2123C7E8"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01" w:type="pct"/>
            <w:tcBorders>
              <w:top w:val="nil"/>
              <w:left w:val="nil"/>
              <w:right w:val="nil"/>
            </w:tcBorders>
            <w:noWrap/>
            <w:vAlign w:val="bottom"/>
            <w:hideMark/>
          </w:tcPr>
          <w:p w14:paraId="5D5B82E4" w14:textId="3576944B"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0.268</w:t>
            </w:r>
          </w:p>
        </w:tc>
        <w:tc>
          <w:tcPr>
            <w:tcW w:w="372" w:type="pct"/>
            <w:tcBorders>
              <w:top w:val="nil"/>
              <w:left w:val="nil"/>
              <w:right w:val="nil"/>
            </w:tcBorders>
            <w:noWrap/>
            <w:vAlign w:val="bottom"/>
            <w:hideMark/>
          </w:tcPr>
          <w:p w14:paraId="1AB947E3"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0.283</w:t>
            </w:r>
          </w:p>
        </w:tc>
        <w:tc>
          <w:tcPr>
            <w:tcW w:w="372" w:type="pct"/>
            <w:tcBorders>
              <w:top w:val="nil"/>
              <w:left w:val="nil"/>
              <w:right w:val="nil"/>
            </w:tcBorders>
            <w:noWrap/>
            <w:vAlign w:val="bottom"/>
            <w:hideMark/>
          </w:tcPr>
          <w:p w14:paraId="510787E3"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0.681</w:t>
            </w:r>
          </w:p>
        </w:tc>
        <w:tc>
          <w:tcPr>
            <w:tcW w:w="152" w:type="pct"/>
            <w:tcBorders>
              <w:top w:val="nil"/>
              <w:left w:val="nil"/>
              <w:right w:val="nil"/>
            </w:tcBorders>
            <w:noWrap/>
            <w:vAlign w:val="bottom"/>
            <w:hideMark/>
          </w:tcPr>
          <w:p w14:paraId="28F4E0B0"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right w:val="nil"/>
            </w:tcBorders>
            <w:noWrap/>
            <w:vAlign w:val="bottom"/>
            <w:hideMark/>
          </w:tcPr>
          <w:p w14:paraId="5BEEBFB0"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0.274</w:t>
            </w:r>
          </w:p>
        </w:tc>
        <w:tc>
          <w:tcPr>
            <w:tcW w:w="385" w:type="pct"/>
            <w:tcBorders>
              <w:top w:val="nil"/>
              <w:left w:val="nil"/>
              <w:right w:val="nil"/>
            </w:tcBorders>
            <w:noWrap/>
            <w:vAlign w:val="bottom"/>
            <w:hideMark/>
          </w:tcPr>
          <w:p w14:paraId="713CB2CE"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0.298</w:t>
            </w:r>
          </w:p>
        </w:tc>
        <w:tc>
          <w:tcPr>
            <w:tcW w:w="395" w:type="pct"/>
            <w:tcBorders>
              <w:top w:val="nil"/>
              <w:left w:val="nil"/>
              <w:right w:val="nil"/>
            </w:tcBorders>
            <w:noWrap/>
            <w:vAlign w:val="bottom"/>
            <w:hideMark/>
          </w:tcPr>
          <w:p w14:paraId="40A469F1"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0.756</w:t>
            </w:r>
          </w:p>
        </w:tc>
        <w:tc>
          <w:tcPr>
            <w:tcW w:w="195" w:type="pct"/>
            <w:tcBorders>
              <w:top w:val="nil"/>
              <w:left w:val="nil"/>
              <w:right w:val="nil"/>
            </w:tcBorders>
            <w:noWrap/>
            <w:vAlign w:val="bottom"/>
            <w:hideMark/>
          </w:tcPr>
          <w:p w14:paraId="7E812BF9"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right w:val="nil"/>
            </w:tcBorders>
            <w:noWrap/>
            <w:vAlign w:val="bottom"/>
            <w:hideMark/>
          </w:tcPr>
          <w:p w14:paraId="36FBB4CC"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0.085</w:t>
            </w:r>
          </w:p>
        </w:tc>
        <w:tc>
          <w:tcPr>
            <w:tcW w:w="372" w:type="pct"/>
            <w:tcBorders>
              <w:top w:val="nil"/>
              <w:left w:val="nil"/>
              <w:right w:val="nil"/>
            </w:tcBorders>
            <w:noWrap/>
            <w:vAlign w:val="bottom"/>
            <w:hideMark/>
          </w:tcPr>
          <w:p w14:paraId="7153D378"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0.091</w:t>
            </w:r>
          </w:p>
        </w:tc>
        <w:tc>
          <w:tcPr>
            <w:tcW w:w="357" w:type="pct"/>
            <w:tcBorders>
              <w:top w:val="nil"/>
              <w:left w:val="nil"/>
              <w:right w:val="nil"/>
            </w:tcBorders>
            <w:noWrap/>
            <w:vAlign w:val="bottom"/>
            <w:hideMark/>
          </w:tcPr>
          <w:p w14:paraId="37E488DF"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0.241</w:t>
            </w:r>
          </w:p>
        </w:tc>
      </w:tr>
      <w:tr w:rsidR="005558A7" w:rsidRPr="00790FE1" w14:paraId="3C874A68" w14:textId="77777777" w:rsidTr="002B4AF2">
        <w:trPr>
          <w:trHeight w:val="227"/>
        </w:trPr>
        <w:tc>
          <w:tcPr>
            <w:tcW w:w="695" w:type="pct"/>
            <w:tcBorders>
              <w:top w:val="nil"/>
              <w:left w:val="nil"/>
              <w:bottom w:val="single" w:sz="4" w:space="0" w:color="auto"/>
              <w:right w:val="nil"/>
            </w:tcBorders>
            <w:noWrap/>
            <w:vAlign w:val="bottom"/>
            <w:hideMark/>
          </w:tcPr>
          <w:p w14:paraId="6B94BCBF" w14:textId="77777777" w:rsidR="005558A7" w:rsidRPr="00EF0972" w:rsidRDefault="005558A7" w:rsidP="006664C8">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N</w:t>
            </w:r>
          </w:p>
        </w:tc>
        <w:tc>
          <w:tcPr>
            <w:tcW w:w="462" w:type="pct"/>
            <w:tcBorders>
              <w:top w:val="nil"/>
              <w:left w:val="nil"/>
              <w:bottom w:val="single" w:sz="4" w:space="0" w:color="auto"/>
              <w:right w:val="nil"/>
            </w:tcBorders>
            <w:vAlign w:val="bottom"/>
          </w:tcPr>
          <w:p w14:paraId="06A44408" w14:textId="07A7293B" w:rsidR="005558A7" w:rsidRPr="00790FE1"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98" w:type="pct"/>
            <w:tcBorders>
              <w:top w:val="nil"/>
              <w:left w:val="nil"/>
              <w:bottom w:val="single" w:sz="4" w:space="0" w:color="auto"/>
              <w:right w:val="nil"/>
            </w:tcBorders>
            <w:vAlign w:val="bottom"/>
          </w:tcPr>
          <w:p w14:paraId="78AB8723"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401" w:type="pct"/>
            <w:tcBorders>
              <w:top w:val="nil"/>
              <w:left w:val="nil"/>
              <w:bottom w:val="single" w:sz="4" w:space="0" w:color="auto"/>
              <w:right w:val="nil"/>
            </w:tcBorders>
            <w:noWrap/>
            <w:vAlign w:val="bottom"/>
            <w:hideMark/>
          </w:tcPr>
          <w:p w14:paraId="4419CD51" w14:textId="6216532A"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118</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457</w:t>
            </w:r>
          </w:p>
        </w:tc>
        <w:tc>
          <w:tcPr>
            <w:tcW w:w="372" w:type="pct"/>
            <w:tcBorders>
              <w:top w:val="nil"/>
              <w:left w:val="nil"/>
              <w:bottom w:val="single" w:sz="4" w:space="0" w:color="auto"/>
              <w:right w:val="nil"/>
            </w:tcBorders>
            <w:noWrap/>
            <w:vAlign w:val="bottom"/>
            <w:hideMark/>
          </w:tcPr>
          <w:p w14:paraId="2CE685DA" w14:textId="0D815B03"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118</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455</w:t>
            </w:r>
          </w:p>
        </w:tc>
        <w:tc>
          <w:tcPr>
            <w:tcW w:w="372" w:type="pct"/>
            <w:tcBorders>
              <w:top w:val="nil"/>
              <w:left w:val="nil"/>
              <w:bottom w:val="single" w:sz="4" w:space="0" w:color="auto"/>
              <w:right w:val="nil"/>
            </w:tcBorders>
            <w:noWrap/>
            <w:vAlign w:val="bottom"/>
            <w:hideMark/>
          </w:tcPr>
          <w:p w14:paraId="22A9C57A" w14:textId="368D4A06"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118</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413</w:t>
            </w:r>
          </w:p>
        </w:tc>
        <w:tc>
          <w:tcPr>
            <w:tcW w:w="152" w:type="pct"/>
            <w:tcBorders>
              <w:top w:val="nil"/>
              <w:left w:val="nil"/>
              <w:bottom w:val="single" w:sz="4" w:space="0" w:color="auto"/>
              <w:right w:val="nil"/>
            </w:tcBorders>
            <w:noWrap/>
            <w:vAlign w:val="bottom"/>
            <w:hideMark/>
          </w:tcPr>
          <w:p w14:paraId="6609A585"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single" w:sz="4" w:space="0" w:color="auto"/>
              <w:right w:val="nil"/>
            </w:tcBorders>
            <w:noWrap/>
            <w:vAlign w:val="bottom"/>
            <w:hideMark/>
          </w:tcPr>
          <w:p w14:paraId="2F3F34F7" w14:textId="655D8A0A"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32</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091</w:t>
            </w:r>
          </w:p>
        </w:tc>
        <w:tc>
          <w:tcPr>
            <w:tcW w:w="385" w:type="pct"/>
            <w:tcBorders>
              <w:top w:val="nil"/>
              <w:left w:val="nil"/>
              <w:bottom w:val="single" w:sz="4" w:space="0" w:color="auto"/>
              <w:right w:val="nil"/>
            </w:tcBorders>
            <w:noWrap/>
            <w:vAlign w:val="bottom"/>
            <w:hideMark/>
          </w:tcPr>
          <w:p w14:paraId="26DFBE80" w14:textId="508594DF"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32</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089</w:t>
            </w:r>
          </w:p>
        </w:tc>
        <w:tc>
          <w:tcPr>
            <w:tcW w:w="395" w:type="pct"/>
            <w:tcBorders>
              <w:top w:val="nil"/>
              <w:left w:val="nil"/>
              <w:bottom w:val="single" w:sz="4" w:space="0" w:color="auto"/>
              <w:right w:val="nil"/>
            </w:tcBorders>
            <w:noWrap/>
            <w:vAlign w:val="bottom"/>
            <w:hideMark/>
          </w:tcPr>
          <w:p w14:paraId="709BF503" w14:textId="2FAD16CA"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32</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081</w:t>
            </w:r>
          </w:p>
        </w:tc>
        <w:tc>
          <w:tcPr>
            <w:tcW w:w="195" w:type="pct"/>
            <w:tcBorders>
              <w:top w:val="nil"/>
              <w:left w:val="nil"/>
              <w:bottom w:val="single" w:sz="4" w:space="0" w:color="auto"/>
              <w:right w:val="nil"/>
            </w:tcBorders>
            <w:noWrap/>
            <w:vAlign w:val="bottom"/>
            <w:hideMark/>
          </w:tcPr>
          <w:p w14:paraId="2A135CFE" w14:textId="77777777"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p>
        </w:tc>
        <w:tc>
          <w:tcPr>
            <w:tcW w:w="372" w:type="pct"/>
            <w:tcBorders>
              <w:top w:val="nil"/>
              <w:left w:val="nil"/>
              <w:bottom w:val="single" w:sz="4" w:space="0" w:color="auto"/>
              <w:right w:val="nil"/>
            </w:tcBorders>
            <w:noWrap/>
            <w:vAlign w:val="bottom"/>
            <w:hideMark/>
          </w:tcPr>
          <w:p w14:paraId="7F6096C3" w14:textId="1E500CD1"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32</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553</w:t>
            </w:r>
          </w:p>
        </w:tc>
        <w:tc>
          <w:tcPr>
            <w:tcW w:w="372" w:type="pct"/>
            <w:tcBorders>
              <w:top w:val="nil"/>
              <w:left w:val="nil"/>
              <w:bottom w:val="single" w:sz="4" w:space="0" w:color="auto"/>
              <w:right w:val="nil"/>
            </w:tcBorders>
            <w:noWrap/>
            <w:vAlign w:val="bottom"/>
            <w:hideMark/>
          </w:tcPr>
          <w:p w14:paraId="3784AA01" w14:textId="000861B5"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32</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551</w:t>
            </w:r>
          </w:p>
        </w:tc>
        <w:tc>
          <w:tcPr>
            <w:tcW w:w="357" w:type="pct"/>
            <w:tcBorders>
              <w:top w:val="nil"/>
              <w:left w:val="nil"/>
              <w:bottom w:val="single" w:sz="4" w:space="0" w:color="auto"/>
              <w:right w:val="nil"/>
            </w:tcBorders>
            <w:noWrap/>
            <w:vAlign w:val="bottom"/>
            <w:hideMark/>
          </w:tcPr>
          <w:p w14:paraId="777AC93E" w14:textId="5C98FD92" w:rsidR="005558A7" w:rsidRPr="00EF0972" w:rsidRDefault="005558A7" w:rsidP="006664C8">
            <w:pPr>
              <w:spacing w:after="0" w:line="240" w:lineRule="auto"/>
              <w:jc w:val="center"/>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32</w:t>
            </w:r>
            <w:r>
              <w:rPr>
                <w:rFonts w:ascii="Times New Roman" w:eastAsia="Times New Roman" w:hAnsi="Times New Roman" w:cs="Times New Roman"/>
                <w:color w:val="000000"/>
                <w:sz w:val="20"/>
                <w:szCs w:val="20"/>
                <w:lang w:val="en-GB" w:eastAsia="en-GB"/>
              </w:rPr>
              <w:t>,</w:t>
            </w:r>
            <w:r w:rsidRPr="00EF0972">
              <w:rPr>
                <w:rFonts w:ascii="Times New Roman" w:eastAsia="Times New Roman" w:hAnsi="Times New Roman" w:cs="Times New Roman"/>
                <w:color w:val="000000"/>
                <w:sz w:val="20"/>
                <w:szCs w:val="20"/>
                <w:lang w:val="en-GB" w:eastAsia="en-GB"/>
              </w:rPr>
              <w:t>542</w:t>
            </w:r>
          </w:p>
        </w:tc>
      </w:tr>
    </w:tbl>
    <w:p w14:paraId="51F15A9E" w14:textId="4C1552F4" w:rsidR="0063379C" w:rsidRPr="005A60C4" w:rsidRDefault="0063379C" w:rsidP="0073671D">
      <w:pPr>
        <w:jc w:val="center"/>
        <w:rPr>
          <w:rFonts w:ascii="Times New Roman" w:hAnsi="Times New Roman" w:cs="Times New Roman"/>
          <w:b/>
          <w:sz w:val="20"/>
          <w:szCs w:val="20"/>
        </w:rPr>
      </w:pPr>
      <w:r w:rsidRPr="005A60C4">
        <w:rPr>
          <w:rFonts w:ascii="Times New Roman" w:hAnsi="Times New Roman" w:cs="Times New Roman"/>
          <w:b/>
          <w:sz w:val="20"/>
          <w:szCs w:val="20"/>
        </w:rPr>
        <w:lastRenderedPageBreak/>
        <w:t xml:space="preserve">TABLE </w:t>
      </w:r>
      <w:r w:rsidR="007D15CC">
        <w:rPr>
          <w:rFonts w:ascii="Times New Roman" w:hAnsi="Times New Roman" w:cs="Times New Roman"/>
          <w:b/>
          <w:sz w:val="20"/>
          <w:szCs w:val="20"/>
        </w:rPr>
        <w:t>4</w:t>
      </w:r>
      <w:r w:rsidR="0095639B">
        <w:rPr>
          <w:rFonts w:ascii="Times New Roman" w:hAnsi="Times New Roman" w:cs="Times New Roman"/>
          <w:b/>
          <w:sz w:val="20"/>
          <w:szCs w:val="20"/>
        </w:rPr>
        <w:t xml:space="preserve"> - continued</w:t>
      </w:r>
    </w:p>
    <w:p w14:paraId="51174670" w14:textId="35447E75" w:rsidR="0063379C" w:rsidRDefault="0063379C" w:rsidP="0073671D">
      <w:pPr>
        <w:spacing w:line="360" w:lineRule="auto"/>
        <w:rPr>
          <w:rFonts w:ascii="Times New Roman" w:hAnsi="Times New Roman" w:cs="Times New Roman"/>
          <w:sz w:val="20"/>
          <w:szCs w:val="20"/>
        </w:rPr>
      </w:pPr>
      <w:r w:rsidRPr="007F410E">
        <w:rPr>
          <w:rFonts w:ascii="Times New Roman" w:hAnsi="Times New Roman" w:cs="Times New Roman"/>
          <w:sz w:val="20"/>
          <w:szCs w:val="20"/>
        </w:rPr>
        <w:t xml:space="preserve">Panel </w:t>
      </w:r>
      <w:r>
        <w:rPr>
          <w:rFonts w:ascii="Times New Roman" w:hAnsi="Times New Roman" w:cs="Times New Roman"/>
          <w:sz w:val="20"/>
          <w:szCs w:val="20"/>
        </w:rPr>
        <w:t>B</w:t>
      </w:r>
      <w:r w:rsidRPr="007F410E">
        <w:rPr>
          <w:rFonts w:ascii="Times New Roman" w:hAnsi="Times New Roman" w:cs="Times New Roman"/>
          <w:sz w:val="20"/>
          <w:szCs w:val="20"/>
        </w:rPr>
        <w:t>: Uncertainty</w:t>
      </w:r>
      <w:r w:rsidR="0013608E">
        <w:rPr>
          <w:rFonts w:ascii="Times New Roman" w:hAnsi="Times New Roman" w:cs="Times New Roman"/>
          <w:sz w:val="20"/>
          <w:szCs w:val="20"/>
        </w:rPr>
        <w:t xml:space="preserve"> in Cash Flows</w:t>
      </w:r>
    </w:p>
    <w:tbl>
      <w:tblPr>
        <w:tblW w:w="5039" w:type="pct"/>
        <w:tblLook w:val="04A0" w:firstRow="1" w:lastRow="0" w:firstColumn="1" w:lastColumn="0" w:noHBand="0" w:noVBand="1"/>
      </w:tblPr>
      <w:tblGrid>
        <w:gridCol w:w="1805"/>
        <w:gridCol w:w="1029"/>
        <w:gridCol w:w="225"/>
        <w:gridCol w:w="1033"/>
        <w:gridCol w:w="1033"/>
        <w:gridCol w:w="1034"/>
        <w:gridCol w:w="300"/>
        <w:gridCol w:w="1033"/>
        <w:gridCol w:w="1033"/>
        <w:gridCol w:w="1034"/>
        <w:gridCol w:w="402"/>
        <w:gridCol w:w="1033"/>
        <w:gridCol w:w="1033"/>
        <w:gridCol w:w="1034"/>
      </w:tblGrid>
      <w:tr w:rsidR="005558A7" w:rsidRPr="00FD7E89" w14:paraId="2F4C45C5" w14:textId="77777777" w:rsidTr="008B4060">
        <w:trPr>
          <w:trHeight w:val="255"/>
        </w:trPr>
        <w:tc>
          <w:tcPr>
            <w:tcW w:w="691" w:type="pct"/>
            <w:tcBorders>
              <w:top w:val="single" w:sz="4" w:space="0" w:color="auto"/>
              <w:left w:val="nil"/>
              <w:right w:val="nil"/>
            </w:tcBorders>
            <w:noWrap/>
            <w:vAlign w:val="bottom"/>
          </w:tcPr>
          <w:p w14:paraId="05B9589F" w14:textId="77777777" w:rsidR="005558A7" w:rsidRPr="00FD7E89" w:rsidRDefault="005558A7" w:rsidP="00D978C6">
            <w:pPr>
              <w:spacing w:after="0" w:line="240" w:lineRule="auto"/>
              <w:rPr>
                <w:rFonts w:ascii="Times New Roman" w:eastAsia="Times New Roman" w:hAnsi="Times New Roman" w:cs="Times New Roman"/>
                <w:color w:val="000000"/>
                <w:sz w:val="20"/>
                <w:szCs w:val="20"/>
                <w:lang w:val="en-GB" w:eastAsia="en-GB"/>
              </w:rPr>
            </w:pPr>
          </w:p>
        </w:tc>
        <w:tc>
          <w:tcPr>
            <w:tcW w:w="394" w:type="pct"/>
            <w:tcBorders>
              <w:top w:val="single" w:sz="4" w:space="0" w:color="auto"/>
              <w:left w:val="nil"/>
              <w:right w:val="nil"/>
            </w:tcBorders>
            <w:vAlign w:val="bottom"/>
          </w:tcPr>
          <w:p w14:paraId="5F563F2B" w14:textId="77777777"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86" w:type="pct"/>
            <w:tcBorders>
              <w:top w:val="single" w:sz="4" w:space="0" w:color="auto"/>
              <w:left w:val="nil"/>
              <w:right w:val="nil"/>
            </w:tcBorders>
            <w:vAlign w:val="bottom"/>
          </w:tcPr>
          <w:p w14:paraId="0AC23821" w14:textId="77777777"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1186" w:type="pct"/>
            <w:gridSpan w:val="3"/>
            <w:tcBorders>
              <w:top w:val="single" w:sz="4" w:space="0" w:color="auto"/>
              <w:left w:val="nil"/>
              <w:bottom w:val="single" w:sz="4" w:space="0" w:color="auto"/>
              <w:right w:val="nil"/>
            </w:tcBorders>
            <w:noWrap/>
            <w:vAlign w:val="bottom"/>
          </w:tcPr>
          <w:p w14:paraId="57F005DB" w14:textId="507E01E1"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Log(</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(ROA)</w:t>
            </w:r>
            <w:r w:rsidRPr="00A25C55">
              <w:rPr>
                <w:rFonts w:ascii="Times New Roman" w:eastAsia="Times New Roman" w:hAnsi="Times New Roman" w:cs="Times New Roman"/>
                <w:color w:val="000000"/>
                <w:sz w:val="20"/>
                <w:szCs w:val="20"/>
                <w:vertAlign w:val="superscript"/>
                <w:lang w:val="en-GB" w:eastAsia="en-GB"/>
              </w:rPr>
              <w:t>P</w:t>
            </w:r>
            <w:r>
              <w:rPr>
                <w:rFonts w:ascii="Times New Roman" w:eastAsia="Times New Roman" w:hAnsi="Times New Roman" w:cs="Times New Roman"/>
                <w:color w:val="000000"/>
                <w:sz w:val="20"/>
                <w:szCs w:val="20"/>
                <w:vertAlign w:val="superscript"/>
                <w:lang w:val="en-GB" w:eastAsia="en-GB"/>
              </w:rPr>
              <w:t>OST</w:t>
            </w:r>
            <w:r w:rsidRPr="00FD7E89">
              <w:rPr>
                <w:rFonts w:ascii="Times New Roman" w:eastAsia="Times New Roman" w:hAnsi="Times New Roman" w:cs="Times New Roman"/>
                <w:color w:val="000000"/>
                <w:sz w:val="20"/>
                <w:szCs w:val="20"/>
                <w:lang w:val="en-GB" w:eastAsia="en-GB"/>
              </w:rPr>
              <w:t>)</w:t>
            </w:r>
          </w:p>
        </w:tc>
        <w:tc>
          <w:tcPr>
            <w:tcW w:w="115" w:type="pct"/>
            <w:tcBorders>
              <w:top w:val="single" w:sz="4" w:space="0" w:color="auto"/>
              <w:left w:val="nil"/>
              <w:bottom w:val="nil"/>
              <w:right w:val="nil"/>
            </w:tcBorders>
            <w:noWrap/>
            <w:vAlign w:val="bottom"/>
          </w:tcPr>
          <w:p w14:paraId="2E1D816B" w14:textId="77777777"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1186" w:type="pct"/>
            <w:gridSpan w:val="3"/>
            <w:tcBorders>
              <w:top w:val="single" w:sz="4" w:space="0" w:color="auto"/>
              <w:left w:val="nil"/>
              <w:bottom w:val="single" w:sz="4" w:space="0" w:color="auto"/>
              <w:right w:val="nil"/>
            </w:tcBorders>
            <w:noWrap/>
            <w:vAlign w:val="bottom"/>
          </w:tcPr>
          <w:p w14:paraId="3CFABE10" w14:textId="0D1AEE22"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Log</w:t>
            </w:r>
            <w:r>
              <w:rPr>
                <w:rFonts w:ascii="Times New Roman" w:eastAsia="Times New Roman" w:hAnsi="Times New Roman" w:cs="Times New Roman"/>
                <w:color w:val="000000"/>
                <w:sz w:val="20"/>
                <w:szCs w:val="20"/>
                <w:lang w:val="en-GB" w:eastAsia="en-GB"/>
              </w:rPr>
              <w:t>(</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CF News</w:t>
            </w:r>
            <w:r w:rsidRPr="00A25C55">
              <w:rPr>
                <w:rFonts w:ascii="Times New Roman" w:eastAsia="Times New Roman" w:hAnsi="Times New Roman" w:cs="Times New Roman"/>
                <w:color w:val="000000"/>
                <w:sz w:val="20"/>
                <w:szCs w:val="20"/>
                <w:lang w:val="en-GB" w:eastAsia="en-GB"/>
              </w:rPr>
              <w:t>)</w:t>
            </w:r>
            <w:r w:rsidRPr="00FD7E89">
              <w:rPr>
                <w:rFonts w:ascii="Times New Roman" w:eastAsia="Times New Roman" w:hAnsi="Times New Roman" w:cs="Times New Roman"/>
                <w:color w:val="000000"/>
                <w:sz w:val="20"/>
                <w:szCs w:val="20"/>
                <w:vertAlign w:val="superscript"/>
                <w:lang w:val="en-GB" w:eastAsia="en-GB"/>
              </w:rPr>
              <w:t>POST</w:t>
            </w:r>
            <w:r w:rsidRPr="00FD7E89">
              <w:rPr>
                <w:rFonts w:ascii="Times New Roman" w:eastAsia="Times New Roman" w:hAnsi="Times New Roman" w:cs="Times New Roman"/>
                <w:color w:val="000000"/>
                <w:sz w:val="20"/>
                <w:szCs w:val="20"/>
                <w:lang w:val="en-GB" w:eastAsia="en-GB"/>
              </w:rPr>
              <w:t>)</w:t>
            </w:r>
          </w:p>
        </w:tc>
        <w:tc>
          <w:tcPr>
            <w:tcW w:w="154" w:type="pct"/>
            <w:tcBorders>
              <w:top w:val="single" w:sz="4" w:space="0" w:color="auto"/>
              <w:left w:val="nil"/>
              <w:bottom w:val="nil"/>
              <w:right w:val="nil"/>
            </w:tcBorders>
            <w:noWrap/>
            <w:vAlign w:val="bottom"/>
          </w:tcPr>
          <w:p w14:paraId="7A5A3DA2" w14:textId="77777777"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1186" w:type="pct"/>
            <w:gridSpan w:val="3"/>
            <w:tcBorders>
              <w:top w:val="single" w:sz="4" w:space="0" w:color="auto"/>
              <w:left w:val="nil"/>
              <w:bottom w:val="single" w:sz="4" w:space="0" w:color="auto"/>
              <w:right w:val="nil"/>
            </w:tcBorders>
            <w:noWrap/>
            <w:vAlign w:val="bottom"/>
          </w:tcPr>
          <w:p w14:paraId="72FB572D" w14:textId="5D2E3636" w:rsidR="005558A7" w:rsidRPr="00FD7E89" w:rsidRDefault="005558A7" w:rsidP="00D978C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 xml:space="preserve">Log(1 + </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E[</w:t>
            </w:r>
            <w:r w:rsidRPr="00FD7E89">
              <w:rPr>
                <w:rFonts w:ascii="Times New Roman" w:eastAsia="Times New Roman" w:hAnsi="Times New Roman" w:cs="Times New Roman"/>
                <w:color w:val="000000"/>
                <w:sz w:val="20"/>
                <w:szCs w:val="20"/>
                <w:lang w:val="en-GB" w:eastAsia="en-GB"/>
              </w:rPr>
              <w:t>EPS</w:t>
            </w:r>
            <w:r>
              <w:rPr>
                <w:rFonts w:ascii="Times New Roman" w:eastAsia="Times New Roman" w:hAnsi="Times New Roman" w:cs="Times New Roman"/>
                <w:color w:val="000000"/>
                <w:sz w:val="20"/>
                <w:szCs w:val="20"/>
                <w:lang w:val="en-GB" w:eastAsia="en-GB"/>
              </w:rPr>
              <w:t>])</w:t>
            </w:r>
            <w:r w:rsidRPr="00FD7E89">
              <w:rPr>
                <w:rFonts w:ascii="Times New Roman" w:eastAsia="Times New Roman" w:hAnsi="Times New Roman" w:cs="Times New Roman"/>
                <w:color w:val="000000"/>
                <w:sz w:val="20"/>
                <w:szCs w:val="20"/>
                <w:lang w:val="en-GB" w:eastAsia="en-GB"/>
              </w:rPr>
              <w:t>)</w:t>
            </w:r>
          </w:p>
        </w:tc>
      </w:tr>
      <w:tr w:rsidR="008B4060" w:rsidRPr="00FD7E89" w14:paraId="6AAD2E1A" w14:textId="77777777" w:rsidTr="008B4060">
        <w:trPr>
          <w:trHeight w:val="220"/>
        </w:trPr>
        <w:tc>
          <w:tcPr>
            <w:tcW w:w="691" w:type="pct"/>
            <w:tcBorders>
              <w:left w:val="nil"/>
              <w:bottom w:val="single" w:sz="4" w:space="0" w:color="auto"/>
              <w:right w:val="nil"/>
            </w:tcBorders>
            <w:noWrap/>
            <w:vAlign w:val="bottom"/>
            <w:hideMark/>
          </w:tcPr>
          <w:p w14:paraId="1C1D6A1D" w14:textId="77777777" w:rsidR="005558A7" w:rsidRPr="00FD7E89" w:rsidRDefault="005558A7" w:rsidP="00C67FD1">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 </w:t>
            </w:r>
          </w:p>
        </w:tc>
        <w:tc>
          <w:tcPr>
            <w:tcW w:w="394" w:type="pct"/>
            <w:tcBorders>
              <w:left w:val="nil"/>
              <w:bottom w:val="single" w:sz="4" w:space="0" w:color="auto"/>
              <w:right w:val="nil"/>
            </w:tcBorders>
            <w:vAlign w:val="bottom"/>
          </w:tcPr>
          <w:p w14:paraId="5B6BD7B7" w14:textId="4A2FD3FF"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Exp. Sign</w:t>
            </w:r>
          </w:p>
        </w:tc>
        <w:tc>
          <w:tcPr>
            <w:tcW w:w="86" w:type="pct"/>
            <w:tcBorders>
              <w:top w:val="nil"/>
              <w:left w:val="nil"/>
              <w:right w:val="nil"/>
            </w:tcBorders>
            <w:vAlign w:val="bottom"/>
          </w:tcPr>
          <w:p w14:paraId="533F5C99" w14:textId="77777777"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single" w:sz="4" w:space="0" w:color="auto"/>
              <w:right w:val="nil"/>
            </w:tcBorders>
            <w:noWrap/>
            <w:vAlign w:val="bottom"/>
            <w:hideMark/>
          </w:tcPr>
          <w:p w14:paraId="40D0409C" w14:textId="1AFF3717"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1</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single" w:sz="4" w:space="0" w:color="auto"/>
              <w:right w:val="nil"/>
            </w:tcBorders>
            <w:noWrap/>
            <w:vAlign w:val="bottom"/>
            <w:hideMark/>
          </w:tcPr>
          <w:p w14:paraId="104B7126" w14:textId="7C126238"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2</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single" w:sz="4" w:space="0" w:color="auto"/>
              <w:right w:val="nil"/>
            </w:tcBorders>
            <w:noWrap/>
            <w:vAlign w:val="bottom"/>
            <w:hideMark/>
          </w:tcPr>
          <w:p w14:paraId="3940756E" w14:textId="3B2BBFBA"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3</w:t>
            </w:r>
            <w:r>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78E5C065" w14:textId="77777777"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single" w:sz="4" w:space="0" w:color="auto"/>
              <w:right w:val="nil"/>
            </w:tcBorders>
            <w:noWrap/>
            <w:vAlign w:val="bottom"/>
            <w:hideMark/>
          </w:tcPr>
          <w:p w14:paraId="2112CED1" w14:textId="43C5BBD4"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4</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single" w:sz="4" w:space="0" w:color="auto"/>
              <w:right w:val="nil"/>
            </w:tcBorders>
            <w:noWrap/>
            <w:vAlign w:val="bottom"/>
            <w:hideMark/>
          </w:tcPr>
          <w:p w14:paraId="6994DF98" w14:textId="51876C53"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5</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single" w:sz="4" w:space="0" w:color="auto"/>
              <w:right w:val="nil"/>
            </w:tcBorders>
            <w:noWrap/>
            <w:vAlign w:val="bottom"/>
            <w:hideMark/>
          </w:tcPr>
          <w:p w14:paraId="0F52C8DA" w14:textId="44FDA1D1"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6</w:t>
            </w:r>
            <w:r>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75F0059E" w14:textId="77777777"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single" w:sz="4" w:space="0" w:color="auto"/>
              <w:left w:val="nil"/>
              <w:bottom w:val="single" w:sz="4" w:space="0" w:color="auto"/>
              <w:right w:val="nil"/>
            </w:tcBorders>
            <w:noWrap/>
            <w:vAlign w:val="bottom"/>
            <w:hideMark/>
          </w:tcPr>
          <w:p w14:paraId="141487F8" w14:textId="148F423F"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7</w:t>
            </w:r>
            <w:r>
              <w:rPr>
                <w:rFonts w:ascii="Times New Roman" w:eastAsia="Times New Roman" w:hAnsi="Times New Roman" w:cs="Times New Roman"/>
                <w:color w:val="000000"/>
                <w:sz w:val="20"/>
                <w:szCs w:val="20"/>
                <w:lang w:val="en-GB" w:eastAsia="en-GB"/>
              </w:rPr>
              <w:t>)</w:t>
            </w:r>
          </w:p>
        </w:tc>
        <w:tc>
          <w:tcPr>
            <w:tcW w:w="395" w:type="pct"/>
            <w:tcBorders>
              <w:top w:val="single" w:sz="4" w:space="0" w:color="auto"/>
              <w:left w:val="nil"/>
              <w:bottom w:val="single" w:sz="4" w:space="0" w:color="auto"/>
              <w:right w:val="nil"/>
            </w:tcBorders>
            <w:noWrap/>
            <w:vAlign w:val="bottom"/>
            <w:hideMark/>
          </w:tcPr>
          <w:p w14:paraId="72B0FB73" w14:textId="62C97AE9"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8</w:t>
            </w:r>
            <w:r>
              <w:rPr>
                <w:rFonts w:ascii="Times New Roman" w:eastAsia="Times New Roman" w:hAnsi="Times New Roman" w:cs="Times New Roman"/>
                <w:color w:val="000000"/>
                <w:sz w:val="20"/>
                <w:szCs w:val="20"/>
                <w:lang w:val="en-GB" w:eastAsia="en-GB"/>
              </w:rPr>
              <w:t>)</w:t>
            </w:r>
          </w:p>
        </w:tc>
        <w:tc>
          <w:tcPr>
            <w:tcW w:w="395" w:type="pct"/>
            <w:tcBorders>
              <w:top w:val="single" w:sz="4" w:space="0" w:color="auto"/>
              <w:left w:val="nil"/>
              <w:bottom w:val="single" w:sz="4" w:space="0" w:color="auto"/>
              <w:right w:val="nil"/>
            </w:tcBorders>
            <w:noWrap/>
            <w:vAlign w:val="bottom"/>
            <w:hideMark/>
          </w:tcPr>
          <w:p w14:paraId="0AAB5A20" w14:textId="6B18DF15" w:rsidR="005558A7" w:rsidRPr="00FD7E89" w:rsidRDefault="005558A7" w:rsidP="00C67FD1">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9</w:t>
            </w:r>
            <w:r>
              <w:rPr>
                <w:rFonts w:ascii="Times New Roman" w:eastAsia="Times New Roman" w:hAnsi="Times New Roman" w:cs="Times New Roman"/>
                <w:color w:val="000000"/>
                <w:sz w:val="20"/>
                <w:szCs w:val="20"/>
                <w:lang w:val="en-GB" w:eastAsia="en-GB"/>
              </w:rPr>
              <w:t>)</w:t>
            </w:r>
          </w:p>
        </w:tc>
      </w:tr>
      <w:tr w:rsidR="008B4060" w:rsidRPr="00FD7E89" w14:paraId="77767097" w14:textId="77777777" w:rsidTr="008B4060">
        <w:trPr>
          <w:trHeight w:val="393"/>
        </w:trPr>
        <w:tc>
          <w:tcPr>
            <w:tcW w:w="691" w:type="pct"/>
            <w:tcBorders>
              <w:top w:val="single" w:sz="4" w:space="0" w:color="auto"/>
              <w:left w:val="nil"/>
              <w:bottom w:val="nil"/>
              <w:right w:val="nil"/>
            </w:tcBorders>
            <w:noWrap/>
            <w:vAlign w:val="bottom"/>
            <w:hideMark/>
          </w:tcPr>
          <w:p w14:paraId="10CE894B"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Intercept</w:t>
            </w:r>
          </w:p>
        </w:tc>
        <w:tc>
          <w:tcPr>
            <w:tcW w:w="394" w:type="pct"/>
            <w:tcBorders>
              <w:top w:val="single" w:sz="4" w:space="0" w:color="auto"/>
              <w:left w:val="nil"/>
              <w:bottom w:val="nil"/>
              <w:right w:val="nil"/>
            </w:tcBorders>
            <w:vAlign w:val="bottom"/>
          </w:tcPr>
          <w:p w14:paraId="666CF8FF"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86" w:type="pct"/>
            <w:tcBorders>
              <w:left w:val="nil"/>
              <w:bottom w:val="nil"/>
              <w:right w:val="nil"/>
            </w:tcBorders>
            <w:vAlign w:val="bottom"/>
          </w:tcPr>
          <w:p w14:paraId="7D993429"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single" w:sz="4" w:space="0" w:color="auto"/>
              <w:left w:val="nil"/>
              <w:bottom w:val="nil"/>
              <w:right w:val="nil"/>
            </w:tcBorders>
            <w:noWrap/>
            <w:vAlign w:val="bottom"/>
            <w:hideMark/>
          </w:tcPr>
          <w:p w14:paraId="79730DD0" w14:textId="5D1EF0E3"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-5.018</w:t>
            </w:r>
            <w:r w:rsidR="008B4060">
              <w:rPr>
                <w:rFonts w:ascii="Times New Roman" w:eastAsia="Times New Roman" w:hAnsi="Times New Roman" w:cs="Times New Roman"/>
                <w:color w:val="000000"/>
                <w:sz w:val="20"/>
                <w:szCs w:val="20"/>
                <w:lang w:val="en-GB" w:eastAsia="en-GB"/>
              </w:rPr>
              <w:t>***</w:t>
            </w:r>
          </w:p>
        </w:tc>
        <w:tc>
          <w:tcPr>
            <w:tcW w:w="395" w:type="pct"/>
            <w:tcBorders>
              <w:top w:val="single" w:sz="4" w:space="0" w:color="auto"/>
              <w:left w:val="nil"/>
              <w:bottom w:val="nil"/>
              <w:right w:val="nil"/>
            </w:tcBorders>
            <w:noWrap/>
            <w:vAlign w:val="bottom"/>
            <w:hideMark/>
          </w:tcPr>
          <w:p w14:paraId="4DE5EDC1" w14:textId="070C2A8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-5.081</w:t>
            </w:r>
            <w:r w:rsidR="008B4060">
              <w:rPr>
                <w:rFonts w:ascii="Times New Roman" w:eastAsia="Times New Roman" w:hAnsi="Times New Roman" w:cs="Times New Roman"/>
                <w:color w:val="000000"/>
                <w:sz w:val="20"/>
                <w:szCs w:val="20"/>
                <w:lang w:val="en-GB" w:eastAsia="en-GB"/>
              </w:rPr>
              <w:t>***</w:t>
            </w:r>
          </w:p>
        </w:tc>
        <w:tc>
          <w:tcPr>
            <w:tcW w:w="395" w:type="pct"/>
            <w:tcBorders>
              <w:left w:val="nil"/>
              <w:bottom w:val="nil"/>
              <w:right w:val="nil"/>
            </w:tcBorders>
            <w:noWrap/>
            <w:vAlign w:val="bottom"/>
            <w:hideMark/>
          </w:tcPr>
          <w:p w14:paraId="08DEF56F" w14:textId="78C9474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-0.743</w:t>
            </w:r>
            <w:r w:rsidR="008B4060">
              <w:rPr>
                <w:rFonts w:ascii="Times New Roman" w:eastAsia="Times New Roman" w:hAnsi="Times New Roman" w:cs="Times New Roman"/>
                <w:color w:val="000000"/>
                <w:sz w:val="20"/>
                <w:szCs w:val="20"/>
                <w:lang w:val="en-GB" w:eastAsia="en-GB"/>
              </w:rPr>
              <w:t>***</w:t>
            </w:r>
          </w:p>
        </w:tc>
        <w:tc>
          <w:tcPr>
            <w:tcW w:w="115" w:type="pct"/>
            <w:tcBorders>
              <w:left w:val="nil"/>
              <w:bottom w:val="nil"/>
              <w:right w:val="nil"/>
            </w:tcBorders>
            <w:noWrap/>
            <w:vAlign w:val="bottom"/>
            <w:hideMark/>
          </w:tcPr>
          <w:p w14:paraId="6C7A6183"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single" w:sz="4" w:space="0" w:color="auto"/>
              <w:left w:val="nil"/>
              <w:bottom w:val="nil"/>
              <w:right w:val="nil"/>
            </w:tcBorders>
            <w:noWrap/>
            <w:vAlign w:val="bottom"/>
            <w:hideMark/>
          </w:tcPr>
          <w:p w14:paraId="2DFBD5A7" w14:textId="5CBF4EE5"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-3.578</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31403346" w14:textId="32428FB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-3.581</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06FBC279" w14:textId="3E90483B"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-1.248</w:t>
            </w:r>
            <w:r w:rsidR="008B4060">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03605EB9"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31E8C9E" w14:textId="7274F452"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-0.048</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66053FB8" w14:textId="7DD95A8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-0.045</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726A6A21" w14:textId="1673425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0.464</w:t>
            </w:r>
            <w:r w:rsidR="008B4060">
              <w:rPr>
                <w:rFonts w:ascii="Times New Roman" w:eastAsia="Times New Roman" w:hAnsi="Times New Roman" w:cs="Times New Roman"/>
                <w:color w:val="000000"/>
                <w:sz w:val="20"/>
                <w:szCs w:val="20"/>
                <w:lang w:val="en-GB" w:eastAsia="en-GB"/>
              </w:rPr>
              <w:t>***</w:t>
            </w:r>
          </w:p>
        </w:tc>
      </w:tr>
      <w:tr w:rsidR="008B4060" w:rsidRPr="00FD7E89" w14:paraId="21E4F5BC" w14:textId="77777777" w:rsidTr="008B4060">
        <w:trPr>
          <w:trHeight w:val="255"/>
        </w:trPr>
        <w:tc>
          <w:tcPr>
            <w:tcW w:w="691" w:type="pct"/>
            <w:tcBorders>
              <w:top w:val="nil"/>
              <w:left w:val="nil"/>
              <w:bottom w:val="nil"/>
              <w:right w:val="nil"/>
            </w:tcBorders>
            <w:noWrap/>
            <w:vAlign w:val="bottom"/>
            <w:hideMark/>
          </w:tcPr>
          <w:p w14:paraId="15CA53C2"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16A10897"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86" w:type="pct"/>
            <w:tcBorders>
              <w:top w:val="nil"/>
              <w:left w:val="nil"/>
              <w:bottom w:val="nil"/>
              <w:right w:val="nil"/>
            </w:tcBorders>
            <w:vAlign w:val="bottom"/>
          </w:tcPr>
          <w:p w14:paraId="3AD33A16"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54681E6E" w14:textId="0ADE4A92"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396443E5" w14:textId="73B2D90B"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568D6B2D" w14:textId="65A63A1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0A558607"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E036482" w14:textId="57840B6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333377EA" w14:textId="693ED07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588C17AF" w14:textId="1360EB3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11757FF3"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3BA4BEA" w14:textId="24E5BEB2"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7CFF4A83" w14:textId="2A61CC9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68DA831E" w14:textId="467AF03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r>
      <w:tr w:rsidR="008B4060" w:rsidRPr="001660DF" w14:paraId="7681FCCD" w14:textId="77777777" w:rsidTr="008B4060">
        <w:trPr>
          <w:trHeight w:val="255"/>
        </w:trPr>
        <w:tc>
          <w:tcPr>
            <w:tcW w:w="691" w:type="pct"/>
            <w:tcBorders>
              <w:top w:val="nil"/>
              <w:left w:val="nil"/>
              <w:bottom w:val="nil"/>
              <w:right w:val="nil"/>
            </w:tcBorders>
            <w:noWrap/>
            <w:vAlign w:val="bottom"/>
            <w:hideMark/>
          </w:tcPr>
          <w:p w14:paraId="67B3ECFC" w14:textId="77777777" w:rsidR="005558A7" w:rsidRPr="001660DF" w:rsidRDefault="005558A7" w:rsidP="008A0066">
            <w:pPr>
              <w:spacing w:after="0" w:line="240" w:lineRule="auto"/>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VU</w:t>
            </w:r>
          </w:p>
        </w:tc>
        <w:tc>
          <w:tcPr>
            <w:tcW w:w="394" w:type="pct"/>
            <w:tcBorders>
              <w:top w:val="nil"/>
              <w:left w:val="nil"/>
              <w:bottom w:val="nil"/>
              <w:right w:val="nil"/>
            </w:tcBorders>
            <w:vAlign w:val="bottom"/>
          </w:tcPr>
          <w:p w14:paraId="5791A283"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w:t>
            </w:r>
          </w:p>
        </w:tc>
        <w:tc>
          <w:tcPr>
            <w:tcW w:w="86" w:type="pct"/>
            <w:tcBorders>
              <w:top w:val="nil"/>
              <w:left w:val="nil"/>
              <w:bottom w:val="nil"/>
              <w:right w:val="nil"/>
            </w:tcBorders>
            <w:vAlign w:val="bottom"/>
          </w:tcPr>
          <w:p w14:paraId="09146086"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395" w:type="pct"/>
            <w:tcBorders>
              <w:top w:val="nil"/>
              <w:left w:val="nil"/>
              <w:bottom w:val="nil"/>
              <w:right w:val="nil"/>
            </w:tcBorders>
            <w:noWrap/>
            <w:vAlign w:val="bottom"/>
            <w:hideMark/>
          </w:tcPr>
          <w:p w14:paraId="6DC79B7D" w14:textId="22A25A8A"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2.259***</w:t>
            </w:r>
          </w:p>
        </w:tc>
        <w:tc>
          <w:tcPr>
            <w:tcW w:w="395" w:type="pct"/>
            <w:tcBorders>
              <w:top w:val="nil"/>
              <w:left w:val="nil"/>
              <w:bottom w:val="nil"/>
              <w:right w:val="nil"/>
            </w:tcBorders>
            <w:noWrap/>
            <w:vAlign w:val="bottom"/>
            <w:hideMark/>
          </w:tcPr>
          <w:p w14:paraId="1DA50E10" w14:textId="6E13501A"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1.933***</w:t>
            </w:r>
          </w:p>
        </w:tc>
        <w:tc>
          <w:tcPr>
            <w:tcW w:w="395" w:type="pct"/>
            <w:tcBorders>
              <w:top w:val="nil"/>
              <w:left w:val="nil"/>
              <w:bottom w:val="nil"/>
              <w:right w:val="nil"/>
            </w:tcBorders>
            <w:noWrap/>
            <w:vAlign w:val="bottom"/>
            <w:hideMark/>
          </w:tcPr>
          <w:p w14:paraId="601934D5" w14:textId="130FFAD5"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0.538***</w:t>
            </w:r>
          </w:p>
        </w:tc>
        <w:tc>
          <w:tcPr>
            <w:tcW w:w="115" w:type="pct"/>
            <w:tcBorders>
              <w:top w:val="nil"/>
              <w:left w:val="nil"/>
              <w:bottom w:val="nil"/>
              <w:right w:val="nil"/>
            </w:tcBorders>
            <w:noWrap/>
            <w:vAlign w:val="bottom"/>
            <w:hideMark/>
          </w:tcPr>
          <w:p w14:paraId="420CB1FC"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395" w:type="pct"/>
            <w:tcBorders>
              <w:top w:val="nil"/>
              <w:left w:val="nil"/>
              <w:bottom w:val="nil"/>
              <w:right w:val="nil"/>
            </w:tcBorders>
            <w:noWrap/>
            <w:vAlign w:val="bottom"/>
            <w:hideMark/>
          </w:tcPr>
          <w:p w14:paraId="7C14EBE2" w14:textId="24BC534F"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0.920***</w:t>
            </w:r>
          </w:p>
        </w:tc>
        <w:tc>
          <w:tcPr>
            <w:tcW w:w="395" w:type="pct"/>
            <w:tcBorders>
              <w:top w:val="nil"/>
              <w:left w:val="nil"/>
              <w:bottom w:val="nil"/>
              <w:right w:val="nil"/>
            </w:tcBorders>
            <w:noWrap/>
            <w:vAlign w:val="bottom"/>
            <w:hideMark/>
          </w:tcPr>
          <w:p w14:paraId="49AA270D" w14:textId="02E453DF"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0.810***</w:t>
            </w:r>
          </w:p>
        </w:tc>
        <w:tc>
          <w:tcPr>
            <w:tcW w:w="395" w:type="pct"/>
            <w:tcBorders>
              <w:top w:val="nil"/>
              <w:left w:val="nil"/>
              <w:bottom w:val="nil"/>
              <w:right w:val="nil"/>
            </w:tcBorders>
            <w:noWrap/>
            <w:vAlign w:val="bottom"/>
            <w:hideMark/>
          </w:tcPr>
          <w:p w14:paraId="1FA8F192" w14:textId="01E314C2"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0.345***</w:t>
            </w:r>
          </w:p>
        </w:tc>
        <w:tc>
          <w:tcPr>
            <w:tcW w:w="154" w:type="pct"/>
            <w:tcBorders>
              <w:top w:val="nil"/>
              <w:left w:val="nil"/>
              <w:bottom w:val="nil"/>
              <w:right w:val="nil"/>
            </w:tcBorders>
            <w:noWrap/>
            <w:vAlign w:val="bottom"/>
            <w:hideMark/>
          </w:tcPr>
          <w:p w14:paraId="2F482B55"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395" w:type="pct"/>
            <w:tcBorders>
              <w:top w:val="nil"/>
              <w:left w:val="nil"/>
              <w:bottom w:val="nil"/>
              <w:right w:val="nil"/>
            </w:tcBorders>
            <w:noWrap/>
            <w:vAlign w:val="bottom"/>
            <w:hideMark/>
          </w:tcPr>
          <w:p w14:paraId="7EB325AE" w14:textId="216F87BA" w:rsidR="005558A7" w:rsidRPr="001660DF" w:rsidRDefault="005558A7" w:rsidP="008A0066">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0.235***</w:t>
            </w:r>
          </w:p>
        </w:tc>
        <w:tc>
          <w:tcPr>
            <w:tcW w:w="395" w:type="pct"/>
            <w:tcBorders>
              <w:top w:val="nil"/>
              <w:left w:val="nil"/>
              <w:bottom w:val="nil"/>
              <w:right w:val="nil"/>
            </w:tcBorders>
            <w:noWrap/>
            <w:vAlign w:val="bottom"/>
            <w:hideMark/>
          </w:tcPr>
          <w:p w14:paraId="39B98131" w14:textId="53519527" w:rsidR="005558A7" w:rsidRPr="001660DF" w:rsidRDefault="005558A7" w:rsidP="008A0066">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0.259***</w:t>
            </w:r>
          </w:p>
        </w:tc>
        <w:tc>
          <w:tcPr>
            <w:tcW w:w="395" w:type="pct"/>
            <w:tcBorders>
              <w:top w:val="nil"/>
              <w:left w:val="nil"/>
              <w:bottom w:val="nil"/>
              <w:right w:val="nil"/>
            </w:tcBorders>
            <w:noWrap/>
            <w:vAlign w:val="bottom"/>
            <w:hideMark/>
          </w:tcPr>
          <w:p w14:paraId="1C9E0DBE" w14:textId="096F5899" w:rsidR="005558A7" w:rsidRPr="001660DF" w:rsidRDefault="005558A7" w:rsidP="008A0066">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0.030**</w:t>
            </w:r>
          </w:p>
        </w:tc>
      </w:tr>
      <w:tr w:rsidR="008B4060" w:rsidRPr="001660DF" w14:paraId="1FBAEF9A" w14:textId="77777777" w:rsidTr="008B4060">
        <w:trPr>
          <w:trHeight w:val="255"/>
        </w:trPr>
        <w:tc>
          <w:tcPr>
            <w:tcW w:w="691" w:type="pct"/>
            <w:tcBorders>
              <w:top w:val="nil"/>
              <w:left w:val="nil"/>
              <w:bottom w:val="nil"/>
              <w:right w:val="nil"/>
            </w:tcBorders>
            <w:noWrap/>
            <w:vAlign w:val="bottom"/>
            <w:hideMark/>
          </w:tcPr>
          <w:p w14:paraId="73CC28F3" w14:textId="77777777" w:rsidR="005558A7" w:rsidRPr="001660DF" w:rsidRDefault="005558A7" w:rsidP="008A0066">
            <w:pPr>
              <w:spacing w:after="0" w:line="240" w:lineRule="auto"/>
              <w:jc w:val="center"/>
              <w:rPr>
                <w:rFonts w:ascii="Times New Roman" w:eastAsia="Times New Roman" w:hAnsi="Times New Roman" w:cs="Times New Roman"/>
                <w:b/>
                <w:bCs/>
                <w:color w:val="CC00FF"/>
                <w:sz w:val="20"/>
                <w:szCs w:val="20"/>
                <w:lang w:val="en-GB" w:eastAsia="en-GB"/>
              </w:rPr>
            </w:pPr>
          </w:p>
        </w:tc>
        <w:tc>
          <w:tcPr>
            <w:tcW w:w="394" w:type="pct"/>
            <w:tcBorders>
              <w:top w:val="nil"/>
              <w:left w:val="nil"/>
              <w:bottom w:val="nil"/>
              <w:right w:val="nil"/>
            </w:tcBorders>
            <w:vAlign w:val="bottom"/>
          </w:tcPr>
          <w:p w14:paraId="4C3B061B"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86" w:type="pct"/>
            <w:tcBorders>
              <w:top w:val="nil"/>
              <w:left w:val="nil"/>
              <w:bottom w:val="nil"/>
              <w:right w:val="nil"/>
            </w:tcBorders>
            <w:vAlign w:val="bottom"/>
          </w:tcPr>
          <w:p w14:paraId="0F6619CC"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395" w:type="pct"/>
            <w:tcBorders>
              <w:top w:val="nil"/>
              <w:left w:val="nil"/>
              <w:bottom w:val="nil"/>
              <w:right w:val="nil"/>
            </w:tcBorders>
            <w:noWrap/>
            <w:vAlign w:val="bottom"/>
            <w:hideMark/>
          </w:tcPr>
          <w:p w14:paraId="5AF84E5F" w14:textId="2DAF110D"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02E37340" w14:textId="6C81755D"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6AC8FE78" w14:textId="27DAD84C"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115" w:type="pct"/>
            <w:tcBorders>
              <w:top w:val="nil"/>
              <w:left w:val="nil"/>
              <w:bottom w:val="nil"/>
              <w:right w:val="nil"/>
            </w:tcBorders>
            <w:noWrap/>
            <w:vAlign w:val="bottom"/>
            <w:hideMark/>
          </w:tcPr>
          <w:p w14:paraId="3BD71F7B"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395" w:type="pct"/>
            <w:tcBorders>
              <w:top w:val="nil"/>
              <w:left w:val="nil"/>
              <w:bottom w:val="nil"/>
              <w:right w:val="nil"/>
            </w:tcBorders>
            <w:noWrap/>
            <w:vAlign w:val="bottom"/>
            <w:hideMark/>
          </w:tcPr>
          <w:p w14:paraId="46DF9304" w14:textId="15CCB6F0"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0A17D86C" w14:textId="42A6EB36"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4FD66427" w14:textId="70A365FA"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154" w:type="pct"/>
            <w:tcBorders>
              <w:top w:val="nil"/>
              <w:left w:val="nil"/>
              <w:bottom w:val="nil"/>
              <w:right w:val="nil"/>
            </w:tcBorders>
            <w:noWrap/>
            <w:vAlign w:val="bottom"/>
            <w:hideMark/>
          </w:tcPr>
          <w:p w14:paraId="6ECCF97E" w14:textId="77777777" w:rsidR="005558A7" w:rsidRPr="001660DF" w:rsidRDefault="005558A7" w:rsidP="008A0066">
            <w:pPr>
              <w:spacing w:after="0" w:line="240" w:lineRule="auto"/>
              <w:jc w:val="center"/>
              <w:rPr>
                <w:rFonts w:ascii="Times New Roman" w:eastAsia="Times New Roman" w:hAnsi="Times New Roman" w:cs="Times New Roman"/>
                <w:b/>
                <w:bCs/>
                <w:color w:val="000000"/>
                <w:sz w:val="20"/>
                <w:szCs w:val="20"/>
                <w:lang w:val="en-GB" w:eastAsia="en-GB"/>
              </w:rPr>
            </w:pPr>
          </w:p>
        </w:tc>
        <w:tc>
          <w:tcPr>
            <w:tcW w:w="395" w:type="pct"/>
            <w:tcBorders>
              <w:top w:val="nil"/>
              <w:left w:val="nil"/>
              <w:bottom w:val="nil"/>
              <w:right w:val="nil"/>
            </w:tcBorders>
            <w:noWrap/>
            <w:vAlign w:val="bottom"/>
            <w:hideMark/>
          </w:tcPr>
          <w:p w14:paraId="488C41FF" w14:textId="1B439441" w:rsidR="005558A7" w:rsidRPr="001660DF" w:rsidRDefault="005558A7" w:rsidP="008A0066">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47CCAAC7" w14:textId="027560D2" w:rsidR="005558A7" w:rsidRPr="001660DF" w:rsidRDefault="005558A7" w:rsidP="008A0066">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5" w:type="pct"/>
            <w:tcBorders>
              <w:top w:val="nil"/>
              <w:left w:val="nil"/>
              <w:bottom w:val="nil"/>
              <w:right w:val="nil"/>
            </w:tcBorders>
            <w:noWrap/>
            <w:vAlign w:val="bottom"/>
            <w:hideMark/>
          </w:tcPr>
          <w:p w14:paraId="11C077A7" w14:textId="3E1BF5D4" w:rsidR="005558A7" w:rsidRPr="001660DF" w:rsidRDefault="005558A7" w:rsidP="008A0066">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(0.014)</w:t>
            </w:r>
          </w:p>
        </w:tc>
      </w:tr>
      <w:tr w:rsidR="008B4060" w:rsidRPr="00FD7E89" w14:paraId="1FD41ECC" w14:textId="77777777" w:rsidTr="008B4060">
        <w:trPr>
          <w:trHeight w:val="255"/>
        </w:trPr>
        <w:tc>
          <w:tcPr>
            <w:tcW w:w="691" w:type="pct"/>
            <w:tcBorders>
              <w:top w:val="nil"/>
              <w:left w:val="nil"/>
              <w:bottom w:val="nil"/>
              <w:right w:val="nil"/>
            </w:tcBorders>
            <w:noWrap/>
            <w:vAlign w:val="bottom"/>
            <w:hideMark/>
          </w:tcPr>
          <w:p w14:paraId="6186A7AE" w14:textId="3396AB44"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6664C8">
              <w:rPr>
                <w:rFonts w:ascii="Times New Roman" w:eastAsia="Times New Roman" w:hAnsi="Times New Roman" w:cs="Times New Roman"/>
                <w:color w:val="000000"/>
                <w:sz w:val="20"/>
                <w:szCs w:val="20"/>
                <w:lang w:val="en-GB" w:eastAsia="en-GB"/>
              </w:rPr>
              <w:t>EV/EBITDA</w:t>
            </w:r>
            <w:r>
              <w:rPr>
                <w:rFonts w:ascii="Times New Roman" w:eastAsia="Times New Roman" w:hAnsi="Times New Roman" w:cs="Times New Roman"/>
                <w:color w:val="000000"/>
                <w:sz w:val="20"/>
                <w:szCs w:val="20"/>
                <w:lang w:val="en-GB" w:eastAsia="en-GB"/>
              </w:rPr>
              <w:t>)</w:t>
            </w:r>
          </w:p>
        </w:tc>
        <w:tc>
          <w:tcPr>
            <w:tcW w:w="394" w:type="pct"/>
            <w:tcBorders>
              <w:top w:val="nil"/>
              <w:left w:val="nil"/>
              <w:bottom w:val="nil"/>
              <w:right w:val="nil"/>
            </w:tcBorders>
            <w:vAlign w:val="bottom"/>
          </w:tcPr>
          <w:p w14:paraId="59C8BE51"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053A139A"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00EBD2F"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07C7D6D" w14:textId="5EC5C8B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0.039</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72E4B821" w14:textId="64B21A0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0.023</w:t>
            </w:r>
            <w:r w:rsidR="008B4060">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4B78BBCE"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1C9A460"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5FB3EF35" w14:textId="1F9C661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0.010</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14ECB9AB" w14:textId="6A7F003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0.002</w:t>
            </w:r>
          </w:p>
        </w:tc>
        <w:tc>
          <w:tcPr>
            <w:tcW w:w="154" w:type="pct"/>
            <w:tcBorders>
              <w:top w:val="nil"/>
              <w:left w:val="nil"/>
              <w:bottom w:val="nil"/>
              <w:right w:val="nil"/>
            </w:tcBorders>
            <w:noWrap/>
            <w:vAlign w:val="bottom"/>
            <w:hideMark/>
          </w:tcPr>
          <w:p w14:paraId="589BA0CC"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5749D7B"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45CA5CB0" w14:textId="1837996B"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-0.002</w:t>
            </w:r>
            <w:r w:rsidR="008B4060">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7F52A014" w14:textId="6FB82D5F"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-0.001</w:t>
            </w:r>
            <w:r w:rsidR="008B4060">
              <w:rPr>
                <w:rFonts w:ascii="Times New Roman" w:eastAsia="Times New Roman" w:hAnsi="Times New Roman" w:cs="Times New Roman"/>
                <w:color w:val="000000"/>
                <w:sz w:val="20"/>
                <w:szCs w:val="20"/>
                <w:lang w:val="en-GB" w:eastAsia="en-GB"/>
              </w:rPr>
              <w:t>**</w:t>
            </w:r>
          </w:p>
        </w:tc>
      </w:tr>
      <w:tr w:rsidR="008B4060" w:rsidRPr="00FD7E89" w14:paraId="2FBD33F9" w14:textId="77777777" w:rsidTr="008B4060">
        <w:trPr>
          <w:trHeight w:val="255"/>
        </w:trPr>
        <w:tc>
          <w:tcPr>
            <w:tcW w:w="691" w:type="pct"/>
            <w:tcBorders>
              <w:top w:val="nil"/>
              <w:left w:val="nil"/>
              <w:bottom w:val="nil"/>
              <w:right w:val="nil"/>
            </w:tcBorders>
            <w:noWrap/>
            <w:vAlign w:val="bottom"/>
            <w:hideMark/>
          </w:tcPr>
          <w:p w14:paraId="27AE3195"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7CAD9AE6"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2B1C55C1"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9128BAD"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7855F63" w14:textId="02EBB22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32A93667" w14:textId="0F4E9993"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2098D44D"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215615F"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945335C" w14:textId="78073624"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0.002</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5ED00C96" w14:textId="06E12C2F"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0.108</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6E7FD139"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88A65C7"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06F56B0" w14:textId="0F1A0D35"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36247D">
              <w:rPr>
                <w:rFonts w:ascii="Times New Roman" w:eastAsia="Times New Roman" w:hAnsi="Times New Roman" w:cs="Times New Roman"/>
                <w:color w:val="000000"/>
                <w:sz w:val="20"/>
                <w:szCs w:val="20"/>
                <w:lang w:val="en-GB" w:eastAsia="en-GB"/>
              </w:rPr>
              <w:t>0.019</w:t>
            </w:r>
            <w:r w:rsidRPr="00FD7E89">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noWrap/>
            <w:vAlign w:val="bottom"/>
            <w:hideMark/>
          </w:tcPr>
          <w:p w14:paraId="3A5D7E25" w14:textId="4EBF819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36247D">
              <w:rPr>
                <w:rFonts w:ascii="Times New Roman" w:eastAsia="Times New Roman" w:hAnsi="Times New Roman" w:cs="Times New Roman"/>
                <w:color w:val="000000"/>
                <w:sz w:val="20"/>
                <w:szCs w:val="20"/>
                <w:lang w:val="en-GB" w:eastAsia="en-GB"/>
              </w:rPr>
              <w:t>0.048</w:t>
            </w:r>
            <w:r w:rsidRPr="00FD7E89">
              <w:rPr>
                <w:rFonts w:ascii="Times New Roman" w:eastAsia="Times New Roman" w:hAnsi="Times New Roman" w:cs="Times New Roman"/>
                <w:color w:val="000000"/>
                <w:sz w:val="20"/>
                <w:szCs w:val="20"/>
                <w:lang w:val="en-GB" w:eastAsia="en-GB"/>
              </w:rPr>
              <w:t>)</w:t>
            </w:r>
          </w:p>
        </w:tc>
      </w:tr>
      <w:tr w:rsidR="008B4060" w:rsidRPr="00FD7E89" w14:paraId="75413A7B" w14:textId="77777777" w:rsidTr="008B4060">
        <w:trPr>
          <w:trHeight w:val="255"/>
        </w:trPr>
        <w:tc>
          <w:tcPr>
            <w:tcW w:w="691" w:type="pct"/>
            <w:tcBorders>
              <w:top w:val="nil"/>
              <w:left w:val="nil"/>
              <w:bottom w:val="nil"/>
              <w:right w:val="nil"/>
            </w:tcBorders>
            <w:noWrap/>
            <w:vAlign w:val="bottom"/>
            <w:hideMark/>
          </w:tcPr>
          <w:p w14:paraId="087FABD4" w14:textId="1A85BCA8"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FD7E89">
              <w:rPr>
                <w:rFonts w:ascii="Times New Roman" w:eastAsia="Times New Roman" w:hAnsi="Times New Roman" w:cs="Times New Roman"/>
                <w:color w:val="000000"/>
                <w:sz w:val="20"/>
                <w:szCs w:val="20"/>
                <w:lang w:val="en-GB" w:eastAsia="en-GB"/>
              </w:rPr>
              <w:t>og(ME)</w:t>
            </w:r>
          </w:p>
        </w:tc>
        <w:tc>
          <w:tcPr>
            <w:tcW w:w="394" w:type="pct"/>
            <w:tcBorders>
              <w:top w:val="nil"/>
              <w:left w:val="nil"/>
              <w:bottom w:val="nil"/>
              <w:right w:val="nil"/>
            </w:tcBorders>
            <w:vAlign w:val="bottom"/>
          </w:tcPr>
          <w:p w14:paraId="199BAB88" w14:textId="21063B34"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04103349"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C8C37CE"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A45D432"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3EA4D77" w14:textId="034ECDEB"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-0.012</w:t>
            </w:r>
          </w:p>
        </w:tc>
        <w:tc>
          <w:tcPr>
            <w:tcW w:w="115" w:type="pct"/>
            <w:tcBorders>
              <w:top w:val="nil"/>
              <w:left w:val="nil"/>
              <w:bottom w:val="nil"/>
              <w:right w:val="nil"/>
            </w:tcBorders>
            <w:noWrap/>
            <w:vAlign w:val="bottom"/>
            <w:hideMark/>
          </w:tcPr>
          <w:p w14:paraId="5EAABD1F"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572647DF"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2A00848"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06A9CEF" w14:textId="7741E50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0.041</w:t>
            </w:r>
            <w:r w:rsidR="008B4060">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15132A29"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1B451641"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447372C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C07E0A1" w14:textId="083348D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-0.012</w:t>
            </w:r>
            <w:r w:rsidR="008B4060">
              <w:rPr>
                <w:rFonts w:ascii="Times New Roman" w:eastAsia="Times New Roman" w:hAnsi="Times New Roman" w:cs="Times New Roman"/>
                <w:color w:val="000000"/>
                <w:sz w:val="20"/>
                <w:szCs w:val="20"/>
                <w:lang w:val="en-GB" w:eastAsia="en-GB"/>
              </w:rPr>
              <w:t>***</w:t>
            </w:r>
          </w:p>
        </w:tc>
      </w:tr>
      <w:tr w:rsidR="008B4060" w:rsidRPr="00FD7E89" w14:paraId="46000918" w14:textId="77777777" w:rsidTr="008B4060">
        <w:trPr>
          <w:trHeight w:val="255"/>
        </w:trPr>
        <w:tc>
          <w:tcPr>
            <w:tcW w:w="691" w:type="pct"/>
            <w:tcBorders>
              <w:top w:val="nil"/>
              <w:left w:val="nil"/>
              <w:bottom w:val="nil"/>
              <w:right w:val="nil"/>
            </w:tcBorders>
            <w:noWrap/>
            <w:vAlign w:val="bottom"/>
            <w:hideMark/>
          </w:tcPr>
          <w:p w14:paraId="626D7126"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189358F0"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67C7B757"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3D181BC"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76AF02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C8CB0F5" w14:textId="3EB91C82"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0.137</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6C6D9333"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42B4F075"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27985C2"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B0D215D" w14:textId="6CAF4D2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41C5EE56"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1553554"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CEBBA6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A5B9216" w14:textId="561E6913"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r>
      <w:tr w:rsidR="008B4060" w:rsidRPr="00FD7E89" w14:paraId="3952ABCA" w14:textId="77777777" w:rsidTr="008B4060">
        <w:trPr>
          <w:trHeight w:val="255"/>
        </w:trPr>
        <w:tc>
          <w:tcPr>
            <w:tcW w:w="691" w:type="pct"/>
            <w:tcBorders>
              <w:top w:val="nil"/>
              <w:left w:val="nil"/>
              <w:bottom w:val="nil"/>
              <w:right w:val="nil"/>
            </w:tcBorders>
            <w:noWrap/>
            <w:vAlign w:val="bottom"/>
            <w:hideMark/>
          </w:tcPr>
          <w:p w14:paraId="0A69B2EA" w14:textId="4A755CCC"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FD7E89">
              <w:rPr>
                <w:rFonts w:ascii="Times New Roman" w:eastAsia="Times New Roman" w:hAnsi="Times New Roman" w:cs="Times New Roman"/>
                <w:color w:val="000000"/>
                <w:sz w:val="20"/>
                <w:szCs w:val="20"/>
                <w:lang w:val="en-GB" w:eastAsia="en-GB"/>
              </w:rPr>
              <w:t>og(Age)</w:t>
            </w:r>
          </w:p>
        </w:tc>
        <w:tc>
          <w:tcPr>
            <w:tcW w:w="394" w:type="pct"/>
            <w:tcBorders>
              <w:top w:val="nil"/>
              <w:left w:val="nil"/>
              <w:bottom w:val="nil"/>
              <w:right w:val="nil"/>
            </w:tcBorders>
            <w:vAlign w:val="bottom"/>
          </w:tcPr>
          <w:p w14:paraId="18FD99EF" w14:textId="0C4BD77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54071CD2"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FE98A91"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D75B432"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78E9BA3" w14:textId="07B1884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-0.072</w:t>
            </w:r>
            <w:r w:rsidR="008B4060">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54F57BE7"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89F35E4"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EE35806"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2B4C31C" w14:textId="35FD1C0F"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-0.039</w:t>
            </w:r>
            <w:r w:rsidR="008B4060">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5BADD659"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704F19E"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53B619B5"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C051065" w14:textId="327E80F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0.006</w:t>
            </w:r>
            <w:r w:rsidR="008B4060">
              <w:rPr>
                <w:rFonts w:ascii="Times New Roman" w:eastAsia="Times New Roman" w:hAnsi="Times New Roman" w:cs="Times New Roman"/>
                <w:color w:val="000000"/>
                <w:sz w:val="20"/>
                <w:szCs w:val="20"/>
                <w:lang w:val="en-GB" w:eastAsia="en-GB"/>
              </w:rPr>
              <w:t>***</w:t>
            </w:r>
          </w:p>
        </w:tc>
      </w:tr>
      <w:tr w:rsidR="008B4060" w:rsidRPr="00FD7E89" w14:paraId="4EC7BC91" w14:textId="77777777" w:rsidTr="008B4060">
        <w:trPr>
          <w:trHeight w:val="255"/>
        </w:trPr>
        <w:tc>
          <w:tcPr>
            <w:tcW w:w="691" w:type="pct"/>
            <w:tcBorders>
              <w:top w:val="nil"/>
              <w:left w:val="nil"/>
              <w:bottom w:val="nil"/>
              <w:right w:val="nil"/>
            </w:tcBorders>
            <w:noWrap/>
            <w:vAlign w:val="bottom"/>
            <w:hideMark/>
          </w:tcPr>
          <w:p w14:paraId="33952798"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776891A5"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01A85D8F"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319D8BE"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19CC7C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6A982C2" w14:textId="5260AD6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600A4406"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4E08B66"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5508D24"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E4363AF" w14:textId="0B1AF14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2A5426F6"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96784E7"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3629472"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7E59D13" w14:textId="44802CE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0.002</w:t>
            </w:r>
          </w:p>
        </w:tc>
      </w:tr>
      <w:tr w:rsidR="008B4060" w:rsidRPr="00FD7E89" w14:paraId="4D264211" w14:textId="77777777" w:rsidTr="008B4060">
        <w:trPr>
          <w:trHeight w:val="255"/>
        </w:trPr>
        <w:tc>
          <w:tcPr>
            <w:tcW w:w="691" w:type="pct"/>
            <w:tcBorders>
              <w:top w:val="nil"/>
              <w:left w:val="nil"/>
              <w:bottom w:val="nil"/>
              <w:right w:val="nil"/>
            </w:tcBorders>
            <w:noWrap/>
            <w:vAlign w:val="bottom"/>
            <w:hideMark/>
          </w:tcPr>
          <w:p w14:paraId="5F99D845" w14:textId="50E2A7BB"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FD7E89">
              <w:rPr>
                <w:rFonts w:ascii="Times New Roman" w:eastAsia="Times New Roman" w:hAnsi="Times New Roman" w:cs="Times New Roman"/>
                <w:color w:val="000000"/>
                <w:sz w:val="20"/>
                <w:szCs w:val="20"/>
                <w:lang w:val="en-GB" w:eastAsia="en-GB"/>
              </w:rPr>
              <w:t>og(</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Returns</w:t>
            </w:r>
            <w:r w:rsidRPr="00A25C55">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vertAlign w:val="superscript"/>
                <w:lang w:val="en-GB" w:eastAsia="en-GB"/>
              </w:rPr>
              <w:t>PRE</w:t>
            </w:r>
            <w:r w:rsidRPr="00FD7E89">
              <w:rPr>
                <w:rFonts w:ascii="Times New Roman" w:eastAsia="Times New Roman" w:hAnsi="Times New Roman" w:cs="Times New Roman"/>
                <w:color w:val="000000"/>
                <w:sz w:val="20"/>
                <w:szCs w:val="20"/>
                <w:lang w:val="en-GB" w:eastAsia="en-GB"/>
              </w:rPr>
              <w:t>)</w:t>
            </w:r>
          </w:p>
        </w:tc>
        <w:tc>
          <w:tcPr>
            <w:tcW w:w="394" w:type="pct"/>
            <w:tcBorders>
              <w:top w:val="nil"/>
              <w:left w:val="nil"/>
              <w:bottom w:val="nil"/>
              <w:right w:val="nil"/>
            </w:tcBorders>
            <w:vAlign w:val="bottom"/>
          </w:tcPr>
          <w:p w14:paraId="34A1C88B"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3D9747E0"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FAD2BDF"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178FF7F"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9EEA425" w14:textId="40C6D64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0.794</w:t>
            </w:r>
            <w:r w:rsidR="008B4060">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531C06B1"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53999D3"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DCF3893"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1BA423B" w14:textId="4A2A3A8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0.558</w:t>
            </w:r>
            <w:r w:rsidR="008B4060">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718BC1AC"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1991E770"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D686239"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88CD076" w14:textId="3A26CFFC"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0.085</w:t>
            </w:r>
            <w:r w:rsidR="008B4060">
              <w:rPr>
                <w:rFonts w:ascii="Times New Roman" w:eastAsia="Times New Roman" w:hAnsi="Times New Roman" w:cs="Times New Roman"/>
                <w:color w:val="000000"/>
                <w:sz w:val="20"/>
                <w:szCs w:val="20"/>
                <w:lang w:val="en-GB" w:eastAsia="en-GB"/>
              </w:rPr>
              <w:t>***</w:t>
            </w:r>
          </w:p>
        </w:tc>
      </w:tr>
      <w:tr w:rsidR="008B4060" w:rsidRPr="00FD7E89" w14:paraId="22F6EDE7" w14:textId="77777777" w:rsidTr="008B4060">
        <w:trPr>
          <w:trHeight w:val="255"/>
        </w:trPr>
        <w:tc>
          <w:tcPr>
            <w:tcW w:w="691" w:type="pct"/>
            <w:tcBorders>
              <w:top w:val="nil"/>
              <w:left w:val="nil"/>
              <w:bottom w:val="nil"/>
              <w:right w:val="nil"/>
            </w:tcBorders>
            <w:noWrap/>
            <w:vAlign w:val="bottom"/>
            <w:hideMark/>
          </w:tcPr>
          <w:p w14:paraId="4FC1621D"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7F3B78F3"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279C015C"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6ECDC4C"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7CC1A16"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C11ACF7" w14:textId="509BEA84"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6D253394"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4738A947"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3C2F403"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9181485" w14:textId="6EE8B732"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3BD80EB4"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AB8E7CE"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2A1B090"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FFF5F47" w14:textId="70A315C4"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r>
      <w:tr w:rsidR="008B4060" w:rsidRPr="00FD7E89" w14:paraId="73B9AA64" w14:textId="77777777" w:rsidTr="008B4060">
        <w:trPr>
          <w:trHeight w:val="255"/>
        </w:trPr>
        <w:tc>
          <w:tcPr>
            <w:tcW w:w="691" w:type="pct"/>
            <w:tcBorders>
              <w:top w:val="nil"/>
              <w:left w:val="nil"/>
              <w:bottom w:val="nil"/>
              <w:right w:val="nil"/>
            </w:tcBorders>
            <w:noWrap/>
            <w:vAlign w:val="bottom"/>
            <w:hideMark/>
          </w:tcPr>
          <w:p w14:paraId="761178DA"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Intan/Assets</w:t>
            </w:r>
          </w:p>
        </w:tc>
        <w:tc>
          <w:tcPr>
            <w:tcW w:w="394" w:type="pct"/>
            <w:tcBorders>
              <w:top w:val="nil"/>
              <w:left w:val="nil"/>
              <w:bottom w:val="nil"/>
              <w:right w:val="nil"/>
            </w:tcBorders>
            <w:vAlign w:val="bottom"/>
          </w:tcPr>
          <w:p w14:paraId="627E7C25"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296D8E94"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B039642"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3A861A9"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DB73149" w14:textId="7375930C"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-0.276</w:t>
            </w:r>
            <w:r w:rsidR="008B4060">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27EAB3C2"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1FEE53A"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5AACD469"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35DA12E" w14:textId="51130C2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-0.177</w:t>
            </w:r>
            <w:r w:rsidR="008B4060">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29FD1DCE"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E6D353C"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EA030F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2842CDC" w14:textId="7E05D63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-0.067</w:t>
            </w:r>
            <w:r w:rsidR="008B4060">
              <w:rPr>
                <w:rFonts w:ascii="Times New Roman" w:eastAsia="Times New Roman" w:hAnsi="Times New Roman" w:cs="Times New Roman"/>
                <w:color w:val="000000"/>
                <w:sz w:val="20"/>
                <w:szCs w:val="20"/>
                <w:lang w:val="en-GB" w:eastAsia="en-GB"/>
              </w:rPr>
              <w:t>***</w:t>
            </w:r>
          </w:p>
        </w:tc>
      </w:tr>
      <w:tr w:rsidR="008B4060" w:rsidRPr="00FD7E89" w14:paraId="1B515369" w14:textId="77777777" w:rsidTr="008B4060">
        <w:trPr>
          <w:trHeight w:val="255"/>
        </w:trPr>
        <w:tc>
          <w:tcPr>
            <w:tcW w:w="691" w:type="pct"/>
            <w:tcBorders>
              <w:top w:val="nil"/>
              <w:left w:val="nil"/>
              <w:bottom w:val="nil"/>
              <w:right w:val="nil"/>
            </w:tcBorders>
            <w:noWrap/>
            <w:vAlign w:val="bottom"/>
            <w:hideMark/>
          </w:tcPr>
          <w:p w14:paraId="34CAC08E"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68997871"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62AE7D83"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B11EB19"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974F61F"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712ED82" w14:textId="2256F80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0.067</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2C2E83CC"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F82EE6C"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D015963"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7CEEEA0" w14:textId="5814965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0.004</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48A54ACA"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832F8FC"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686879B"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20D17A8" w14:textId="4CF3F7EF"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r>
      <w:tr w:rsidR="008B4060" w:rsidRPr="00FD7E89" w14:paraId="285E205B" w14:textId="77777777" w:rsidTr="008B4060">
        <w:trPr>
          <w:trHeight w:val="255"/>
        </w:trPr>
        <w:tc>
          <w:tcPr>
            <w:tcW w:w="691" w:type="pct"/>
            <w:tcBorders>
              <w:top w:val="nil"/>
              <w:left w:val="nil"/>
              <w:bottom w:val="nil"/>
              <w:right w:val="nil"/>
            </w:tcBorders>
            <w:noWrap/>
            <w:vAlign w:val="bottom"/>
            <w:hideMark/>
          </w:tcPr>
          <w:p w14:paraId="19F9B2A5"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I</w:t>
            </w:r>
            <w:r w:rsidRPr="00FD7E89">
              <w:rPr>
                <w:rFonts w:ascii="Times New Roman" w:eastAsia="Times New Roman" w:hAnsi="Times New Roman" w:cs="Times New Roman"/>
                <w:color w:val="000000"/>
                <w:sz w:val="20"/>
                <w:szCs w:val="20"/>
                <w:vertAlign w:val="subscript"/>
                <w:lang w:val="en-GB" w:eastAsia="en-GB"/>
              </w:rPr>
              <w:t>EARN&lt;0</w:t>
            </w:r>
          </w:p>
        </w:tc>
        <w:tc>
          <w:tcPr>
            <w:tcW w:w="394" w:type="pct"/>
            <w:tcBorders>
              <w:top w:val="nil"/>
              <w:left w:val="nil"/>
              <w:bottom w:val="nil"/>
              <w:right w:val="nil"/>
            </w:tcBorders>
            <w:vAlign w:val="bottom"/>
          </w:tcPr>
          <w:p w14:paraId="157EE5D3"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4043908A"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B0CE382"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880E937"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47FA78A" w14:textId="00972B2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0.361</w:t>
            </w:r>
            <w:r w:rsidR="008B4060">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704B3AB0"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11175ED0"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489D0231"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A69E738" w14:textId="62C705B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0.193</w:t>
            </w:r>
            <w:r w:rsidR="008B4060">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5BD82BE1"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0F183D18"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FEC79D7"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1E0B08D2" w14:textId="40F86D8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0.194</w:t>
            </w:r>
            <w:r w:rsidR="008B4060">
              <w:rPr>
                <w:rFonts w:ascii="Times New Roman" w:eastAsia="Times New Roman" w:hAnsi="Times New Roman" w:cs="Times New Roman"/>
                <w:color w:val="000000"/>
                <w:sz w:val="20"/>
                <w:szCs w:val="20"/>
                <w:lang w:val="en-GB" w:eastAsia="en-GB"/>
              </w:rPr>
              <w:t>***</w:t>
            </w:r>
          </w:p>
        </w:tc>
      </w:tr>
      <w:tr w:rsidR="008B4060" w:rsidRPr="00FD7E89" w14:paraId="14BD65C6" w14:textId="77777777" w:rsidTr="008B4060">
        <w:trPr>
          <w:trHeight w:val="255"/>
        </w:trPr>
        <w:tc>
          <w:tcPr>
            <w:tcW w:w="691" w:type="pct"/>
            <w:tcBorders>
              <w:top w:val="nil"/>
              <w:left w:val="nil"/>
              <w:bottom w:val="nil"/>
              <w:right w:val="nil"/>
            </w:tcBorders>
            <w:noWrap/>
            <w:vAlign w:val="bottom"/>
            <w:hideMark/>
          </w:tcPr>
          <w:p w14:paraId="3E0C0226"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4415607E"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0323A3B5"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94C19BE"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7845056"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A0ADA8F" w14:textId="6A9584F1"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4D6F7D02"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491BA67E"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4CF17C6"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7CFE543" w14:textId="4CC65F54"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5D9B2F7A"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57949FE"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918539D"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754C8CAB" w14:textId="64E2575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r>
      <w:tr w:rsidR="008B4060" w:rsidRPr="00FD7E89" w14:paraId="68EC23DA" w14:textId="77777777" w:rsidTr="008B4060">
        <w:trPr>
          <w:trHeight w:val="255"/>
        </w:trPr>
        <w:tc>
          <w:tcPr>
            <w:tcW w:w="691" w:type="pct"/>
            <w:tcBorders>
              <w:top w:val="nil"/>
              <w:left w:val="nil"/>
              <w:bottom w:val="nil"/>
              <w:right w:val="nil"/>
            </w:tcBorders>
            <w:noWrap/>
            <w:vAlign w:val="bottom"/>
            <w:hideMark/>
          </w:tcPr>
          <w:p w14:paraId="40F614E7"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I</w:t>
            </w:r>
            <w:r w:rsidRPr="00FD7E89">
              <w:rPr>
                <w:rFonts w:ascii="Times New Roman" w:eastAsia="Times New Roman" w:hAnsi="Times New Roman" w:cs="Times New Roman"/>
                <w:color w:val="000000"/>
                <w:sz w:val="20"/>
                <w:szCs w:val="20"/>
                <w:vertAlign w:val="subscript"/>
                <w:lang w:val="en-GB" w:eastAsia="en-GB"/>
              </w:rPr>
              <w:t>DIV&gt;0</w:t>
            </w:r>
          </w:p>
        </w:tc>
        <w:tc>
          <w:tcPr>
            <w:tcW w:w="394" w:type="pct"/>
            <w:tcBorders>
              <w:top w:val="nil"/>
              <w:left w:val="nil"/>
              <w:bottom w:val="nil"/>
              <w:right w:val="nil"/>
            </w:tcBorders>
            <w:vAlign w:val="bottom"/>
          </w:tcPr>
          <w:p w14:paraId="1F3D07F9" w14:textId="66FE8F52"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FD7E89">
              <w:rPr>
                <w:rFonts w:ascii="Times New Roman" w:eastAsia="Times New Roman" w:hAnsi="Times New Roman" w:cs="Times New Roman"/>
                <w:color w:val="000000"/>
                <w:sz w:val="20"/>
                <w:szCs w:val="20"/>
                <w:lang w:val="en-GB" w:eastAsia="en-GB"/>
              </w:rPr>
              <w:t>)</w:t>
            </w:r>
          </w:p>
        </w:tc>
        <w:tc>
          <w:tcPr>
            <w:tcW w:w="86" w:type="pct"/>
            <w:tcBorders>
              <w:top w:val="nil"/>
              <w:left w:val="nil"/>
              <w:bottom w:val="nil"/>
              <w:right w:val="nil"/>
            </w:tcBorders>
            <w:vAlign w:val="bottom"/>
          </w:tcPr>
          <w:p w14:paraId="036799CD"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88405BF"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BDD33A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30142BAC" w14:textId="425FFB8B"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-0.139</w:t>
            </w:r>
            <w:r w:rsidR="008B4060">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10DC2554"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6890B1B3"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11FE03FC"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8EB99DC" w14:textId="582EEC7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0.022</w:t>
            </w:r>
          </w:p>
        </w:tc>
        <w:tc>
          <w:tcPr>
            <w:tcW w:w="154" w:type="pct"/>
            <w:tcBorders>
              <w:top w:val="nil"/>
              <w:left w:val="nil"/>
              <w:bottom w:val="nil"/>
              <w:right w:val="nil"/>
            </w:tcBorders>
            <w:noWrap/>
            <w:vAlign w:val="bottom"/>
            <w:hideMark/>
          </w:tcPr>
          <w:p w14:paraId="617A796B"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3290D850"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79C731C0"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69CC97E5" w14:textId="2D47137F"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0.001</w:t>
            </w:r>
          </w:p>
        </w:tc>
      </w:tr>
      <w:tr w:rsidR="008B4060" w:rsidRPr="00FD7E89" w14:paraId="02402903" w14:textId="77777777" w:rsidTr="008B4060">
        <w:trPr>
          <w:trHeight w:val="255"/>
        </w:trPr>
        <w:tc>
          <w:tcPr>
            <w:tcW w:w="691" w:type="pct"/>
            <w:tcBorders>
              <w:top w:val="nil"/>
              <w:left w:val="nil"/>
              <w:bottom w:val="nil"/>
              <w:right w:val="nil"/>
            </w:tcBorders>
            <w:noWrap/>
            <w:vAlign w:val="bottom"/>
            <w:hideMark/>
          </w:tcPr>
          <w:p w14:paraId="46283F1B"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4" w:type="pct"/>
            <w:tcBorders>
              <w:top w:val="nil"/>
              <w:left w:val="nil"/>
              <w:bottom w:val="nil"/>
              <w:right w:val="nil"/>
            </w:tcBorders>
            <w:vAlign w:val="bottom"/>
          </w:tcPr>
          <w:p w14:paraId="40BC4A75"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86" w:type="pct"/>
            <w:tcBorders>
              <w:top w:val="nil"/>
              <w:left w:val="nil"/>
              <w:bottom w:val="nil"/>
              <w:right w:val="nil"/>
            </w:tcBorders>
            <w:vAlign w:val="bottom"/>
          </w:tcPr>
          <w:p w14:paraId="12814818"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4B76F2E"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0C30DC81"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987FB75" w14:textId="508494B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0.000</w:t>
            </w:r>
            <w:r w:rsidRPr="00FD7E89">
              <w:rPr>
                <w:rFonts w:ascii="Times New Roman" w:eastAsia="Times New Roman" w:hAnsi="Times New Roman" w:cs="Times New Roman"/>
                <w:color w:val="000000"/>
                <w:sz w:val="20"/>
                <w:szCs w:val="20"/>
                <w:lang w:val="en-GB" w:eastAsia="en-GB"/>
              </w:rPr>
              <w:t>)</w:t>
            </w:r>
          </w:p>
        </w:tc>
        <w:tc>
          <w:tcPr>
            <w:tcW w:w="115" w:type="pct"/>
            <w:tcBorders>
              <w:top w:val="nil"/>
              <w:left w:val="nil"/>
              <w:bottom w:val="nil"/>
              <w:right w:val="nil"/>
            </w:tcBorders>
            <w:noWrap/>
            <w:vAlign w:val="bottom"/>
            <w:hideMark/>
          </w:tcPr>
          <w:p w14:paraId="00C692FF"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5D01EBCB"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DBFBC91"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2FB1C23F" w14:textId="7FCE0C4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0.355</w:t>
            </w:r>
            <w:r w:rsidRPr="00FD7E89">
              <w:rPr>
                <w:rFonts w:ascii="Times New Roman" w:eastAsia="Times New Roman" w:hAnsi="Times New Roman" w:cs="Times New Roman"/>
                <w:color w:val="000000"/>
                <w:sz w:val="20"/>
                <w:szCs w:val="20"/>
                <w:lang w:val="en-GB" w:eastAsia="en-GB"/>
              </w:rPr>
              <w:t>)</w:t>
            </w:r>
          </w:p>
        </w:tc>
        <w:tc>
          <w:tcPr>
            <w:tcW w:w="154" w:type="pct"/>
            <w:tcBorders>
              <w:top w:val="nil"/>
              <w:left w:val="nil"/>
              <w:bottom w:val="nil"/>
              <w:right w:val="nil"/>
            </w:tcBorders>
            <w:noWrap/>
            <w:vAlign w:val="bottom"/>
            <w:hideMark/>
          </w:tcPr>
          <w:p w14:paraId="5175ADDF"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noWrap/>
            <w:vAlign w:val="bottom"/>
            <w:hideMark/>
          </w:tcPr>
          <w:p w14:paraId="2A9C2CB0" w14:textId="77777777" w:rsidR="005558A7" w:rsidRPr="00FD7E89" w:rsidRDefault="005558A7" w:rsidP="008A0066">
            <w:pPr>
              <w:spacing w:after="0" w:line="240" w:lineRule="auto"/>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446B2C43" w14:textId="77777777" w:rsidR="005558A7" w:rsidRPr="00FD7E89" w:rsidRDefault="005558A7" w:rsidP="008A0066">
            <w:pPr>
              <w:spacing w:after="0" w:line="240" w:lineRule="auto"/>
              <w:jc w:val="center"/>
              <w:rPr>
                <w:rFonts w:ascii="Times New Roman" w:eastAsia="Times New Roman" w:hAnsi="Times New Roman" w:cs="Times New Roman"/>
                <w:sz w:val="20"/>
                <w:szCs w:val="20"/>
                <w:lang w:val="en-GB" w:eastAsia="en-GB"/>
              </w:rPr>
            </w:pPr>
          </w:p>
        </w:tc>
        <w:tc>
          <w:tcPr>
            <w:tcW w:w="395" w:type="pct"/>
            <w:tcBorders>
              <w:top w:val="nil"/>
              <w:left w:val="nil"/>
              <w:bottom w:val="nil"/>
              <w:right w:val="nil"/>
            </w:tcBorders>
            <w:noWrap/>
            <w:vAlign w:val="bottom"/>
            <w:hideMark/>
          </w:tcPr>
          <w:p w14:paraId="5E8DD563" w14:textId="61C30A5B"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w:t>
            </w:r>
            <w:r w:rsidRPr="0036247D">
              <w:rPr>
                <w:rFonts w:ascii="Times New Roman" w:eastAsia="Times New Roman" w:hAnsi="Times New Roman" w:cs="Times New Roman"/>
                <w:color w:val="000000"/>
                <w:sz w:val="20"/>
                <w:szCs w:val="20"/>
                <w:lang w:val="en-GB" w:eastAsia="en-GB"/>
              </w:rPr>
              <w:t>0.851</w:t>
            </w:r>
            <w:r w:rsidRPr="00FD7E89">
              <w:rPr>
                <w:rFonts w:ascii="Times New Roman" w:eastAsia="Times New Roman" w:hAnsi="Times New Roman" w:cs="Times New Roman"/>
                <w:color w:val="000000"/>
                <w:sz w:val="20"/>
                <w:szCs w:val="20"/>
                <w:lang w:val="en-GB" w:eastAsia="en-GB"/>
              </w:rPr>
              <w:t>)</w:t>
            </w:r>
          </w:p>
        </w:tc>
      </w:tr>
      <w:tr w:rsidR="008B4060" w:rsidRPr="00FD7E89" w14:paraId="7B2CF770" w14:textId="77777777" w:rsidTr="008B4060">
        <w:trPr>
          <w:trHeight w:val="397"/>
        </w:trPr>
        <w:tc>
          <w:tcPr>
            <w:tcW w:w="691" w:type="pct"/>
            <w:tcBorders>
              <w:top w:val="nil"/>
              <w:left w:val="nil"/>
              <w:right w:val="nil"/>
            </w:tcBorders>
            <w:noWrap/>
            <w:vAlign w:val="bottom"/>
            <w:hideMark/>
          </w:tcPr>
          <w:p w14:paraId="7271F6BC"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Adj. R2</w:t>
            </w:r>
          </w:p>
        </w:tc>
        <w:tc>
          <w:tcPr>
            <w:tcW w:w="394" w:type="pct"/>
            <w:tcBorders>
              <w:top w:val="nil"/>
              <w:left w:val="nil"/>
              <w:right w:val="nil"/>
            </w:tcBorders>
            <w:vAlign w:val="bottom"/>
          </w:tcPr>
          <w:p w14:paraId="19A1C833"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86" w:type="pct"/>
            <w:tcBorders>
              <w:top w:val="nil"/>
              <w:left w:val="nil"/>
              <w:right w:val="nil"/>
            </w:tcBorders>
            <w:vAlign w:val="bottom"/>
          </w:tcPr>
          <w:p w14:paraId="6E89FD3A"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right w:val="nil"/>
            </w:tcBorders>
            <w:noWrap/>
            <w:vAlign w:val="bottom"/>
            <w:hideMark/>
          </w:tcPr>
          <w:p w14:paraId="3EC49CD2" w14:textId="2C1B486C"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0.200</w:t>
            </w:r>
          </w:p>
        </w:tc>
        <w:tc>
          <w:tcPr>
            <w:tcW w:w="395" w:type="pct"/>
            <w:tcBorders>
              <w:top w:val="nil"/>
              <w:left w:val="nil"/>
              <w:right w:val="nil"/>
            </w:tcBorders>
            <w:noWrap/>
            <w:vAlign w:val="bottom"/>
            <w:hideMark/>
          </w:tcPr>
          <w:p w14:paraId="17C0FCC8" w14:textId="41E4534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0.222</w:t>
            </w:r>
          </w:p>
        </w:tc>
        <w:tc>
          <w:tcPr>
            <w:tcW w:w="395" w:type="pct"/>
            <w:tcBorders>
              <w:top w:val="nil"/>
              <w:left w:val="nil"/>
              <w:right w:val="nil"/>
            </w:tcBorders>
            <w:noWrap/>
            <w:vAlign w:val="bottom"/>
            <w:hideMark/>
          </w:tcPr>
          <w:p w14:paraId="61AE4BFC" w14:textId="54925FA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0.364</w:t>
            </w:r>
          </w:p>
        </w:tc>
        <w:tc>
          <w:tcPr>
            <w:tcW w:w="115" w:type="pct"/>
            <w:tcBorders>
              <w:top w:val="nil"/>
              <w:left w:val="nil"/>
              <w:right w:val="nil"/>
            </w:tcBorders>
            <w:noWrap/>
            <w:vAlign w:val="bottom"/>
            <w:hideMark/>
          </w:tcPr>
          <w:p w14:paraId="76A5FFC0"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right w:val="nil"/>
            </w:tcBorders>
            <w:noWrap/>
            <w:vAlign w:val="bottom"/>
            <w:hideMark/>
          </w:tcPr>
          <w:p w14:paraId="59515698" w14:textId="01F7EB4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0.080</w:t>
            </w:r>
          </w:p>
        </w:tc>
        <w:tc>
          <w:tcPr>
            <w:tcW w:w="395" w:type="pct"/>
            <w:tcBorders>
              <w:top w:val="nil"/>
              <w:left w:val="nil"/>
              <w:right w:val="nil"/>
            </w:tcBorders>
            <w:noWrap/>
            <w:vAlign w:val="bottom"/>
            <w:hideMark/>
          </w:tcPr>
          <w:p w14:paraId="2073EA26" w14:textId="649C57B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0.087</w:t>
            </w:r>
          </w:p>
        </w:tc>
        <w:tc>
          <w:tcPr>
            <w:tcW w:w="395" w:type="pct"/>
            <w:tcBorders>
              <w:top w:val="nil"/>
              <w:left w:val="nil"/>
              <w:right w:val="nil"/>
            </w:tcBorders>
            <w:noWrap/>
            <w:vAlign w:val="bottom"/>
            <w:hideMark/>
          </w:tcPr>
          <w:p w14:paraId="19EA80FC" w14:textId="2256BFE0"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0.174</w:t>
            </w:r>
          </w:p>
        </w:tc>
        <w:tc>
          <w:tcPr>
            <w:tcW w:w="154" w:type="pct"/>
            <w:tcBorders>
              <w:top w:val="nil"/>
              <w:left w:val="nil"/>
              <w:right w:val="nil"/>
            </w:tcBorders>
            <w:noWrap/>
            <w:vAlign w:val="bottom"/>
            <w:hideMark/>
          </w:tcPr>
          <w:p w14:paraId="5462FA78"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right w:val="nil"/>
            </w:tcBorders>
            <w:noWrap/>
            <w:vAlign w:val="bottom"/>
            <w:hideMark/>
          </w:tcPr>
          <w:p w14:paraId="742FACE6" w14:textId="1B72CFEF"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0.058</w:t>
            </w:r>
          </w:p>
        </w:tc>
        <w:tc>
          <w:tcPr>
            <w:tcW w:w="395" w:type="pct"/>
            <w:tcBorders>
              <w:top w:val="nil"/>
              <w:left w:val="nil"/>
              <w:right w:val="nil"/>
            </w:tcBorders>
            <w:noWrap/>
            <w:vAlign w:val="bottom"/>
            <w:hideMark/>
          </w:tcPr>
          <w:p w14:paraId="6408F58E" w14:textId="703C572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0.063</w:t>
            </w:r>
          </w:p>
        </w:tc>
        <w:tc>
          <w:tcPr>
            <w:tcW w:w="395" w:type="pct"/>
            <w:tcBorders>
              <w:top w:val="nil"/>
              <w:left w:val="nil"/>
              <w:right w:val="nil"/>
            </w:tcBorders>
            <w:noWrap/>
            <w:vAlign w:val="bottom"/>
            <w:hideMark/>
          </w:tcPr>
          <w:p w14:paraId="46C1281F" w14:textId="59C5B75E"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0.175</w:t>
            </w:r>
          </w:p>
        </w:tc>
      </w:tr>
      <w:tr w:rsidR="008B4060" w:rsidRPr="00FD7E89" w14:paraId="69F0693E" w14:textId="77777777" w:rsidTr="008B4060">
        <w:trPr>
          <w:trHeight w:val="255"/>
        </w:trPr>
        <w:tc>
          <w:tcPr>
            <w:tcW w:w="691" w:type="pct"/>
            <w:tcBorders>
              <w:top w:val="nil"/>
              <w:left w:val="nil"/>
              <w:bottom w:val="single" w:sz="4" w:space="0" w:color="auto"/>
              <w:right w:val="nil"/>
            </w:tcBorders>
            <w:noWrap/>
            <w:vAlign w:val="bottom"/>
            <w:hideMark/>
          </w:tcPr>
          <w:p w14:paraId="071D7D26" w14:textId="77777777" w:rsidR="005558A7" w:rsidRPr="00FD7E89" w:rsidRDefault="005558A7" w:rsidP="008A0066">
            <w:pPr>
              <w:spacing w:after="0" w:line="240" w:lineRule="auto"/>
              <w:rPr>
                <w:rFonts w:ascii="Times New Roman" w:eastAsia="Times New Roman" w:hAnsi="Times New Roman" w:cs="Times New Roman"/>
                <w:color w:val="000000"/>
                <w:sz w:val="20"/>
                <w:szCs w:val="20"/>
                <w:lang w:val="en-GB" w:eastAsia="en-GB"/>
              </w:rPr>
            </w:pPr>
            <w:r w:rsidRPr="00FD7E89">
              <w:rPr>
                <w:rFonts w:ascii="Times New Roman" w:eastAsia="Times New Roman" w:hAnsi="Times New Roman" w:cs="Times New Roman"/>
                <w:color w:val="000000"/>
                <w:sz w:val="20"/>
                <w:szCs w:val="20"/>
                <w:lang w:val="en-GB" w:eastAsia="en-GB"/>
              </w:rPr>
              <w:t>N</w:t>
            </w:r>
          </w:p>
        </w:tc>
        <w:tc>
          <w:tcPr>
            <w:tcW w:w="394" w:type="pct"/>
            <w:tcBorders>
              <w:top w:val="nil"/>
              <w:left w:val="nil"/>
              <w:bottom w:val="single" w:sz="4" w:space="0" w:color="auto"/>
              <w:right w:val="nil"/>
            </w:tcBorders>
            <w:vAlign w:val="bottom"/>
          </w:tcPr>
          <w:p w14:paraId="4CBE149A"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86" w:type="pct"/>
            <w:tcBorders>
              <w:top w:val="nil"/>
              <w:left w:val="nil"/>
              <w:bottom w:val="single" w:sz="4" w:space="0" w:color="auto"/>
              <w:right w:val="nil"/>
            </w:tcBorders>
            <w:vAlign w:val="bottom"/>
          </w:tcPr>
          <w:p w14:paraId="332926B2"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single" w:sz="4" w:space="0" w:color="auto"/>
              <w:right w:val="nil"/>
            </w:tcBorders>
            <w:noWrap/>
            <w:vAlign w:val="bottom"/>
            <w:hideMark/>
          </w:tcPr>
          <w:p w14:paraId="4CBE50D5" w14:textId="42D75683"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80</w:t>
            </w: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404</w:t>
            </w:r>
          </w:p>
        </w:tc>
        <w:tc>
          <w:tcPr>
            <w:tcW w:w="395" w:type="pct"/>
            <w:tcBorders>
              <w:top w:val="nil"/>
              <w:left w:val="nil"/>
              <w:bottom w:val="single" w:sz="4" w:space="0" w:color="auto"/>
              <w:right w:val="nil"/>
            </w:tcBorders>
            <w:noWrap/>
            <w:vAlign w:val="bottom"/>
            <w:hideMark/>
          </w:tcPr>
          <w:p w14:paraId="3C2FD0DF" w14:textId="5A1EC6F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80</w:t>
            </w: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404</w:t>
            </w:r>
          </w:p>
        </w:tc>
        <w:tc>
          <w:tcPr>
            <w:tcW w:w="395" w:type="pct"/>
            <w:tcBorders>
              <w:top w:val="nil"/>
              <w:left w:val="nil"/>
              <w:bottom w:val="single" w:sz="4" w:space="0" w:color="auto"/>
              <w:right w:val="nil"/>
            </w:tcBorders>
            <w:noWrap/>
            <w:vAlign w:val="bottom"/>
            <w:hideMark/>
          </w:tcPr>
          <w:p w14:paraId="116CDE85" w14:textId="69C4CB3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8D020B">
              <w:rPr>
                <w:rFonts w:ascii="Times New Roman" w:eastAsia="Times New Roman" w:hAnsi="Times New Roman" w:cs="Times New Roman"/>
                <w:color w:val="000000"/>
                <w:sz w:val="20"/>
                <w:szCs w:val="20"/>
                <w:lang w:val="en-GB" w:eastAsia="en-GB"/>
              </w:rPr>
              <w:t>80</w:t>
            </w:r>
            <w:r w:rsidRPr="00FD7E89">
              <w:rPr>
                <w:rFonts w:ascii="Times New Roman" w:eastAsia="Times New Roman" w:hAnsi="Times New Roman" w:cs="Times New Roman"/>
                <w:color w:val="000000"/>
                <w:sz w:val="20"/>
                <w:szCs w:val="20"/>
                <w:lang w:val="en-GB" w:eastAsia="en-GB"/>
              </w:rPr>
              <w:t>,</w:t>
            </w:r>
            <w:r w:rsidRPr="008D020B">
              <w:rPr>
                <w:rFonts w:ascii="Times New Roman" w:eastAsia="Times New Roman" w:hAnsi="Times New Roman" w:cs="Times New Roman"/>
                <w:color w:val="000000"/>
                <w:sz w:val="20"/>
                <w:szCs w:val="20"/>
                <w:lang w:val="en-GB" w:eastAsia="en-GB"/>
              </w:rPr>
              <w:t>379</w:t>
            </w:r>
          </w:p>
        </w:tc>
        <w:tc>
          <w:tcPr>
            <w:tcW w:w="115" w:type="pct"/>
            <w:tcBorders>
              <w:top w:val="nil"/>
              <w:left w:val="nil"/>
              <w:bottom w:val="single" w:sz="4" w:space="0" w:color="auto"/>
              <w:right w:val="nil"/>
            </w:tcBorders>
            <w:noWrap/>
            <w:vAlign w:val="bottom"/>
            <w:hideMark/>
          </w:tcPr>
          <w:p w14:paraId="18A15030"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single" w:sz="4" w:space="0" w:color="auto"/>
              <w:right w:val="nil"/>
            </w:tcBorders>
            <w:noWrap/>
            <w:vAlign w:val="bottom"/>
            <w:hideMark/>
          </w:tcPr>
          <w:p w14:paraId="7F8DF9EE" w14:textId="5F26FA58"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49</w:t>
            </w: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441</w:t>
            </w:r>
          </w:p>
        </w:tc>
        <w:tc>
          <w:tcPr>
            <w:tcW w:w="395" w:type="pct"/>
            <w:tcBorders>
              <w:top w:val="nil"/>
              <w:left w:val="nil"/>
              <w:bottom w:val="single" w:sz="4" w:space="0" w:color="auto"/>
              <w:right w:val="nil"/>
            </w:tcBorders>
            <w:noWrap/>
            <w:vAlign w:val="bottom"/>
            <w:hideMark/>
          </w:tcPr>
          <w:p w14:paraId="04BA1E05" w14:textId="542BD9F9"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49</w:t>
            </w: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440</w:t>
            </w:r>
          </w:p>
        </w:tc>
        <w:tc>
          <w:tcPr>
            <w:tcW w:w="395" w:type="pct"/>
            <w:tcBorders>
              <w:top w:val="nil"/>
              <w:left w:val="nil"/>
              <w:bottom w:val="single" w:sz="4" w:space="0" w:color="auto"/>
              <w:right w:val="nil"/>
            </w:tcBorders>
            <w:noWrap/>
            <w:vAlign w:val="bottom"/>
            <w:hideMark/>
          </w:tcPr>
          <w:p w14:paraId="731E5159" w14:textId="4BD0D10A"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E56A4C">
              <w:rPr>
                <w:rFonts w:ascii="Times New Roman" w:eastAsia="Times New Roman" w:hAnsi="Times New Roman" w:cs="Times New Roman"/>
                <w:color w:val="000000"/>
                <w:sz w:val="20"/>
                <w:szCs w:val="20"/>
                <w:lang w:val="en-GB" w:eastAsia="en-GB"/>
              </w:rPr>
              <w:t>49</w:t>
            </w:r>
            <w:r w:rsidRPr="00FD7E89">
              <w:rPr>
                <w:rFonts w:ascii="Times New Roman" w:eastAsia="Times New Roman" w:hAnsi="Times New Roman" w:cs="Times New Roman"/>
                <w:color w:val="000000"/>
                <w:sz w:val="20"/>
                <w:szCs w:val="20"/>
                <w:lang w:val="en-GB" w:eastAsia="en-GB"/>
              </w:rPr>
              <w:t>,</w:t>
            </w:r>
            <w:r w:rsidRPr="00E56A4C">
              <w:rPr>
                <w:rFonts w:ascii="Times New Roman" w:eastAsia="Times New Roman" w:hAnsi="Times New Roman" w:cs="Times New Roman"/>
                <w:color w:val="000000"/>
                <w:sz w:val="20"/>
                <w:szCs w:val="20"/>
                <w:lang w:val="en-GB" w:eastAsia="en-GB"/>
              </w:rPr>
              <w:t>436</w:t>
            </w:r>
          </w:p>
        </w:tc>
        <w:tc>
          <w:tcPr>
            <w:tcW w:w="154" w:type="pct"/>
            <w:tcBorders>
              <w:top w:val="nil"/>
              <w:left w:val="nil"/>
              <w:bottom w:val="single" w:sz="4" w:space="0" w:color="auto"/>
              <w:right w:val="nil"/>
            </w:tcBorders>
            <w:noWrap/>
            <w:vAlign w:val="bottom"/>
            <w:hideMark/>
          </w:tcPr>
          <w:p w14:paraId="6D23B1A0" w14:textId="77777777"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single" w:sz="4" w:space="0" w:color="auto"/>
              <w:right w:val="nil"/>
            </w:tcBorders>
            <w:noWrap/>
            <w:vAlign w:val="bottom"/>
            <w:hideMark/>
          </w:tcPr>
          <w:p w14:paraId="0D622F5B" w14:textId="71D8918D"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70</w:t>
            </w:r>
            <w:r w:rsidRPr="00FD7E89">
              <w:rPr>
                <w:rFonts w:ascii="Times New Roman" w:eastAsia="Times New Roman" w:hAnsi="Times New Roman" w:cs="Times New Roman"/>
                <w:color w:val="000000"/>
                <w:sz w:val="20"/>
                <w:szCs w:val="20"/>
                <w:lang w:val="en-GB" w:eastAsia="en-GB"/>
              </w:rPr>
              <w:t>,</w:t>
            </w:r>
            <w:r w:rsidRPr="0036247D">
              <w:rPr>
                <w:rFonts w:ascii="Times New Roman" w:eastAsia="Times New Roman" w:hAnsi="Times New Roman" w:cs="Times New Roman"/>
                <w:color w:val="000000"/>
                <w:sz w:val="20"/>
                <w:szCs w:val="20"/>
                <w:lang w:val="en-GB" w:eastAsia="en-GB"/>
              </w:rPr>
              <w:t>137</w:t>
            </w:r>
          </w:p>
        </w:tc>
        <w:tc>
          <w:tcPr>
            <w:tcW w:w="395" w:type="pct"/>
            <w:tcBorders>
              <w:top w:val="nil"/>
              <w:left w:val="nil"/>
              <w:bottom w:val="single" w:sz="4" w:space="0" w:color="auto"/>
              <w:right w:val="nil"/>
            </w:tcBorders>
            <w:noWrap/>
            <w:vAlign w:val="bottom"/>
            <w:hideMark/>
          </w:tcPr>
          <w:p w14:paraId="0ABF5CA6" w14:textId="7C7D1D8C"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70</w:t>
            </w:r>
            <w:r w:rsidRPr="00FD7E89">
              <w:rPr>
                <w:rFonts w:ascii="Times New Roman" w:eastAsia="Times New Roman" w:hAnsi="Times New Roman" w:cs="Times New Roman"/>
                <w:color w:val="000000"/>
                <w:sz w:val="20"/>
                <w:szCs w:val="20"/>
                <w:lang w:val="en-GB" w:eastAsia="en-GB"/>
              </w:rPr>
              <w:t>,</w:t>
            </w:r>
            <w:r w:rsidRPr="0036247D">
              <w:rPr>
                <w:rFonts w:ascii="Times New Roman" w:eastAsia="Times New Roman" w:hAnsi="Times New Roman" w:cs="Times New Roman"/>
                <w:color w:val="000000"/>
                <w:sz w:val="20"/>
                <w:szCs w:val="20"/>
                <w:lang w:val="en-GB" w:eastAsia="en-GB"/>
              </w:rPr>
              <w:t>135</w:t>
            </w:r>
          </w:p>
        </w:tc>
        <w:tc>
          <w:tcPr>
            <w:tcW w:w="395" w:type="pct"/>
            <w:tcBorders>
              <w:top w:val="nil"/>
              <w:left w:val="nil"/>
              <w:bottom w:val="single" w:sz="4" w:space="0" w:color="auto"/>
              <w:right w:val="nil"/>
            </w:tcBorders>
            <w:noWrap/>
            <w:vAlign w:val="bottom"/>
            <w:hideMark/>
          </w:tcPr>
          <w:p w14:paraId="6A5214AF" w14:textId="3E31EF75" w:rsidR="005558A7" w:rsidRPr="00FD7E89" w:rsidRDefault="005558A7" w:rsidP="008A0066">
            <w:pPr>
              <w:spacing w:after="0" w:line="240" w:lineRule="auto"/>
              <w:jc w:val="center"/>
              <w:rPr>
                <w:rFonts w:ascii="Times New Roman" w:eastAsia="Times New Roman" w:hAnsi="Times New Roman" w:cs="Times New Roman"/>
                <w:color w:val="000000"/>
                <w:sz w:val="20"/>
                <w:szCs w:val="20"/>
                <w:lang w:val="en-GB" w:eastAsia="en-GB"/>
              </w:rPr>
            </w:pPr>
            <w:r w:rsidRPr="0036247D">
              <w:rPr>
                <w:rFonts w:ascii="Times New Roman" w:eastAsia="Times New Roman" w:hAnsi="Times New Roman" w:cs="Times New Roman"/>
                <w:color w:val="000000"/>
                <w:sz w:val="20"/>
                <w:szCs w:val="20"/>
                <w:lang w:val="en-GB" w:eastAsia="en-GB"/>
              </w:rPr>
              <w:t>70</w:t>
            </w:r>
            <w:r w:rsidRPr="00FD7E89">
              <w:rPr>
                <w:rFonts w:ascii="Times New Roman" w:eastAsia="Times New Roman" w:hAnsi="Times New Roman" w:cs="Times New Roman"/>
                <w:color w:val="000000"/>
                <w:sz w:val="20"/>
                <w:szCs w:val="20"/>
                <w:lang w:val="en-GB" w:eastAsia="en-GB"/>
              </w:rPr>
              <w:t>,</w:t>
            </w:r>
            <w:r w:rsidRPr="0036247D">
              <w:rPr>
                <w:rFonts w:ascii="Times New Roman" w:eastAsia="Times New Roman" w:hAnsi="Times New Roman" w:cs="Times New Roman"/>
                <w:color w:val="000000"/>
                <w:sz w:val="20"/>
                <w:szCs w:val="20"/>
                <w:lang w:val="en-GB" w:eastAsia="en-GB"/>
              </w:rPr>
              <w:t>124</w:t>
            </w:r>
          </w:p>
        </w:tc>
      </w:tr>
    </w:tbl>
    <w:p w14:paraId="0D80228D" w14:textId="77777777" w:rsidR="001D3AE2" w:rsidRDefault="001D3AE2" w:rsidP="005F78A1">
      <w:pPr>
        <w:spacing w:after="0"/>
        <w:jc w:val="both"/>
        <w:rPr>
          <w:rFonts w:ascii="Times New Roman" w:hAnsi="Times New Roman" w:cs="Times New Roman"/>
          <w:sz w:val="20"/>
          <w:szCs w:val="20"/>
        </w:rPr>
      </w:pPr>
    </w:p>
    <w:p w14:paraId="0B7C07C4" w14:textId="77777777" w:rsidR="001D3AE2" w:rsidRDefault="001D3AE2" w:rsidP="005F78A1">
      <w:pPr>
        <w:spacing w:after="0"/>
        <w:jc w:val="both"/>
        <w:rPr>
          <w:rFonts w:ascii="Times New Roman" w:hAnsi="Times New Roman" w:cs="Times New Roman"/>
          <w:sz w:val="20"/>
          <w:szCs w:val="20"/>
        </w:rPr>
      </w:pPr>
    </w:p>
    <w:p w14:paraId="05BB0C33" w14:textId="77777777" w:rsidR="008D020B" w:rsidRDefault="008D020B" w:rsidP="00854585">
      <w:pPr>
        <w:spacing w:after="0"/>
        <w:jc w:val="center"/>
        <w:rPr>
          <w:rFonts w:ascii="Times New Roman" w:hAnsi="Times New Roman" w:cs="Times New Roman"/>
          <w:b/>
          <w:sz w:val="20"/>
          <w:szCs w:val="20"/>
        </w:rPr>
      </w:pPr>
    </w:p>
    <w:p w14:paraId="3204C85B" w14:textId="77777777" w:rsidR="00917A95" w:rsidRDefault="00917A95" w:rsidP="00854585">
      <w:pPr>
        <w:spacing w:after="0"/>
        <w:jc w:val="center"/>
        <w:rPr>
          <w:rFonts w:ascii="Times New Roman" w:hAnsi="Times New Roman" w:cs="Times New Roman"/>
          <w:b/>
          <w:sz w:val="20"/>
          <w:szCs w:val="20"/>
        </w:rPr>
      </w:pPr>
    </w:p>
    <w:p w14:paraId="64410406" w14:textId="77777777" w:rsidR="00917A95" w:rsidRDefault="00917A95" w:rsidP="00854585">
      <w:pPr>
        <w:spacing w:after="0"/>
        <w:jc w:val="center"/>
        <w:rPr>
          <w:rFonts w:ascii="Times New Roman" w:hAnsi="Times New Roman" w:cs="Times New Roman"/>
          <w:b/>
          <w:sz w:val="20"/>
          <w:szCs w:val="20"/>
        </w:rPr>
      </w:pPr>
    </w:p>
    <w:p w14:paraId="2DCE6701" w14:textId="77777777" w:rsidR="00917A95" w:rsidRDefault="00917A95" w:rsidP="00854585">
      <w:pPr>
        <w:spacing w:after="0"/>
        <w:jc w:val="center"/>
        <w:rPr>
          <w:rFonts w:ascii="Times New Roman" w:hAnsi="Times New Roman" w:cs="Times New Roman"/>
          <w:b/>
          <w:sz w:val="20"/>
          <w:szCs w:val="20"/>
        </w:rPr>
      </w:pPr>
    </w:p>
    <w:p w14:paraId="0EA83E69" w14:textId="77777777" w:rsidR="00917A95" w:rsidRDefault="00917A95" w:rsidP="00854585">
      <w:pPr>
        <w:spacing w:after="0"/>
        <w:jc w:val="center"/>
        <w:rPr>
          <w:rFonts w:ascii="Times New Roman" w:hAnsi="Times New Roman" w:cs="Times New Roman"/>
          <w:b/>
          <w:sz w:val="20"/>
          <w:szCs w:val="20"/>
        </w:rPr>
      </w:pPr>
    </w:p>
    <w:p w14:paraId="28D70F28" w14:textId="77777777" w:rsidR="00917A95" w:rsidRDefault="00917A95" w:rsidP="00854585">
      <w:pPr>
        <w:spacing w:after="0"/>
        <w:jc w:val="center"/>
        <w:rPr>
          <w:rFonts w:ascii="Times New Roman" w:hAnsi="Times New Roman" w:cs="Times New Roman"/>
          <w:b/>
          <w:sz w:val="20"/>
          <w:szCs w:val="20"/>
        </w:rPr>
      </w:pPr>
    </w:p>
    <w:p w14:paraId="00D4BE15" w14:textId="77777777" w:rsidR="008D020B" w:rsidRDefault="008D020B" w:rsidP="00854585">
      <w:pPr>
        <w:spacing w:after="0"/>
        <w:jc w:val="center"/>
        <w:rPr>
          <w:rFonts w:ascii="Times New Roman" w:hAnsi="Times New Roman" w:cs="Times New Roman"/>
          <w:b/>
          <w:sz w:val="20"/>
          <w:szCs w:val="20"/>
        </w:rPr>
      </w:pPr>
    </w:p>
    <w:p w14:paraId="368B2039" w14:textId="77777777" w:rsidR="0036247D" w:rsidRDefault="0036247D" w:rsidP="00854585">
      <w:pPr>
        <w:spacing w:after="0"/>
        <w:jc w:val="center"/>
        <w:rPr>
          <w:rFonts w:ascii="Times New Roman" w:hAnsi="Times New Roman" w:cs="Times New Roman"/>
          <w:b/>
          <w:sz w:val="20"/>
          <w:szCs w:val="20"/>
        </w:rPr>
      </w:pPr>
    </w:p>
    <w:p w14:paraId="0CE037AD" w14:textId="7AE51B0A" w:rsidR="00854585" w:rsidRPr="005A60C4" w:rsidRDefault="00854585" w:rsidP="0073671D">
      <w:pPr>
        <w:jc w:val="center"/>
        <w:rPr>
          <w:rFonts w:ascii="Times New Roman" w:hAnsi="Times New Roman" w:cs="Times New Roman"/>
          <w:b/>
          <w:sz w:val="20"/>
          <w:szCs w:val="20"/>
        </w:rPr>
      </w:pPr>
      <w:r w:rsidRPr="005A60C4">
        <w:rPr>
          <w:rFonts w:ascii="Times New Roman" w:hAnsi="Times New Roman" w:cs="Times New Roman"/>
          <w:b/>
          <w:sz w:val="20"/>
          <w:szCs w:val="20"/>
        </w:rPr>
        <w:lastRenderedPageBreak/>
        <w:t xml:space="preserve">TABLE </w:t>
      </w:r>
      <w:r w:rsidR="007D15CC">
        <w:rPr>
          <w:rFonts w:ascii="Times New Roman" w:hAnsi="Times New Roman" w:cs="Times New Roman"/>
          <w:b/>
          <w:sz w:val="20"/>
          <w:szCs w:val="20"/>
        </w:rPr>
        <w:t>4</w:t>
      </w:r>
      <w:r w:rsidR="0095639B">
        <w:rPr>
          <w:rFonts w:ascii="Times New Roman" w:hAnsi="Times New Roman" w:cs="Times New Roman"/>
          <w:b/>
          <w:sz w:val="20"/>
          <w:szCs w:val="20"/>
        </w:rPr>
        <w:t xml:space="preserve"> - continued</w:t>
      </w:r>
    </w:p>
    <w:p w14:paraId="41B5E359" w14:textId="1F0865E4" w:rsidR="00854585" w:rsidRDefault="00854585" w:rsidP="0073671D">
      <w:pPr>
        <w:spacing w:line="276" w:lineRule="auto"/>
        <w:rPr>
          <w:rFonts w:ascii="Times New Roman" w:hAnsi="Times New Roman" w:cs="Times New Roman"/>
          <w:sz w:val="20"/>
          <w:szCs w:val="20"/>
        </w:rPr>
      </w:pPr>
      <w:r w:rsidRPr="007F410E">
        <w:rPr>
          <w:rFonts w:ascii="Times New Roman" w:hAnsi="Times New Roman" w:cs="Times New Roman"/>
          <w:sz w:val="20"/>
          <w:szCs w:val="20"/>
        </w:rPr>
        <w:t xml:space="preserve">Panel </w:t>
      </w:r>
      <w:r>
        <w:rPr>
          <w:rFonts w:ascii="Times New Roman" w:hAnsi="Times New Roman" w:cs="Times New Roman"/>
          <w:sz w:val="20"/>
          <w:szCs w:val="20"/>
        </w:rPr>
        <w:t>C</w:t>
      </w:r>
      <w:r w:rsidRPr="007F410E">
        <w:rPr>
          <w:rFonts w:ascii="Times New Roman" w:hAnsi="Times New Roman" w:cs="Times New Roman"/>
          <w:sz w:val="20"/>
          <w:szCs w:val="20"/>
        </w:rPr>
        <w:t xml:space="preserve">: </w:t>
      </w:r>
      <w:r>
        <w:rPr>
          <w:rFonts w:ascii="Times New Roman" w:hAnsi="Times New Roman" w:cs="Times New Roman"/>
          <w:sz w:val="20"/>
          <w:szCs w:val="20"/>
        </w:rPr>
        <w:t>Uncertainty in Growth Rates</w:t>
      </w:r>
      <w:r w:rsidR="00B97B10">
        <w:rPr>
          <w:rFonts w:ascii="Times New Roman" w:hAnsi="Times New Roman" w:cs="Times New Roman"/>
          <w:sz w:val="20"/>
          <w:szCs w:val="20"/>
        </w:rPr>
        <w:t xml:space="preserve"> and Discount Rates</w:t>
      </w:r>
    </w:p>
    <w:tbl>
      <w:tblPr>
        <w:tblW w:w="5000" w:type="pct"/>
        <w:tblLook w:val="04A0" w:firstRow="1" w:lastRow="0" w:firstColumn="1" w:lastColumn="0" w:noHBand="0" w:noVBand="1"/>
      </w:tblPr>
      <w:tblGrid>
        <w:gridCol w:w="1806"/>
        <w:gridCol w:w="1013"/>
        <w:gridCol w:w="246"/>
        <w:gridCol w:w="1000"/>
        <w:gridCol w:w="966"/>
        <w:gridCol w:w="1033"/>
        <w:gridCol w:w="297"/>
        <w:gridCol w:w="1033"/>
        <w:gridCol w:w="1033"/>
        <w:gridCol w:w="1033"/>
        <w:gridCol w:w="401"/>
        <w:gridCol w:w="1033"/>
        <w:gridCol w:w="1033"/>
        <w:gridCol w:w="1033"/>
      </w:tblGrid>
      <w:tr w:rsidR="006A7742" w:rsidRPr="00BD24A2" w14:paraId="34621843" w14:textId="77777777" w:rsidTr="008B4060">
        <w:trPr>
          <w:trHeight w:val="255"/>
        </w:trPr>
        <w:tc>
          <w:tcPr>
            <w:tcW w:w="693" w:type="pct"/>
            <w:tcBorders>
              <w:top w:val="single" w:sz="4" w:space="0" w:color="auto"/>
              <w:left w:val="nil"/>
              <w:right w:val="nil"/>
            </w:tcBorders>
            <w:noWrap/>
            <w:vAlign w:val="bottom"/>
          </w:tcPr>
          <w:p w14:paraId="79DFA392" w14:textId="77777777" w:rsidR="006A7742" w:rsidRPr="00BD24A2" w:rsidRDefault="006A7742" w:rsidP="00D978C6">
            <w:pPr>
              <w:spacing w:after="0" w:line="240" w:lineRule="auto"/>
              <w:rPr>
                <w:rFonts w:ascii="Times New Roman" w:eastAsia="Times New Roman" w:hAnsi="Times New Roman" w:cs="Times New Roman"/>
                <w:color w:val="000000"/>
                <w:sz w:val="20"/>
                <w:szCs w:val="20"/>
                <w:lang w:val="en-GB" w:eastAsia="en-GB"/>
              </w:rPr>
            </w:pPr>
          </w:p>
        </w:tc>
        <w:tc>
          <w:tcPr>
            <w:tcW w:w="395" w:type="pct"/>
            <w:tcBorders>
              <w:top w:val="single" w:sz="4" w:space="0" w:color="auto"/>
              <w:left w:val="nil"/>
              <w:right w:val="nil"/>
            </w:tcBorders>
            <w:vAlign w:val="bottom"/>
          </w:tcPr>
          <w:p w14:paraId="0D7A6FD2"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99" w:type="pct"/>
            <w:tcBorders>
              <w:top w:val="single" w:sz="4" w:space="0" w:color="auto"/>
              <w:left w:val="nil"/>
              <w:right w:val="nil"/>
            </w:tcBorders>
            <w:vAlign w:val="bottom"/>
          </w:tcPr>
          <w:p w14:paraId="2D209578"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1157" w:type="pct"/>
            <w:gridSpan w:val="3"/>
            <w:tcBorders>
              <w:top w:val="single" w:sz="4" w:space="0" w:color="auto"/>
              <w:left w:val="nil"/>
              <w:bottom w:val="single" w:sz="4" w:space="0" w:color="auto"/>
              <w:right w:val="nil"/>
            </w:tcBorders>
            <w:noWrap/>
            <w:vAlign w:val="bottom"/>
          </w:tcPr>
          <w:p w14:paraId="5612EFB0" w14:textId="51F14E4D"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 xml:space="preserve">Log(1 </w:t>
            </w:r>
            <w:r w:rsidRPr="00FD7E89">
              <w:rPr>
                <w:rFonts w:ascii="Times New Roman" w:eastAsia="Times New Roman" w:hAnsi="Times New Roman" w:cs="Times New Roman"/>
                <w:color w:val="000000"/>
                <w:sz w:val="20"/>
                <w:szCs w:val="20"/>
                <w:lang w:val="en-GB" w:eastAsia="en-GB"/>
              </w:rPr>
              <w:t xml:space="preserve">+ </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E[LTG])</w:t>
            </w:r>
            <w:r w:rsidRPr="00BD24A2">
              <w:rPr>
                <w:rFonts w:ascii="Times New Roman" w:eastAsia="Times New Roman" w:hAnsi="Times New Roman" w:cs="Times New Roman"/>
                <w:color w:val="000000"/>
                <w:sz w:val="20"/>
                <w:szCs w:val="20"/>
                <w:lang w:val="en-GB" w:eastAsia="en-GB"/>
              </w:rPr>
              <w:t>)</w:t>
            </w:r>
          </w:p>
        </w:tc>
        <w:tc>
          <w:tcPr>
            <w:tcW w:w="119" w:type="pct"/>
            <w:tcBorders>
              <w:top w:val="single" w:sz="4" w:space="0" w:color="auto"/>
              <w:left w:val="nil"/>
              <w:bottom w:val="nil"/>
              <w:right w:val="nil"/>
            </w:tcBorders>
            <w:noWrap/>
            <w:vAlign w:val="bottom"/>
          </w:tcPr>
          <w:p w14:paraId="2F821DA3"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1190" w:type="pct"/>
            <w:gridSpan w:val="3"/>
            <w:tcBorders>
              <w:top w:val="single" w:sz="4" w:space="0" w:color="auto"/>
              <w:left w:val="nil"/>
              <w:bottom w:val="single" w:sz="4" w:space="0" w:color="auto"/>
              <w:right w:val="nil"/>
            </w:tcBorders>
            <w:noWrap/>
            <w:vAlign w:val="bottom"/>
          </w:tcPr>
          <w:p w14:paraId="2DB7C2DE" w14:textId="2C02DD54"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Log(</w:t>
            </w:r>
            <w:r w:rsidRPr="00282BCE">
              <w:rPr>
                <w:rFonts w:ascii="Times New Roman" w:eastAsia="Times New Roman" w:hAnsi="Times New Roman" w:cs="Times New Roman"/>
                <w:color w:val="000000"/>
                <w:sz w:val="20"/>
                <w:szCs w:val="20"/>
                <w:lang w:eastAsia="en-CA"/>
              </w:rPr>
              <w:t>σ</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Beta</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vertAlign w:val="superscript"/>
                <w:lang w:val="en-GB" w:eastAsia="en-GB"/>
              </w:rPr>
              <w:t>POST</w:t>
            </w:r>
            <w:r w:rsidRPr="00BD24A2">
              <w:rPr>
                <w:rFonts w:ascii="Times New Roman" w:eastAsia="Times New Roman" w:hAnsi="Times New Roman" w:cs="Times New Roman"/>
                <w:color w:val="000000"/>
                <w:sz w:val="20"/>
                <w:szCs w:val="20"/>
                <w:lang w:val="en-GB" w:eastAsia="en-GB"/>
              </w:rPr>
              <w:t>)</w:t>
            </w:r>
          </w:p>
        </w:tc>
        <w:tc>
          <w:tcPr>
            <w:tcW w:w="159" w:type="pct"/>
            <w:tcBorders>
              <w:top w:val="single" w:sz="4" w:space="0" w:color="auto"/>
              <w:left w:val="nil"/>
              <w:bottom w:val="nil"/>
              <w:right w:val="nil"/>
            </w:tcBorders>
            <w:noWrap/>
            <w:vAlign w:val="bottom"/>
          </w:tcPr>
          <w:p w14:paraId="7DBB9184"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1190" w:type="pct"/>
            <w:gridSpan w:val="3"/>
            <w:tcBorders>
              <w:top w:val="single" w:sz="4" w:space="0" w:color="auto"/>
              <w:left w:val="nil"/>
              <w:bottom w:val="single" w:sz="4" w:space="0" w:color="auto"/>
              <w:right w:val="nil"/>
            </w:tcBorders>
            <w:noWrap/>
            <w:vAlign w:val="bottom"/>
          </w:tcPr>
          <w:p w14:paraId="1FCA711D" w14:textId="5C21C0F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Log(</w:t>
            </w:r>
            <w:r>
              <w:rPr>
                <w:rFonts w:ascii="Times New Roman" w:eastAsia="Times New Roman" w:hAnsi="Times New Roman" w:cs="Times New Roman"/>
                <w:color w:val="000000"/>
                <w:sz w:val="20"/>
                <w:szCs w:val="20"/>
                <w:lang w:eastAsia="en-CA"/>
              </w:rPr>
              <w:t>SE</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Beta</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vertAlign w:val="superscript"/>
                <w:lang w:val="en-GB" w:eastAsia="en-GB"/>
              </w:rPr>
              <w:t>POST</w:t>
            </w:r>
            <w:r w:rsidRPr="00BD24A2">
              <w:rPr>
                <w:rFonts w:ascii="Times New Roman" w:eastAsia="Times New Roman" w:hAnsi="Times New Roman" w:cs="Times New Roman"/>
                <w:color w:val="000000"/>
                <w:sz w:val="20"/>
                <w:szCs w:val="20"/>
                <w:lang w:val="en-GB" w:eastAsia="en-GB"/>
              </w:rPr>
              <w:t>)</w:t>
            </w:r>
          </w:p>
        </w:tc>
      </w:tr>
      <w:tr w:rsidR="008B4060" w:rsidRPr="00BD24A2" w14:paraId="079401D3" w14:textId="77777777" w:rsidTr="008B4060">
        <w:trPr>
          <w:trHeight w:val="255"/>
        </w:trPr>
        <w:tc>
          <w:tcPr>
            <w:tcW w:w="693" w:type="pct"/>
            <w:tcBorders>
              <w:left w:val="nil"/>
              <w:bottom w:val="single" w:sz="4" w:space="0" w:color="auto"/>
              <w:right w:val="nil"/>
            </w:tcBorders>
            <w:noWrap/>
            <w:vAlign w:val="bottom"/>
            <w:hideMark/>
          </w:tcPr>
          <w:p w14:paraId="32499B0E" w14:textId="77777777" w:rsidR="006A7742" w:rsidRPr="00BD24A2" w:rsidRDefault="006A7742" w:rsidP="00D978C6">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 </w:t>
            </w:r>
          </w:p>
        </w:tc>
        <w:tc>
          <w:tcPr>
            <w:tcW w:w="395" w:type="pct"/>
            <w:tcBorders>
              <w:left w:val="nil"/>
              <w:bottom w:val="single" w:sz="4" w:space="0" w:color="auto"/>
              <w:right w:val="nil"/>
            </w:tcBorders>
            <w:vAlign w:val="bottom"/>
          </w:tcPr>
          <w:p w14:paraId="201FEEA2" w14:textId="6EFD5F11"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Exp. Sign</w:t>
            </w:r>
          </w:p>
        </w:tc>
        <w:tc>
          <w:tcPr>
            <w:tcW w:w="99" w:type="pct"/>
            <w:tcBorders>
              <w:top w:val="nil"/>
              <w:left w:val="nil"/>
              <w:right w:val="nil"/>
            </w:tcBorders>
            <w:vAlign w:val="bottom"/>
          </w:tcPr>
          <w:p w14:paraId="04128576"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390" w:type="pct"/>
            <w:tcBorders>
              <w:top w:val="nil"/>
              <w:left w:val="nil"/>
              <w:bottom w:val="single" w:sz="4" w:space="0" w:color="auto"/>
              <w:right w:val="nil"/>
            </w:tcBorders>
            <w:noWrap/>
            <w:vAlign w:val="bottom"/>
            <w:hideMark/>
          </w:tcPr>
          <w:p w14:paraId="5596B3B7" w14:textId="5AACF0EE"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1</w:t>
            </w:r>
            <w:r>
              <w:rPr>
                <w:rFonts w:ascii="Times New Roman" w:eastAsia="Times New Roman" w:hAnsi="Times New Roman" w:cs="Times New Roman"/>
                <w:color w:val="000000"/>
                <w:sz w:val="20"/>
                <w:szCs w:val="20"/>
                <w:lang w:val="en-GB" w:eastAsia="en-GB"/>
              </w:rPr>
              <w:t>)</w:t>
            </w:r>
          </w:p>
        </w:tc>
        <w:tc>
          <w:tcPr>
            <w:tcW w:w="371" w:type="pct"/>
            <w:tcBorders>
              <w:top w:val="nil"/>
              <w:left w:val="nil"/>
              <w:bottom w:val="single" w:sz="4" w:space="0" w:color="auto"/>
              <w:right w:val="nil"/>
            </w:tcBorders>
            <w:noWrap/>
            <w:vAlign w:val="bottom"/>
            <w:hideMark/>
          </w:tcPr>
          <w:p w14:paraId="117967FF" w14:textId="211A3F30"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2</w:t>
            </w:r>
            <w:r>
              <w:rPr>
                <w:rFonts w:ascii="Times New Roman" w:eastAsia="Times New Roman" w:hAnsi="Times New Roman" w:cs="Times New Roman"/>
                <w:color w:val="000000"/>
                <w:sz w:val="20"/>
                <w:szCs w:val="20"/>
                <w:lang w:val="en-GB" w:eastAsia="en-GB"/>
              </w:rPr>
              <w:t>)</w:t>
            </w:r>
          </w:p>
        </w:tc>
        <w:tc>
          <w:tcPr>
            <w:tcW w:w="396" w:type="pct"/>
            <w:tcBorders>
              <w:top w:val="nil"/>
              <w:left w:val="nil"/>
              <w:bottom w:val="single" w:sz="4" w:space="0" w:color="auto"/>
              <w:right w:val="nil"/>
            </w:tcBorders>
            <w:noWrap/>
            <w:vAlign w:val="bottom"/>
            <w:hideMark/>
          </w:tcPr>
          <w:p w14:paraId="7997666B" w14:textId="44858C00"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3</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40410D55"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single" w:sz="4" w:space="0" w:color="auto"/>
              <w:right w:val="nil"/>
            </w:tcBorders>
            <w:noWrap/>
            <w:vAlign w:val="bottom"/>
            <w:hideMark/>
          </w:tcPr>
          <w:p w14:paraId="1AA95677" w14:textId="2DEC05CF"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4</w:t>
            </w:r>
            <w:r>
              <w:rPr>
                <w:rFonts w:ascii="Times New Roman" w:eastAsia="Times New Roman" w:hAnsi="Times New Roman" w:cs="Times New Roman"/>
                <w:color w:val="000000"/>
                <w:sz w:val="20"/>
                <w:szCs w:val="20"/>
                <w:lang w:val="en-GB" w:eastAsia="en-GB"/>
              </w:rPr>
              <w:t>)</w:t>
            </w:r>
          </w:p>
        </w:tc>
        <w:tc>
          <w:tcPr>
            <w:tcW w:w="396" w:type="pct"/>
            <w:tcBorders>
              <w:top w:val="nil"/>
              <w:left w:val="nil"/>
              <w:bottom w:val="single" w:sz="4" w:space="0" w:color="auto"/>
              <w:right w:val="nil"/>
            </w:tcBorders>
            <w:noWrap/>
            <w:vAlign w:val="bottom"/>
            <w:hideMark/>
          </w:tcPr>
          <w:p w14:paraId="6D66CBE0" w14:textId="02E0466D"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5</w:t>
            </w:r>
            <w:r>
              <w:rPr>
                <w:rFonts w:ascii="Times New Roman" w:eastAsia="Times New Roman" w:hAnsi="Times New Roman" w:cs="Times New Roman"/>
                <w:color w:val="000000"/>
                <w:sz w:val="20"/>
                <w:szCs w:val="20"/>
                <w:lang w:val="en-GB" w:eastAsia="en-GB"/>
              </w:rPr>
              <w:t>)</w:t>
            </w:r>
          </w:p>
        </w:tc>
        <w:tc>
          <w:tcPr>
            <w:tcW w:w="397" w:type="pct"/>
            <w:tcBorders>
              <w:top w:val="nil"/>
              <w:left w:val="nil"/>
              <w:bottom w:val="single" w:sz="4" w:space="0" w:color="auto"/>
              <w:right w:val="nil"/>
            </w:tcBorders>
            <w:noWrap/>
            <w:vAlign w:val="bottom"/>
            <w:hideMark/>
          </w:tcPr>
          <w:p w14:paraId="1BA83681" w14:textId="52AB919A"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6</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1F3FBC85" w14:textId="77777777"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single" w:sz="4" w:space="0" w:color="auto"/>
              <w:left w:val="nil"/>
              <w:bottom w:val="single" w:sz="4" w:space="0" w:color="auto"/>
              <w:right w:val="nil"/>
            </w:tcBorders>
            <w:noWrap/>
            <w:vAlign w:val="bottom"/>
            <w:hideMark/>
          </w:tcPr>
          <w:p w14:paraId="6B3002FF" w14:textId="117ABC6A"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7</w:t>
            </w:r>
            <w:r>
              <w:rPr>
                <w:rFonts w:ascii="Times New Roman" w:eastAsia="Times New Roman" w:hAnsi="Times New Roman" w:cs="Times New Roman"/>
                <w:color w:val="000000"/>
                <w:sz w:val="20"/>
                <w:szCs w:val="20"/>
                <w:lang w:val="en-GB" w:eastAsia="en-GB"/>
              </w:rPr>
              <w:t>)</w:t>
            </w:r>
          </w:p>
        </w:tc>
        <w:tc>
          <w:tcPr>
            <w:tcW w:w="396" w:type="pct"/>
            <w:tcBorders>
              <w:top w:val="single" w:sz="4" w:space="0" w:color="auto"/>
              <w:left w:val="nil"/>
              <w:bottom w:val="single" w:sz="4" w:space="0" w:color="auto"/>
              <w:right w:val="nil"/>
            </w:tcBorders>
            <w:noWrap/>
            <w:vAlign w:val="bottom"/>
            <w:hideMark/>
          </w:tcPr>
          <w:p w14:paraId="2BEFD1D2" w14:textId="4DF6058B"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8</w:t>
            </w:r>
            <w:r>
              <w:rPr>
                <w:rFonts w:ascii="Times New Roman" w:eastAsia="Times New Roman" w:hAnsi="Times New Roman" w:cs="Times New Roman"/>
                <w:color w:val="000000"/>
                <w:sz w:val="20"/>
                <w:szCs w:val="20"/>
                <w:lang w:val="en-GB" w:eastAsia="en-GB"/>
              </w:rPr>
              <w:t>)</w:t>
            </w:r>
          </w:p>
        </w:tc>
        <w:tc>
          <w:tcPr>
            <w:tcW w:w="397" w:type="pct"/>
            <w:tcBorders>
              <w:top w:val="single" w:sz="4" w:space="0" w:color="auto"/>
              <w:left w:val="nil"/>
              <w:bottom w:val="single" w:sz="4" w:space="0" w:color="auto"/>
              <w:right w:val="nil"/>
            </w:tcBorders>
            <w:noWrap/>
            <w:vAlign w:val="bottom"/>
            <w:hideMark/>
          </w:tcPr>
          <w:p w14:paraId="2A512F65" w14:textId="0BAB3966" w:rsidR="006A7742" w:rsidRPr="00BD24A2" w:rsidRDefault="006A7742" w:rsidP="00D978C6">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9</w:t>
            </w:r>
            <w:r>
              <w:rPr>
                <w:rFonts w:ascii="Times New Roman" w:eastAsia="Times New Roman" w:hAnsi="Times New Roman" w:cs="Times New Roman"/>
                <w:color w:val="000000"/>
                <w:sz w:val="20"/>
                <w:szCs w:val="20"/>
                <w:lang w:val="en-GB" w:eastAsia="en-GB"/>
              </w:rPr>
              <w:t>)</w:t>
            </w:r>
          </w:p>
        </w:tc>
      </w:tr>
      <w:tr w:rsidR="008B4060" w:rsidRPr="00BD24A2" w14:paraId="043B92B4" w14:textId="77777777" w:rsidTr="008B4060">
        <w:trPr>
          <w:trHeight w:val="335"/>
        </w:trPr>
        <w:tc>
          <w:tcPr>
            <w:tcW w:w="693" w:type="pct"/>
            <w:tcBorders>
              <w:top w:val="single" w:sz="4" w:space="0" w:color="auto"/>
              <w:left w:val="nil"/>
              <w:bottom w:val="nil"/>
              <w:right w:val="nil"/>
            </w:tcBorders>
            <w:noWrap/>
            <w:vAlign w:val="bottom"/>
            <w:hideMark/>
          </w:tcPr>
          <w:p w14:paraId="54169DBE"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Intercept</w:t>
            </w:r>
          </w:p>
        </w:tc>
        <w:tc>
          <w:tcPr>
            <w:tcW w:w="395" w:type="pct"/>
            <w:tcBorders>
              <w:top w:val="single" w:sz="4" w:space="0" w:color="auto"/>
              <w:left w:val="nil"/>
              <w:bottom w:val="nil"/>
              <w:right w:val="nil"/>
            </w:tcBorders>
            <w:vAlign w:val="bottom"/>
          </w:tcPr>
          <w:p w14:paraId="79BE7426"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99" w:type="pct"/>
            <w:tcBorders>
              <w:left w:val="nil"/>
              <w:bottom w:val="nil"/>
              <w:right w:val="nil"/>
            </w:tcBorders>
            <w:vAlign w:val="bottom"/>
          </w:tcPr>
          <w:p w14:paraId="1A7AC035"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0" w:type="pct"/>
            <w:tcBorders>
              <w:top w:val="single" w:sz="4" w:space="0" w:color="auto"/>
              <w:left w:val="nil"/>
              <w:bottom w:val="nil"/>
              <w:right w:val="nil"/>
            </w:tcBorders>
            <w:noWrap/>
            <w:vAlign w:val="bottom"/>
            <w:hideMark/>
          </w:tcPr>
          <w:p w14:paraId="722C791B" w14:textId="6A1B616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0.938</w:t>
            </w:r>
            <w:r w:rsidR="008B4060">
              <w:rPr>
                <w:rFonts w:ascii="Times New Roman" w:eastAsia="Times New Roman" w:hAnsi="Times New Roman" w:cs="Times New Roman"/>
                <w:color w:val="000000"/>
                <w:sz w:val="20"/>
                <w:szCs w:val="20"/>
                <w:lang w:val="en-GB" w:eastAsia="en-GB"/>
              </w:rPr>
              <w:t>***</w:t>
            </w:r>
          </w:p>
        </w:tc>
        <w:tc>
          <w:tcPr>
            <w:tcW w:w="371" w:type="pct"/>
            <w:tcBorders>
              <w:top w:val="single" w:sz="4" w:space="0" w:color="auto"/>
              <w:left w:val="nil"/>
              <w:bottom w:val="nil"/>
              <w:right w:val="nil"/>
            </w:tcBorders>
            <w:noWrap/>
            <w:vAlign w:val="bottom"/>
            <w:hideMark/>
          </w:tcPr>
          <w:p w14:paraId="2F2F086E" w14:textId="3774AC2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0.916</w:t>
            </w:r>
            <w:r w:rsidR="008B4060">
              <w:rPr>
                <w:rFonts w:ascii="Times New Roman" w:eastAsia="Times New Roman" w:hAnsi="Times New Roman" w:cs="Times New Roman"/>
                <w:color w:val="000000"/>
                <w:sz w:val="20"/>
                <w:szCs w:val="20"/>
                <w:lang w:val="en-GB" w:eastAsia="en-GB"/>
              </w:rPr>
              <w:t>***</w:t>
            </w:r>
          </w:p>
        </w:tc>
        <w:tc>
          <w:tcPr>
            <w:tcW w:w="396" w:type="pct"/>
            <w:tcBorders>
              <w:left w:val="nil"/>
              <w:bottom w:val="nil"/>
              <w:right w:val="nil"/>
            </w:tcBorders>
            <w:noWrap/>
            <w:vAlign w:val="bottom"/>
            <w:hideMark/>
          </w:tcPr>
          <w:p w14:paraId="3A63351C" w14:textId="11FDF93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3.443</w:t>
            </w:r>
            <w:r w:rsidR="008B4060">
              <w:rPr>
                <w:rFonts w:ascii="Times New Roman" w:eastAsia="Times New Roman" w:hAnsi="Times New Roman" w:cs="Times New Roman"/>
                <w:color w:val="000000"/>
                <w:sz w:val="20"/>
                <w:szCs w:val="20"/>
                <w:lang w:val="en-GB" w:eastAsia="en-GB"/>
              </w:rPr>
              <w:t>***</w:t>
            </w:r>
          </w:p>
        </w:tc>
        <w:tc>
          <w:tcPr>
            <w:tcW w:w="119" w:type="pct"/>
            <w:tcBorders>
              <w:left w:val="nil"/>
              <w:bottom w:val="nil"/>
              <w:right w:val="nil"/>
            </w:tcBorders>
            <w:noWrap/>
            <w:vAlign w:val="bottom"/>
            <w:hideMark/>
          </w:tcPr>
          <w:p w14:paraId="0AF94226"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single" w:sz="4" w:space="0" w:color="auto"/>
              <w:left w:val="nil"/>
              <w:bottom w:val="nil"/>
              <w:right w:val="nil"/>
            </w:tcBorders>
            <w:noWrap/>
            <w:vAlign w:val="bottom"/>
            <w:hideMark/>
          </w:tcPr>
          <w:p w14:paraId="176B7084" w14:textId="574E75A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-1.995</w:t>
            </w:r>
            <w:r w:rsidR="008B4060">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0FC84116" w14:textId="7804EDE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-2.025</w:t>
            </w:r>
            <w:r w:rsidR="008B4060">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1075A743" w14:textId="7028578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0.586</w:t>
            </w:r>
            <w:r w:rsidR="008B4060">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0C9E66A5"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3D48F59" w14:textId="56B33D0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-2.662</w:t>
            </w:r>
            <w:r w:rsidR="008B4060">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7C8C2724" w14:textId="3539CF33"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-2.682</w:t>
            </w:r>
            <w:r w:rsidR="008B4060">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27C679CE" w14:textId="05CEA93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1.041</w:t>
            </w:r>
            <w:r w:rsidR="008B4060">
              <w:rPr>
                <w:rFonts w:ascii="Times New Roman" w:eastAsia="Times New Roman" w:hAnsi="Times New Roman" w:cs="Times New Roman"/>
                <w:color w:val="000000"/>
                <w:sz w:val="20"/>
                <w:szCs w:val="20"/>
                <w:lang w:val="en-GB" w:eastAsia="en-GB"/>
              </w:rPr>
              <w:t>***</w:t>
            </w:r>
          </w:p>
        </w:tc>
      </w:tr>
      <w:tr w:rsidR="008B4060" w:rsidRPr="00BD24A2" w14:paraId="4CE0AEF2" w14:textId="77777777" w:rsidTr="008B4060">
        <w:trPr>
          <w:trHeight w:val="255"/>
        </w:trPr>
        <w:tc>
          <w:tcPr>
            <w:tcW w:w="693" w:type="pct"/>
            <w:tcBorders>
              <w:top w:val="nil"/>
              <w:left w:val="nil"/>
              <w:bottom w:val="nil"/>
              <w:right w:val="nil"/>
            </w:tcBorders>
            <w:noWrap/>
            <w:vAlign w:val="bottom"/>
            <w:hideMark/>
          </w:tcPr>
          <w:p w14:paraId="7C77C613"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294CFF0F"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99" w:type="pct"/>
            <w:tcBorders>
              <w:top w:val="nil"/>
              <w:left w:val="nil"/>
              <w:bottom w:val="nil"/>
              <w:right w:val="nil"/>
            </w:tcBorders>
            <w:vAlign w:val="bottom"/>
          </w:tcPr>
          <w:p w14:paraId="09E1B6F9"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33351DBD" w14:textId="69BBFE5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71" w:type="pct"/>
            <w:tcBorders>
              <w:top w:val="nil"/>
              <w:left w:val="nil"/>
              <w:bottom w:val="nil"/>
              <w:right w:val="nil"/>
            </w:tcBorders>
            <w:noWrap/>
            <w:vAlign w:val="bottom"/>
            <w:hideMark/>
          </w:tcPr>
          <w:p w14:paraId="17C2A6BE" w14:textId="3FA5357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21837AA7" w14:textId="1D40D81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4C0511E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98D0F27" w14:textId="304848B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338B4082" w14:textId="0687B9CE"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00368017" w14:textId="4E536780"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45DCA30F"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C6852D6" w14:textId="218ACCC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093EC28C" w14:textId="2D6BF3B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47BA306D" w14:textId="4A0BC55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B4060" w:rsidRPr="00BD24A2" w14:paraId="4EF23BFE" w14:textId="77777777" w:rsidTr="008B4060">
        <w:trPr>
          <w:trHeight w:val="255"/>
        </w:trPr>
        <w:tc>
          <w:tcPr>
            <w:tcW w:w="693" w:type="pct"/>
            <w:tcBorders>
              <w:top w:val="nil"/>
              <w:left w:val="nil"/>
              <w:bottom w:val="nil"/>
              <w:right w:val="nil"/>
            </w:tcBorders>
            <w:noWrap/>
            <w:vAlign w:val="bottom"/>
            <w:hideMark/>
          </w:tcPr>
          <w:p w14:paraId="62A46296" w14:textId="77777777" w:rsidR="006A7742" w:rsidRPr="001660DF" w:rsidRDefault="006A7742" w:rsidP="0094660A">
            <w:pPr>
              <w:spacing w:after="0" w:line="240" w:lineRule="auto"/>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VU</w:t>
            </w:r>
          </w:p>
        </w:tc>
        <w:tc>
          <w:tcPr>
            <w:tcW w:w="395" w:type="pct"/>
            <w:tcBorders>
              <w:top w:val="nil"/>
              <w:left w:val="nil"/>
              <w:bottom w:val="nil"/>
              <w:right w:val="nil"/>
            </w:tcBorders>
            <w:vAlign w:val="bottom"/>
          </w:tcPr>
          <w:p w14:paraId="2724B2C3"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w:t>
            </w:r>
          </w:p>
        </w:tc>
        <w:tc>
          <w:tcPr>
            <w:tcW w:w="99" w:type="pct"/>
            <w:tcBorders>
              <w:top w:val="nil"/>
              <w:left w:val="nil"/>
              <w:bottom w:val="nil"/>
              <w:right w:val="nil"/>
            </w:tcBorders>
            <w:vAlign w:val="bottom"/>
          </w:tcPr>
          <w:p w14:paraId="45EAAE84"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390" w:type="pct"/>
            <w:tcBorders>
              <w:top w:val="nil"/>
              <w:left w:val="nil"/>
              <w:bottom w:val="nil"/>
              <w:right w:val="nil"/>
            </w:tcBorders>
            <w:noWrap/>
            <w:vAlign w:val="bottom"/>
            <w:hideMark/>
          </w:tcPr>
          <w:p w14:paraId="5735E953" w14:textId="5872D9B1"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0.718***</w:t>
            </w:r>
          </w:p>
        </w:tc>
        <w:tc>
          <w:tcPr>
            <w:tcW w:w="371" w:type="pct"/>
            <w:tcBorders>
              <w:top w:val="nil"/>
              <w:left w:val="nil"/>
              <w:bottom w:val="nil"/>
              <w:right w:val="nil"/>
            </w:tcBorders>
            <w:noWrap/>
            <w:vAlign w:val="bottom"/>
            <w:hideMark/>
          </w:tcPr>
          <w:p w14:paraId="4A44FA28" w14:textId="110E57D4"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0.577***</w:t>
            </w:r>
          </w:p>
        </w:tc>
        <w:tc>
          <w:tcPr>
            <w:tcW w:w="396" w:type="pct"/>
            <w:tcBorders>
              <w:top w:val="nil"/>
              <w:left w:val="nil"/>
              <w:bottom w:val="nil"/>
              <w:right w:val="nil"/>
            </w:tcBorders>
            <w:noWrap/>
            <w:vAlign w:val="bottom"/>
            <w:hideMark/>
          </w:tcPr>
          <w:p w14:paraId="533DA4AD" w14:textId="78AE4DC5"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0.134**</w:t>
            </w:r>
          </w:p>
        </w:tc>
        <w:tc>
          <w:tcPr>
            <w:tcW w:w="119" w:type="pct"/>
            <w:tcBorders>
              <w:top w:val="nil"/>
              <w:left w:val="nil"/>
              <w:bottom w:val="nil"/>
              <w:right w:val="nil"/>
            </w:tcBorders>
            <w:noWrap/>
            <w:vAlign w:val="bottom"/>
            <w:hideMark/>
          </w:tcPr>
          <w:p w14:paraId="7EE35A02"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396" w:type="pct"/>
            <w:tcBorders>
              <w:top w:val="nil"/>
              <w:left w:val="nil"/>
              <w:bottom w:val="nil"/>
              <w:right w:val="nil"/>
            </w:tcBorders>
            <w:noWrap/>
            <w:vAlign w:val="bottom"/>
            <w:hideMark/>
          </w:tcPr>
          <w:p w14:paraId="730104C5" w14:textId="509D3C99"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0.994***</w:t>
            </w:r>
          </w:p>
        </w:tc>
        <w:tc>
          <w:tcPr>
            <w:tcW w:w="396" w:type="pct"/>
            <w:tcBorders>
              <w:top w:val="nil"/>
              <w:left w:val="nil"/>
              <w:bottom w:val="nil"/>
              <w:right w:val="nil"/>
            </w:tcBorders>
            <w:noWrap/>
            <w:vAlign w:val="bottom"/>
            <w:hideMark/>
          </w:tcPr>
          <w:p w14:paraId="0920F820" w14:textId="0FD2B294"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0.873***</w:t>
            </w:r>
          </w:p>
        </w:tc>
        <w:tc>
          <w:tcPr>
            <w:tcW w:w="397" w:type="pct"/>
            <w:tcBorders>
              <w:top w:val="nil"/>
              <w:left w:val="nil"/>
              <w:bottom w:val="nil"/>
              <w:right w:val="nil"/>
            </w:tcBorders>
            <w:noWrap/>
            <w:vAlign w:val="bottom"/>
            <w:hideMark/>
          </w:tcPr>
          <w:p w14:paraId="50DB8F28" w14:textId="6CFC8FD0"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0.123**</w:t>
            </w:r>
          </w:p>
        </w:tc>
        <w:tc>
          <w:tcPr>
            <w:tcW w:w="159" w:type="pct"/>
            <w:tcBorders>
              <w:top w:val="nil"/>
              <w:left w:val="nil"/>
              <w:bottom w:val="nil"/>
              <w:right w:val="nil"/>
            </w:tcBorders>
            <w:noWrap/>
            <w:vAlign w:val="bottom"/>
            <w:hideMark/>
          </w:tcPr>
          <w:p w14:paraId="120FDFD4"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396" w:type="pct"/>
            <w:tcBorders>
              <w:top w:val="nil"/>
              <w:left w:val="nil"/>
              <w:bottom w:val="nil"/>
              <w:right w:val="nil"/>
            </w:tcBorders>
            <w:noWrap/>
            <w:vAlign w:val="bottom"/>
            <w:hideMark/>
          </w:tcPr>
          <w:p w14:paraId="060A89E2" w14:textId="0B41D6A9" w:rsidR="006A7742" w:rsidRPr="001660DF" w:rsidRDefault="006A7742" w:rsidP="0094660A">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1.308***</w:t>
            </w:r>
          </w:p>
        </w:tc>
        <w:tc>
          <w:tcPr>
            <w:tcW w:w="396" w:type="pct"/>
            <w:tcBorders>
              <w:top w:val="nil"/>
              <w:left w:val="nil"/>
              <w:bottom w:val="nil"/>
              <w:right w:val="nil"/>
            </w:tcBorders>
            <w:noWrap/>
            <w:vAlign w:val="bottom"/>
            <w:hideMark/>
          </w:tcPr>
          <w:p w14:paraId="5D58499D" w14:textId="5405043E" w:rsidR="006A7742" w:rsidRPr="001660DF" w:rsidRDefault="006A7742" w:rsidP="0094660A">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1.252***</w:t>
            </w:r>
          </w:p>
        </w:tc>
        <w:tc>
          <w:tcPr>
            <w:tcW w:w="397" w:type="pct"/>
            <w:tcBorders>
              <w:top w:val="nil"/>
              <w:left w:val="nil"/>
              <w:bottom w:val="nil"/>
              <w:right w:val="nil"/>
            </w:tcBorders>
            <w:noWrap/>
            <w:vAlign w:val="bottom"/>
            <w:hideMark/>
          </w:tcPr>
          <w:p w14:paraId="1F0CF3D0" w14:textId="79682722" w:rsidR="006A7742" w:rsidRPr="001660DF" w:rsidRDefault="006A7742" w:rsidP="0094660A">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0.116***</w:t>
            </w:r>
          </w:p>
        </w:tc>
      </w:tr>
      <w:tr w:rsidR="008B4060" w:rsidRPr="00BD24A2" w14:paraId="07AD2CA6" w14:textId="77777777" w:rsidTr="008B4060">
        <w:trPr>
          <w:trHeight w:val="255"/>
        </w:trPr>
        <w:tc>
          <w:tcPr>
            <w:tcW w:w="693" w:type="pct"/>
            <w:tcBorders>
              <w:top w:val="nil"/>
              <w:left w:val="nil"/>
              <w:bottom w:val="nil"/>
              <w:right w:val="nil"/>
            </w:tcBorders>
            <w:noWrap/>
            <w:vAlign w:val="bottom"/>
            <w:hideMark/>
          </w:tcPr>
          <w:p w14:paraId="3DF4596A" w14:textId="77777777" w:rsidR="006A7742" w:rsidRPr="001660DF" w:rsidRDefault="006A7742" w:rsidP="0094660A">
            <w:pPr>
              <w:spacing w:after="0" w:line="240" w:lineRule="auto"/>
              <w:jc w:val="center"/>
              <w:rPr>
                <w:rFonts w:ascii="Times New Roman" w:eastAsia="Times New Roman" w:hAnsi="Times New Roman" w:cs="Times New Roman"/>
                <w:b/>
                <w:bCs/>
                <w:color w:val="CC00FF"/>
                <w:sz w:val="20"/>
                <w:szCs w:val="20"/>
                <w:lang w:val="en-GB" w:eastAsia="en-GB"/>
              </w:rPr>
            </w:pPr>
          </w:p>
        </w:tc>
        <w:tc>
          <w:tcPr>
            <w:tcW w:w="395" w:type="pct"/>
            <w:tcBorders>
              <w:top w:val="nil"/>
              <w:left w:val="nil"/>
              <w:bottom w:val="nil"/>
              <w:right w:val="nil"/>
            </w:tcBorders>
            <w:vAlign w:val="bottom"/>
          </w:tcPr>
          <w:p w14:paraId="27359535"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99" w:type="pct"/>
            <w:tcBorders>
              <w:top w:val="nil"/>
              <w:left w:val="nil"/>
              <w:bottom w:val="nil"/>
              <w:right w:val="nil"/>
            </w:tcBorders>
            <w:vAlign w:val="bottom"/>
          </w:tcPr>
          <w:p w14:paraId="4DA9E1FA"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390" w:type="pct"/>
            <w:tcBorders>
              <w:top w:val="nil"/>
              <w:left w:val="nil"/>
              <w:bottom w:val="nil"/>
              <w:right w:val="nil"/>
            </w:tcBorders>
            <w:noWrap/>
            <w:vAlign w:val="bottom"/>
            <w:hideMark/>
          </w:tcPr>
          <w:p w14:paraId="094F17DA" w14:textId="097008AE"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71" w:type="pct"/>
            <w:tcBorders>
              <w:top w:val="nil"/>
              <w:left w:val="nil"/>
              <w:bottom w:val="nil"/>
              <w:right w:val="nil"/>
            </w:tcBorders>
            <w:noWrap/>
            <w:vAlign w:val="bottom"/>
            <w:hideMark/>
          </w:tcPr>
          <w:p w14:paraId="3A52CC7B" w14:textId="53314892"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6" w:type="pct"/>
            <w:tcBorders>
              <w:top w:val="nil"/>
              <w:left w:val="nil"/>
              <w:bottom w:val="nil"/>
              <w:right w:val="nil"/>
            </w:tcBorders>
            <w:noWrap/>
            <w:vAlign w:val="bottom"/>
            <w:hideMark/>
          </w:tcPr>
          <w:p w14:paraId="157B4CB3" w14:textId="1078603D"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(0.012)</w:t>
            </w:r>
          </w:p>
        </w:tc>
        <w:tc>
          <w:tcPr>
            <w:tcW w:w="119" w:type="pct"/>
            <w:tcBorders>
              <w:top w:val="nil"/>
              <w:left w:val="nil"/>
              <w:bottom w:val="nil"/>
              <w:right w:val="nil"/>
            </w:tcBorders>
            <w:noWrap/>
            <w:vAlign w:val="bottom"/>
            <w:hideMark/>
          </w:tcPr>
          <w:p w14:paraId="363A237A"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396" w:type="pct"/>
            <w:tcBorders>
              <w:top w:val="nil"/>
              <w:left w:val="nil"/>
              <w:bottom w:val="nil"/>
              <w:right w:val="nil"/>
            </w:tcBorders>
            <w:noWrap/>
            <w:vAlign w:val="bottom"/>
            <w:hideMark/>
          </w:tcPr>
          <w:p w14:paraId="6F6FDEDA" w14:textId="330900C4"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6" w:type="pct"/>
            <w:tcBorders>
              <w:top w:val="nil"/>
              <w:left w:val="nil"/>
              <w:bottom w:val="nil"/>
              <w:right w:val="nil"/>
            </w:tcBorders>
            <w:noWrap/>
            <w:vAlign w:val="bottom"/>
            <w:hideMark/>
          </w:tcPr>
          <w:p w14:paraId="31C541BD" w14:textId="70F85A30"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7" w:type="pct"/>
            <w:tcBorders>
              <w:top w:val="nil"/>
              <w:left w:val="nil"/>
              <w:bottom w:val="nil"/>
              <w:right w:val="nil"/>
            </w:tcBorders>
            <w:noWrap/>
            <w:vAlign w:val="bottom"/>
            <w:hideMark/>
          </w:tcPr>
          <w:p w14:paraId="7777C2E7" w14:textId="508136FA"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r w:rsidRPr="001660DF">
              <w:rPr>
                <w:rFonts w:ascii="Times New Roman" w:eastAsia="Times New Roman" w:hAnsi="Times New Roman" w:cs="Times New Roman"/>
                <w:b/>
                <w:bCs/>
                <w:color w:val="000000"/>
                <w:sz w:val="20"/>
                <w:szCs w:val="20"/>
                <w:lang w:val="en-GB" w:eastAsia="en-GB"/>
              </w:rPr>
              <w:t>(0.015)</w:t>
            </w:r>
          </w:p>
        </w:tc>
        <w:tc>
          <w:tcPr>
            <w:tcW w:w="159" w:type="pct"/>
            <w:tcBorders>
              <w:top w:val="nil"/>
              <w:left w:val="nil"/>
              <w:bottom w:val="nil"/>
              <w:right w:val="nil"/>
            </w:tcBorders>
            <w:noWrap/>
            <w:vAlign w:val="bottom"/>
            <w:hideMark/>
          </w:tcPr>
          <w:p w14:paraId="487D108D" w14:textId="77777777" w:rsidR="006A7742" w:rsidRPr="001660DF" w:rsidRDefault="006A7742" w:rsidP="0094660A">
            <w:pPr>
              <w:spacing w:after="0" w:line="240" w:lineRule="auto"/>
              <w:jc w:val="center"/>
              <w:rPr>
                <w:rFonts w:ascii="Times New Roman" w:eastAsia="Times New Roman" w:hAnsi="Times New Roman" w:cs="Times New Roman"/>
                <w:b/>
                <w:bCs/>
                <w:color w:val="000000"/>
                <w:sz w:val="20"/>
                <w:szCs w:val="20"/>
                <w:lang w:val="en-GB" w:eastAsia="en-GB"/>
              </w:rPr>
            </w:pPr>
          </w:p>
        </w:tc>
        <w:tc>
          <w:tcPr>
            <w:tcW w:w="396" w:type="pct"/>
            <w:tcBorders>
              <w:top w:val="nil"/>
              <w:left w:val="nil"/>
              <w:bottom w:val="nil"/>
              <w:right w:val="nil"/>
            </w:tcBorders>
            <w:noWrap/>
            <w:vAlign w:val="bottom"/>
            <w:hideMark/>
          </w:tcPr>
          <w:p w14:paraId="00F0DC26" w14:textId="23126942" w:rsidR="006A7742" w:rsidRPr="001660DF" w:rsidRDefault="006A7742" w:rsidP="0094660A">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6" w:type="pct"/>
            <w:tcBorders>
              <w:top w:val="nil"/>
              <w:left w:val="nil"/>
              <w:bottom w:val="nil"/>
              <w:right w:val="nil"/>
            </w:tcBorders>
            <w:noWrap/>
            <w:vAlign w:val="bottom"/>
            <w:hideMark/>
          </w:tcPr>
          <w:p w14:paraId="333A5900" w14:textId="49F4FA6C" w:rsidR="006A7742" w:rsidRPr="001660DF" w:rsidRDefault="006A7742" w:rsidP="0094660A">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c>
          <w:tcPr>
            <w:tcW w:w="397" w:type="pct"/>
            <w:tcBorders>
              <w:top w:val="nil"/>
              <w:left w:val="nil"/>
              <w:bottom w:val="nil"/>
              <w:right w:val="nil"/>
            </w:tcBorders>
            <w:noWrap/>
            <w:vAlign w:val="bottom"/>
            <w:hideMark/>
          </w:tcPr>
          <w:p w14:paraId="60751B82" w14:textId="357AD4FE" w:rsidR="006A7742" w:rsidRPr="001660DF" w:rsidRDefault="006A7742" w:rsidP="0094660A">
            <w:pPr>
              <w:spacing w:after="0" w:line="240" w:lineRule="auto"/>
              <w:jc w:val="center"/>
              <w:rPr>
                <w:rFonts w:ascii="Times New Roman" w:eastAsia="Times New Roman" w:hAnsi="Times New Roman" w:cs="Times New Roman"/>
                <w:b/>
                <w:bCs/>
                <w:sz w:val="20"/>
                <w:szCs w:val="20"/>
                <w:lang w:val="en-GB" w:eastAsia="en-GB"/>
              </w:rPr>
            </w:pPr>
            <w:r w:rsidRPr="001660DF">
              <w:rPr>
                <w:rFonts w:ascii="Times New Roman" w:eastAsia="Times New Roman" w:hAnsi="Times New Roman" w:cs="Times New Roman"/>
                <w:b/>
                <w:bCs/>
                <w:color w:val="000000"/>
                <w:sz w:val="20"/>
                <w:szCs w:val="20"/>
                <w:lang w:val="en-GB" w:eastAsia="en-GB"/>
              </w:rPr>
              <w:t>(0.000)</w:t>
            </w:r>
          </w:p>
        </w:tc>
      </w:tr>
      <w:tr w:rsidR="008B4060" w:rsidRPr="00BD24A2" w14:paraId="2EB2D142" w14:textId="77777777" w:rsidTr="008B4060">
        <w:trPr>
          <w:trHeight w:val="255"/>
        </w:trPr>
        <w:tc>
          <w:tcPr>
            <w:tcW w:w="693" w:type="pct"/>
            <w:tcBorders>
              <w:top w:val="nil"/>
              <w:left w:val="nil"/>
              <w:bottom w:val="nil"/>
              <w:right w:val="nil"/>
            </w:tcBorders>
            <w:noWrap/>
            <w:vAlign w:val="bottom"/>
            <w:hideMark/>
          </w:tcPr>
          <w:p w14:paraId="19969301" w14:textId="48FEED0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EF0972">
              <w:rPr>
                <w:rFonts w:ascii="Times New Roman" w:eastAsia="Times New Roman" w:hAnsi="Times New Roman" w:cs="Times New Roman"/>
                <w:color w:val="000000"/>
                <w:sz w:val="20"/>
                <w:szCs w:val="20"/>
                <w:lang w:val="en-GB" w:eastAsia="en-GB"/>
              </w:rPr>
              <w:t>IQR</w:t>
            </w:r>
            <w:r>
              <w:rPr>
                <w:rFonts w:ascii="Times New Roman" w:eastAsia="Times New Roman" w:hAnsi="Times New Roman" w:cs="Times New Roman"/>
                <w:color w:val="000000"/>
                <w:sz w:val="20"/>
                <w:szCs w:val="20"/>
                <w:lang w:val="en-GB" w:eastAsia="en-GB"/>
              </w:rPr>
              <w:t>(</w:t>
            </w:r>
            <w:r w:rsidRPr="006664C8">
              <w:rPr>
                <w:rFonts w:ascii="Times New Roman" w:eastAsia="Times New Roman" w:hAnsi="Times New Roman" w:cs="Times New Roman"/>
                <w:color w:val="000000"/>
                <w:sz w:val="20"/>
                <w:szCs w:val="20"/>
                <w:lang w:val="en-GB" w:eastAsia="en-GB"/>
              </w:rPr>
              <w:t>EV/EBITDA</w:t>
            </w:r>
            <w:r>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vAlign w:val="bottom"/>
          </w:tcPr>
          <w:p w14:paraId="493DE234"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661BC339"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521D55D8"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4A732E23" w14:textId="643DE2E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0.014</w:t>
            </w:r>
            <w:r w:rsidR="008B4060">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3FBDD96B" w14:textId="72CDA01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0.003</w:t>
            </w:r>
          </w:p>
        </w:tc>
        <w:tc>
          <w:tcPr>
            <w:tcW w:w="119" w:type="pct"/>
            <w:tcBorders>
              <w:top w:val="nil"/>
              <w:left w:val="nil"/>
              <w:bottom w:val="nil"/>
              <w:right w:val="nil"/>
            </w:tcBorders>
            <w:noWrap/>
            <w:vAlign w:val="bottom"/>
            <w:hideMark/>
          </w:tcPr>
          <w:p w14:paraId="714ABC81"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5B2E8A83"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384A1ED" w14:textId="35371F9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0.020</w:t>
            </w:r>
            <w:r w:rsidR="008B4060">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3244CEE0" w14:textId="5FB43B38"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0.008</w:t>
            </w:r>
            <w:r w:rsidR="008B4060">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14C12FAF"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524F0AEA"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D6291A5" w14:textId="2050B43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0.009</w:t>
            </w:r>
            <w:r w:rsidR="008B4060">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097A2A3B" w14:textId="32518BF2"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0.001</w:t>
            </w:r>
          </w:p>
        </w:tc>
      </w:tr>
      <w:tr w:rsidR="008B4060" w:rsidRPr="00BD24A2" w14:paraId="43FEEAB9" w14:textId="77777777" w:rsidTr="008B4060">
        <w:trPr>
          <w:trHeight w:val="255"/>
        </w:trPr>
        <w:tc>
          <w:tcPr>
            <w:tcW w:w="693" w:type="pct"/>
            <w:tcBorders>
              <w:top w:val="nil"/>
              <w:left w:val="nil"/>
              <w:bottom w:val="nil"/>
              <w:right w:val="nil"/>
            </w:tcBorders>
            <w:noWrap/>
            <w:vAlign w:val="bottom"/>
            <w:hideMark/>
          </w:tcPr>
          <w:p w14:paraId="1D1290D1"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7F166FE8"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1AD0237A"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3DEDAD1A"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6216979C" w14:textId="59F78B8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0.001</w:t>
            </w:r>
            <w:r>
              <w:rPr>
                <w:rFonts w:ascii="Times New Roman" w:eastAsia="Times New Roman" w:hAnsi="Times New Roman" w:cs="Times New Roman"/>
                <w:color w:val="000000"/>
                <w:sz w:val="20"/>
                <w:szCs w:val="20"/>
                <w:lang w:val="en-GB" w:eastAsia="en-GB"/>
              </w:rPr>
              <w:t>)</w:t>
            </w:r>
          </w:p>
        </w:tc>
        <w:tc>
          <w:tcPr>
            <w:tcW w:w="396" w:type="pct"/>
            <w:tcBorders>
              <w:top w:val="nil"/>
              <w:left w:val="nil"/>
              <w:bottom w:val="nil"/>
              <w:right w:val="nil"/>
            </w:tcBorders>
            <w:noWrap/>
            <w:vAlign w:val="bottom"/>
            <w:hideMark/>
          </w:tcPr>
          <w:p w14:paraId="17C31B5C" w14:textId="1674853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0.210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32FD4A2D"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A136B34"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16046EFA" w14:textId="5801544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0.005</w:t>
            </w:r>
            <w:r>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4322326E" w14:textId="1AA2D8F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0.036</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11F575FD"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10BC1E17"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1BDB0E28" w14:textId="1DA0F70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94660A">
              <w:rPr>
                <w:rFonts w:ascii="Times New Roman" w:eastAsia="Times New Roman" w:hAnsi="Times New Roman" w:cs="Times New Roman"/>
                <w:color w:val="000000"/>
                <w:sz w:val="20"/>
                <w:szCs w:val="20"/>
                <w:lang w:val="en-GB" w:eastAsia="en-GB"/>
              </w:rPr>
              <w:t>0.008</w:t>
            </w:r>
            <w:r>
              <w:rPr>
                <w:rFonts w:ascii="Times New Roman" w:eastAsia="Times New Roman" w:hAnsi="Times New Roman" w:cs="Times New Roman"/>
                <w:color w:val="000000"/>
                <w:sz w:val="20"/>
                <w:szCs w:val="20"/>
                <w:lang w:val="en-GB" w:eastAsia="en-GB"/>
              </w:rPr>
              <w:t>)</w:t>
            </w:r>
          </w:p>
        </w:tc>
        <w:tc>
          <w:tcPr>
            <w:tcW w:w="397" w:type="pct"/>
            <w:tcBorders>
              <w:top w:val="nil"/>
              <w:left w:val="nil"/>
              <w:bottom w:val="nil"/>
              <w:right w:val="nil"/>
            </w:tcBorders>
            <w:noWrap/>
            <w:vAlign w:val="bottom"/>
            <w:hideMark/>
          </w:tcPr>
          <w:p w14:paraId="3DBAD80B" w14:textId="76E00E3E"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94660A">
              <w:rPr>
                <w:rFonts w:ascii="Times New Roman" w:eastAsia="Times New Roman" w:hAnsi="Times New Roman" w:cs="Times New Roman"/>
                <w:color w:val="000000"/>
                <w:sz w:val="20"/>
                <w:szCs w:val="20"/>
                <w:lang w:val="en-GB" w:eastAsia="en-GB"/>
              </w:rPr>
              <w:t>0.241</w:t>
            </w:r>
            <w:r>
              <w:rPr>
                <w:rFonts w:ascii="Times New Roman" w:eastAsia="Times New Roman" w:hAnsi="Times New Roman" w:cs="Times New Roman"/>
                <w:color w:val="000000"/>
                <w:sz w:val="20"/>
                <w:szCs w:val="20"/>
                <w:lang w:val="en-GB" w:eastAsia="en-GB"/>
              </w:rPr>
              <w:t>)</w:t>
            </w:r>
          </w:p>
        </w:tc>
      </w:tr>
      <w:tr w:rsidR="008B4060" w:rsidRPr="00BD24A2" w14:paraId="16C65176" w14:textId="77777777" w:rsidTr="008B4060">
        <w:trPr>
          <w:trHeight w:val="255"/>
        </w:trPr>
        <w:tc>
          <w:tcPr>
            <w:tcW w:w="693" w:type="pct"/>
            <w:tcBorders>
              <w:top w:val="nil"/>
              <w:left w:val="nil"/>
              <w:bottom w:val="nil"/>
              <w:right w:val="nil"/>
            </w:tcBorders>
            <w:noWrap/>
            <w:vAlign w:val="bottom"/>
            <w:hideMark/>
          </w:tcPr>
          <w:p w14:paraId="257F950C" w14:textId="39D485F1"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BD24A2">
              <w:rPr>
                <w:rFonts w:ascii="Times New Roman" w:eastAsia="Times New Roman" w:hAnsi="Times New Roman" w:cs="Times New Roman"/>
                <w:color w:val="000000"/>
                <w:sz w:val="20"/>
                <w:szCs w:val="20"/>
                <w:lang w:val="en-GB" w:eastAsia="en-GB"/>
              </w:rPr>
              <w:t>og(ME)</w:t>
            </w:r>
          </w:p>
        </w:tc>
        <w:tc>
          <w:tcPr>
            <w:tcW w:w="395" w:type="pct"/>
            <w:tcBorders>
              <w:top w:val="nil"/>
              <w:left w:val="nil"/>
              <w:bottom w:val="nil"/>
              <w:right w:val="nil"/>
            </w:tcBorders>
            <w:vAlign w:val="bottom"/>
          </w:tcPr>
          <w:p w14:paraId="67FE6F4B" w14:textId="0FBA8C42"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270084D6"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59F4D17E"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2015C11E"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7D9E566A" w14:textId="41B95EB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0.064</w:t>
            </w:r>
            <w:r w:rsidR="008B4060">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3E661B64"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6E35A0F8"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1A6D3B8A"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6B91D0E8" w14:textId="7D6F478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-0.005</w:t>
            </w:r>
          </w:p>
        </w:tc>
        <w:tc>
          <w:tcPr>
            <w:tcW w:w="159" w:type="pct"/>
            <w:tcBorders>
              <w:top w:val="nil"/>
              <w:left w:val="nil"/>
              <w:bottom w:val="nil"/>
              <w:right w:val="nil"/>
            </w:tcBorders>
            <w:noWrap/>
            <w:vAlign w:val="bottom"/>
            <w:hideMark/>
          </w:tcPr>
          <w:p w14:paraId="540841D3"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5BD22B12"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8CB2F33"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15DE9351" w14:textId="5C560BA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-0.058</w:t>
            </w:r>
            <w:r w:rsidR="008B4060">
              <w:rPr>
                <w:rFonts w:ascii="Times New Roman" w:eastAsia="Times New Roman" w:hAnsi="Times New Roman" w:cs="Times New Roman"/>
                <w:color w:val="000000"/>
                <w:sz w:val="20"/>
                <w:szCs w:val="20"/>
                <w:lang w:val="en-GB" w:eastAsia="en-GB"/>
              </w:rPr>
              <w:t>***</w:t>
            </w:r>
          </w:p>
        </w:tc>
      </w:tr>
      <w:tr w:rsidR="008B4060" w:rsidRPr="00BD24A2" w14:paraId="3E8E9520" w14:textId="77777777" w:rsidTr="008B4060">
        <w:trPr>
          <w:trHeight w:val="255"/>
        </w:trPr>
        <w:tc>
          <w:tcPr>
            <w:tcW w:w="693" w:type="pct"/>
            <w:tcBorders>
              <w:top w:val="nil"/>
              <w:left w:val="nil"/>
              <w:bottom w:val="nil"/>
              <w:right w:val="nil"/>
            </w:tcBorders>
            <w:noWrap/>
            <w:vAlign w:val="bottom"/>
            <w:hideMark/>
          </w:tcPr>
          <w:p w14:paraId="512FD6D6"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5E9BAE08"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15705C99"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129D1E72"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30A5AC1E"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5EC8D749" w14:textId="0B7255B5"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59F7E3EF"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15F02E8E"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A36B230"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5F5EA28B" w14:textId="75170E8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0.660</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4C8E96CC"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153BE3F5"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5A4EB4C"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12E38C6B" w14:textId="61E1EFF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B4060" w:rsidRPr="00BD24A2" w14:paraId="0AEC9B3C" w14:textId="77777777" w:rsidTr="008B4060">
        <w:trPr>
          <w:trHeight w:val="255"/>
        </w:trPr>
        <w:tc>
          <w:tcPr>
            <w:tcW w:w="693" w:type="pct"/>
            <w:tcBorders>
              <w:top w:val="nil"/>
              <w:left w:val="nil"/>
              <w:bottom w:val="nil"/>
              <w:right w:val="nil"/>
            </w:tcBorders>
            <w:noWrap/>
            <w:vAlign w:val="bottom"/>
            <w:hideMark/>
          </w:tcPr>
          <w:p w14:paraId="7EFBC590" w14:textId="0B024AC5"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BD24A2">
              <w:rPr>
                <w:rFonts w:ascii="Times New Roman" w:eastAsia="Times New Roman" w:hAnsi="Times New Roman" w:cs="Times New Roman"/>
                <w:color w:val="000000"/>
                <w:sz w:val="20"/>
                <w:szCs w:val="20"/>
                <w:lang w:val="en-GB" w:eastAsia="en-GB"/>
              </w:rPr>
              <w:t>og(Age)</w:t>
            </w:r>
          </w:p>
        </w:tc>
        <w:tc>
          <w:tcPr>
            <w:tcW w:w="395" w:type="pct"/>
            <w:tcBorders>
              <w:top w:val="nil"/>
              <w:left w:val="nil"/>
              <w:bottom w:val="nil"/>
              <w:right w:val="nil"/>
            </w:tcBorders>
            <w:vAlign w:val="bottom"/>
          </w:tcPr>
          <w:p w14:paraId="258544C5" w14:textId="5390FAD0"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04AC113D"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581DF234"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0FE192B4"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5BC5C6C0" w14:textId="7F73B05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-0.060</w:t>
            </w:r>
            <w:r w:rsidR="008B4060">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4D6698E7"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404B7FF"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413A8EB"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3144462B" w14:textId="1F90773E"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-0.040</w:t>
            </w:r>
            <w:r w:rsidR="008B4060">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2344B0C5"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1D3E448B"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8D84D34"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1D16B363" w14:textId="6C09763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-0.033</w:t>
            </w:r>
            <w:r w:rsidR="008B4060">
              <w:rPr>
                <w:rFonts w:ascii="Times New Roman" w:eastAsia="Times New Roman" w:hAnsi="Times New Roman" w:cs="Times New Roman"/>
                <w:color w:val="000000"/>
                <w:sz w:val="20"/>
                <w:szCs w:val="20"/>
                <w:lang w:val="en-GB" w:eastAsia="en-GB"/>
              </w:rPr>
              <w:t>***</w:t>
            </w:r>
          </w:p>
        </w:tc>
      </w:tr>
      <w:tr w:rsidR="008B4060" w:rsidRPr="00BD24A2" w14:paraId="44243C19" w14:textId="77777777" w:rsidTr="008B4060">
        <w:trPr>
          <w:trHeight w:val="255"/>
        </w:trPr>
        <w:tc>
          <w:tcPr>
            <w:tcW w:w="693" w:type="pct"/>
            <w:tcBorders>
              <w:top w:val="nil"/>
              <w:left w:val="nil"/>
              <w:bottom w:val="nil"/>
              <w:right w:val="nil"/>
            </w:tcBorders>
            <w:noWrap/>
            <w:vAlign w:val="bottom"/>
            <w:hideMark/>
          </w:tcPr>
          <w:p w14:paraId="320BFE1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11B47302"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52ACD716"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4BC44C25"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44AA0986"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4A3C2A9A" w14:textId="301AA77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013B3662"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57A1F84F"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7BBFDD11"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0A90CFD6" w14:textId="3BC164E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7082058D"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471BF6FF"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16DF6962"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13DA98CA" w14:textId="00F6BC5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B4060" w:rsidRPr="00BD24A2" w14:paraId="4099A97F" w14:textId="77777777" w:rsidTr="008B4060">
        <w:trPr>
          <w:trHeight w:val="255"/>
        </w:trPr>
        <w:tc>
          <w:tcPr>
            <w:tcW w:w="693" w:type="pct"/>
            <w:tcBorders>
              <w:top w:val="nil"/>
              <w:left w:val="nil"/>
              <w:bottom w:val="nil"/>
              <w:right w:val="nil"/>
            </w:tcBorders>
            <w:noWrap/>
            <w:vAlign w:val="bottom"/>
            <w:hideMark/>
          </w:tcPr>
          <w:p w14:paraId="3D226632" w14:textId="50D8A726"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L</w:t>
            </w:r>
            <w:r w:rsidRPr="00BD24A2">
              <w:rPr>
                <w:rFonts w:ascii="Times New Roman" w:eastAsia="Times New Roman" w:hAnsi="Times New Roman" w:cs="Times New Roman"/>
                <w:color w:val="000000"/>
                <w:sz w:val="20"/>
                <w:szCs w:val="20"/>
                <w:lang w:val="en-GB" w:eastAsia="en-GB"/>
              </w:rPr>
              <w:t>og(</w:t>
            </w:r>
            <w:r w:rsidRPr="00282BCE">
              <w:rPr>
                <w:rFonts w:ascii="Times New Roman" w:eastAsia="Times New Roman" w:hAnsi="Times New Roman" w:cs="Times New Roman"/>
                <w:color w:val="000000"/>
                <w:sz w:val="20"/>
                <w:szCs w:val="20"/>
                <w:lang w:eastAsia="en-CA"/>
              </w:rPr>
              <w:t>σ</w:t>
            </w:r>
            <w:r>
              <w:rPr>
                <w:rFonts w:ascii="Times New Roman" w:eastAsia="Times New Roman" w:hAnsi="Times New Roman" w:cs="Times New Roman"/>
                <w:color w:val="000000"/>
                <w:sz w:val="20"/>
                <w:szCs w:val="20"/>
                <w:vertAlign w:val="superscript"/>
                <w:lang w:val="en-GB" w:eastAsia="en-GB"/>
              </w:rPr>
              <w:t xml:space="preserve"> </w:t>
            </w:r>
            <w:r w:rsidRPr="00A25C55">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Returns</w:t>
            </w:r>
            <w:r w:rsidRPr="00A25C55">
              <w:rPr>
                <w:rFonts w:ascii="Times New Roman" w:eastAsia="Times New Roman" w:hAnsi="Times New Roman" w:cs="Times New Roman"/>
                <w:color w:val="000000"/>
                <w:sz w:val="20"/>
                <w:szCs w:val="20"/>
                <w:lang w:val="en-GB" w:eastAsia="en-GB"/>
              </w:rPr>
              <w:t>)</w:t>
            </w:r>
            <w:r w:rsidRPr="00A25C55">
              <w:rPr>
                <w:rFonts w:ascii="Times New Roman" w:eastAsia="Times New Roman" w:hAnsi="Times New Roman" w:cs="Times New Roman"/>
                <w:color w:val="000000"/>
                <w:sz w:val="20"/>
                <w:szCs w:val="20"/>
                <w:vertAlign w:val="superscript"/>
                <w:lang w:val="en-GB" w:eastAsia="en-GB"/>
              </w:rPr>
              <w:t>PRE</w:t>
            </w:r>
            <w:r w:rsidRPr="00BD24A2">
              <w:rPr>
                <w:rFonts w:ascii="Times New Roman" w:eastAsia="Times New Roman" w:hAnsi="Times New Roman" w:cs="Times New Roman"/>
                <w:color w:val="000000"/>
                <w:sz w:val="20"/>
                <w:szCs w:val="20"/>
                <w:lang w:val="en-GB" w:eastAsia="en-GB"/>
              </w:rPr>
              <w:t>)</w:t>
            </w:r>
          </w:p>
        </w:tc>
        <w:tc>
          <w:tcPr>
            <w:tcW w:w="395" w:type="pct"/>
            <w:tcBorders>
              <w:top w:val="nil"/>
              <w:left w:val="nil"/>
              <w:bottom w:val="nil"/>
              <w:right w:val="nil"/>
            </w:tcBorders>
            <w:vAlign w:val="bottom"/>
          </w:tcPr>
          <w:p w14:paraId="75190E4F"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5D46E7CE"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0437B476"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6812D88C"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60A7037" w14:textId="1441620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0.613</w:t>
            </w:r>
            <w:r w:rsidR="008B4060">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497FC366"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4577FC97"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7221336"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6147B6BD" w14:textId="043B3A2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0.480</w:t>
            </w:r>
            <w:r w:rsidR="008B4060">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173A4C60"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290BEF1"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5F9E2A3"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0E78852C" w14:textId="4209A59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0.660</w:t>
            </w:r>
            <w:r w:rsidR="008B4060">
              <w:rPr>
                <w:rFonts w:ascii="Times New Roman" w:eastAsia="Times New Roman" w:hAnsi="Times New Roman" w:cs="Times New Roman"/>
                <w:color w:val="000000"/>
                <w:sz w:val="20"/>
                <w:szCs w:val="20"/>
                <w:lang w:val="en-GB" w:eastAsia="en-GB"/>
              </w:rPr>
              <w:t>***</w:t>
            </w:r>
          </w:p>
        </w:tc>
      </w:tr>
      <w:tr w:rsidR="008B4060" w:rsidRPr="00BD24A2" w14:paraId="6366896B" w14:textId="77777777" w:rsidTr="008B4060">
        <w:trPr>
          <w:trHeight w:val="255"/>
        </w:trPr>
        <w:tc>
          <w:tcPr>
            <w:tcW w:w="693" w:type="pct"/>
            <w:tcBorders>
              <w:top w:val="nil"/>
              <w:left w:val="nil"/>
              <w:bottom w:val="nil"/>
              <w:right w:val="nil"/>
            </w:tcBorders>
            <w:noWrap/>
            <w:vAlign w:val="bottom"/>
            <w:hideMark/>
          </w:tcPr>
          <w:p w14:paraId="62085609"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5689FD2F"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06C2E765"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7E33AFB5"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1FE89E6E"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A129630" w14:textId="3055EF6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76187A10"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40FB4B8"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0994C8E5"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2BEBA8B3" w14:textId="22703585"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0AB394A7"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65A71EF"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76D19831"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61C87CBF" w14:textId="11B3261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B4060" w:rsidRPr="00BD24A2" w14:paraId="5B9C2C9D" w14:textId="77777777" w:rsidTr="008B4060">
        <w:trPr>
          <w:trHeight w:val="255"/>
        </w:trPr>
        <w:tc>
          <w:tcPr>
            <w:tcW w:w="693" w:type="pct"/>
            <w:tcBorders>
              <w:top w:val="nil"/>
              <w:left w:val="nil"/>
              <w:bottom w:val="nil"/>
              <w:right w:val="nil"/>
            </w:tcBorders>
            <w:noWrap/>
            <w:vAlign w:val="bottom"/>
            <w:hideMark/>
          </w:tcPr>
          <w:p w14:paraId="6FB2CC7F"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Intan/Assets</w:t>
            </w:r>
          </w:p>
        </w:tc>
        <w:tc>
          <w:tcPr>
            <w:tcW w:w="395" w:type="pct"/>
            <w:tcBorders>
              <w:top w:val="nil"/>
              <w:left w:val="nil"/>
              <w:bottom w:val="nil"/>
              <w:right w:val="nil"/>
            </w:tcBorders>
            <w:vAlign w:val="bottom"/>
          </w:tcPr>
          <w:p w14:paraId="1EC2B12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2E136596"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392CF05A"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0C0D83C4"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7D84AC39" w14:textId="2B5AB82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-0.303</w:t>
            </w:r>
            <w:r w:rsidR="008B4060">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65D0057C"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86F4CC5"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60E122E4"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38047273" w14:textId="38C7565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-0.074</w:t>
            </w:r>
          </w:p>
        </w:tc>
        <w:tc>
          <w:tcPr>
            <w:tcW w:w="159" w:type="pct"/>
            <w:tcBorders>
              <w:top w:val="nil"/>
              <w:left w:val="nil"/>
              <w:bottom w:val="nil"/>
              <w:right w:val="nil"/>
            </w:tcBorders>
            <w:noWrap/>
            <w:vAlign w:val="bottom"/>
            <w:hideMark/>
          </w:tcPr>
          <w:p w14:paraId="1DA775A7"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C595345"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49DC6278"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26BA7EB8" w14:textId="529A0322"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0.017</w:t>
            </w:r>
          </w:p>
        </w:tc>
      </w:tr>
      <w:tr w:rsidR="008B4060" w:rsidRPr="00BD24A2" w14:paraId="7399D9D9" w14:textId="77777777" w:rsidTr="008B4060">
        <w:trPr>
          <w:trHeight w:val="255"/>
        </w:trPr>
        <w:tc>
          <w:tcPr>
            <w:tcW w:w="693" w:type="pct"/>
            <w:tcBorders>
              <w:top w:val="nil"/>
              <w:left w:val="nil"/>
              <w:bottom w:val="nil"/>
              <w:right w:val="nil"/>
            </w:tcBorders>
            <w:noWrap/>
            <w:vAlign w:val="bottom"/>
            <w:hideMark/>
          </w:tcPr>
          <w:p w14:paraId="11685FB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16EA9099"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3FB9F3C1"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5BC91977"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4CE2C8B7"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33AF032" w14:textId="7C636B1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0.001</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771D6E3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F1A8C86"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788DC86B"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724EA59B" w14:textId="35949126"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0.111</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4E342B83"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42761256"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46AA4D9A"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0E6FD70E" w14:textId="71456AE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94660A">
              <w:rPr>
                <w:rFonts w:ascii="Times New Roman" w:eastAsia="Times New Roman" w:hAnsi="Times New Roman" w:cs="Times New Roman"/>
                <w:color w:val="000000"/>
                <w:sz w:val="20"/>
                <w:szCs w:val="20"/>
                <w:lang w:val="en-GB" w:eastAsia="en-GB"/>
              </w:rPr>
              <w:t>0.436</w:t>
            </w:r>
            <w:r>
              <w:rPr>
                <w:rFonts w:ascii="Times New Roman" w:eastAsia="Times New Roman" w:hAnsi="Times New Roman" w:cs="Times New Roman"/>
                <w:color w:val="000000"/>
                <w:sz w:val="20"/>
                <w:szCs w:val="20"/>
                <w:lang w:val="en-GB" w:eastAsia="en-GB"/>
              </w:rPr>
              <w:t>)</w:t>
            </w:r>
          </w:p>
        </w:tc>
      </w:tr>
      <w:tr w:rsidR="008B4060" w:rsidRPr="00BD24A2" w14:paraId="697BC5BE" w14:textId="77777777" w:rsidTr="008B4060">
        <w:trPr>
          <w:trHeight w:val="255"/>
        </w:trPr>
        <w:tc>
          <w:tcPr>
            <w:tcW w:w="693" w:type="pct"/>
            <w:tcBorders>
              <w:top w:val="nil"/>
              <w:left w:val="nil"/>
              <w:bottom w:val="nil"/>
              <w:right w:val="nil"/>
            </w:tcBorders>
            <w:noWrap/>
            <w:vAlign w:val="bottom"/>
            <w:hideMark/>
          </w:tcPr>
          <w:p w14:paraId="704748A6"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I</w:t>
            </w:r>
            <w:r w:rsidRPr="00BD24A2">
              <w:rPr>
                <w:rFonts w:ascii="Times New Roman" w:eastAsia="Times New Roman" w:hAnsi="Times New Roman" w:cs="Times New Roman"/>
                <w:color w:val="000000"/>
                <w:sz w:val="20"/>
                <w:szCs w:val="20"/>
                <w:vertAlign w:val="subscript"/>
                <w:lang w:val="en-GB" w:eastAsia="en-GB"/>
              </w:rPr>
              <w:t>EARN&lt;0</w:t>
            </w:r>
          </w:p>
        </w:tc>
        <w:tc>
          <w:tcPr>
            <w:tcW w:w="395" w:type="pct"/>
            <w:tcBorders>
              <w:top w:val="nil"/>
              <w:left w:val="nil"/>
              <w:bottom w:val="nil"/>
              <w:right w:val="nil"/>
            </w:tcBorders>
            <w:vAlign w:val="bottom"/>
          </w:tcPr>
          <w:p w14:paraId="153CCC41"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5874A092"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0D40DB68"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0C2DDA82"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562469C5" w14:textId="606D727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0.125</w:t>
            </w:r>
            <w:r w:rsidR="008B4060">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4DFA7B6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1D5D6AFA"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3DDA7A7"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0975794E" w14:textId="6F31A4B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0.058</w:t>
            </w:r>
            <w:r w:rsidR="008B4060">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7ABB4B52"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7E458C82"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4D2C6404"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3B05D2FB" w14:textId="0722DBA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0.073</w:t>
            </w:r>
            <w:r w:rsidR="008B4060">
              <w:rPr>
                <w:rFonts w:ascii="Times New Roman" w:eastAsia="Times New Roman" w:hAnsi="Times New Roman" w:cs="Times New Roman"/>
                <w:color w:val="000000"/>
                <w:sz w:val="20"/>
                <w:szCs w:val="20"/>
                <w:lang w:val="en-GB" w:eastAsia="en-GB"/>
              </w:rPr>
              <w:t>***</w:t>
            </w:r>
          </w:p>
        </w:tc>
      </w:tr>
      <w:tr w:rsidR="008B4060" w:rsidRPr="00BD24A2" w14:paraId="4D42D54C" w14:textId="77777777" w:rsidTr="008B4060">
        <w:trPr>
          <w:trHeight w:val="255"/>
        </w:trPr>
        <w:tc>
          <w:tcPr>
            <w:tcW w:w="693" w:type="pct"/>
            <w:tcBorders>
              <w:top w:val="nil"/>
              <w:left w:val="nil"/>
              <w:bottom w:val="nil"/>
              <w:right w:val="nil"/>
            </w:tcBorders>
            <w:noWrap/>
            <w:vAlign w:val="bottom"/>
            <w:hideMark/>
          </w:tcPr>
          <w:p w14:paraId="4C5DECB4"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441E6D7E"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5E5B4ED7"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6FEC86AA"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5FF70B90"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23836B0E" w14:textId="747276A2"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0.013</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03AEC677"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6300768E"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23D10FB0"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26538E35" w14:textId="45786F04"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0.001</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6E8354B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F565CBB"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6F3040D5"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29340F7C" w14:textId="754705A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B4060" w:rsidRPr="00BD24A2" w14:paraId="6D03B713" w14:textId="77777777" w:rsidTr="008B4060">
        <w:trPr>
          <w:trHeight w:val="255"/>
        </w:trPr>
        <w:tc>
          <w:tcPr>
            <w:tcW w:w="693" w:type="pct"/>
            <w:tcBorders>
              <w:top w:val="nil"/>
              <w:left w:val="nil"/>
              <w:bottom w:val="nil"/>
              <w:right w:val="nil"/>
            </w:tcBorders>
            <w:noWrap/>
            <w:vAlign w:val="bottom"/>
            <w:hideMark/>
          </w:tcPr>
          <w:p w14:paraId="17FDA8DE"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I</w:t>
            </w:r>
            <w:r w:rsidRPr="00BD24A2">
              <w:rPr>
                <w:rFonts w:ascii="Times New Roman" w:eastAsia="Times New Roman" w:hAnsi="Times New Roman" w:cs="Times New Roman"/>
                <w:color w:val="000000"/>
                <w:sz w:val="20"/>
                <w:szCs w:val="20"/>
                <w:vertAlign w:val="subscript"/>
                <w:lang w:val="en-GB" w:eastAsia="en-GB"/>
              </w:rPr>
              <w:t>DIV&gt;0</w:t>
            </w:r>
          </w:p>
        </w:tc>
        <w:tc>
          <w:tcPr>
            <w:tcW w:w="395" w:type="pct"/>
            <w:tcBorders>
              <w:top w:val="nil"/>
              <w:left w:val="nil"/>
              <w:bottom w:val="nil"/>
              <w:right w:val="nil"/>
            </w:tcBorders>
            <w:vAlign w:val="bottom"/>
          </w:tcPr>
          <w:p w14:paraId="40F95AF8" w14:textId="2E2D33D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w:t>
            </w:r>
            <w:r>
              <w:rPr>
                <w:rFonts w:ascii="Times New Roman" w:eastAsia="Times New Roman" w:hAnsi="Times New Roman" w:cs="Times New Roman"/>
                <w:color w:val="000000"/>
                <w:sz w:val="20"/>
                <w:szCs w:val="20"/>
                <w:lang w:val="en-GB" w:eastAsia="en-GB"/>
              </w:rPr>
              <w:t>–</w:t>
            </w:r>
            <w:r w:rsidRPr="00BD24A2">
              <w:rPr>
                <w:rFonts w:ascii="Times New Roman" w:eastAsia="Times New Roman" w:hAnsi="Times New Roman" w:cs="Times New Roman"/>
                <w:color w:val="000000"/>
                <w:sz w:val="20"/>
                <w:szCs w:val="20"/>
                <w:lang w:val="en-GB" w:eastAsia="en-GB"/>
              </w:rPr>
              <w:t>)</w:t>
            </w:r>
          </w:p>
        </w:tc>
        <w:tc>
          <w:tcPr>
            <w:tcW w:w="99" w:type="pct"/>
            <w:tcBorders>
              <w:top w:val="nil"/>
              <w:left w:val="nil"/>
              <w:bottom w:val="nil"/>
              <w:right w:val="nil"/>
            </w:tcBorders>
            <w:vAlign w:val="bottom"/>
          </w:tcPr>
          <w:p w14:paraId="3923B808"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0" w:type="pct"/>
            <w:tcBorders>
              <w:top w:val="nil"/>
              <w:left w:val="nil"/>
              <w:bottom w:val="nil"/>
              <w:right w:val="nil"/>
            </w:tcBorders>
            <w:noWrap/>
            <w:vAlign w:val="bottom"/>
            <w:hideMark/>
          </w:tcPr>
          <w:p w14:paraId="2A57DFE0"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71" w:type="pct"/>
            <w:tcBorders>
              <w:top w:val="nil"/>
              <w:left w:val="nil"/>
              <w:bottom w:val="nil"/>
              <w:right w:val="nil"/>
            </w:tcBorders>
            <w:noWrap/>
            <w:vAlign w:val="bottom"/>
            <w:hideMark/>
          </w:tcPr>
          <w:p w14:paraId="08346D78"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5E5846F2" w14:textId="61CD645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-0.047</w:t>
            </w:r>
            <w:r w:rsidR="008B4060">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7BA68E26"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FA838A6"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3920110"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033F849B" w14:textId="5E89823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-0.107</w:t>
            </w:r>
            <w:r w:rsidR="008B4060">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36CECDDB"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36BC1018"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67C248C6"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236ECEE4" w14:textId="5F50DC1F"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-0.056</w:t>
            </w:r>
            <w:r w:rsidR="008B4060">
              <w:rPr>
                <w:rFonts w:ascii="Times New Roman" w:eastAsia="Times New Roman" w:hAnsi="Times New Roman" w:cs="Times New Roman"/>
                <w:color w:val="000000"/>
                <w:sz w:val="20"/>
                <w:szCs w:val="20"/>
                <w:lang w:val="en-GB" w:eastAsia="en-GB"/>
              </w:rPr>
              <w:t>***</w:t>
            </w:r>
          </w:p>
        </w:tc>
      </w:tr>
      <w:tr w:rsidR="008B4060" w:rsidRPr="00BD24A2" w14:paraId="2281F6DD" w14:textId="77777777" w:rsidTr="008B4060">
        <w:trPr>
          <w:trHeight w:val="255"/>
        </w:trPr>
        <w:tc>
          <w:tcPr>
            <w:tcW w:w="693" w:type="pct"/>
            <w:tcBorders>
              <w:top w:val="nil"/>
              <w:left w:val="nil"/>
              <w:bottom w:val="nil"/>
              <w:right w:val="nil"/>
            </w:tcBorders>
            <w:noWrap/>
            <w:vAlign w:val="bottom"/>
            <w:hideMark/>
          </w:tcPr>
          <w:p w14:paraId="42934139"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5" w:type="pct"/>
            <w:tcBorders>
              <w:top w:val="nil"/>
              <w:left w:val="nil"/>
              <w:bottom w:val="nil"/>
              <w:right w:val="nil"/>
            </w:tcBorders>
            <w:vAlign w:val="bottom"/>
          </w:tcPr>
          <w:p w14:paraId="1A712880"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99" w:type="pct"/>
            <w:tcBorders>
              <w:top w:val="nil"/>
              <w:left w:val="nil"/>
              <w:bottom w:val="nil"/>
              <w:right w:val="nil"/>
            </w:tcBorders>
            <w:vAlign w:val="bottom"/>
          </w:tcPr>
          <w:p w14:paraId="022B6EED"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0" w:type="pct"/>
            <w:tcBorders>
              <w:top w:val="nil"/>
              <w:left w:val="nil"/>
              <w:bottom w:val="nil"/>
              <w:right w:val="nil"/>
            </w:tcBorders>
            <w:noWrap/>
            <w:vAlign w:val="bottom"/>
            <w:hideMark/>
          </w:tcPr>
          <w:p w14:paraId="574B24F5"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71" w:type="pct"/>
            <w:tcBorders>
              <w:top w:val="nil"/>
              <w:left w:val="nil"/>
              <w:bottom w:val="nil"/>
              <w:right w:val="nil"/>
            </w:tcBorders>
            <w:noWrap/>
            <w:vAlign w:val="bottom"/>
            <w:hideMark/>
          </w:tcPr>
          <w:p w14:paraId="78D5A0F2"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68C61DF" w14:textId="560B1EAC"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noWrap/>
            <w:vAlign w:val="bottom"/>
            <w:hideMark/>
          </w:tcPr>
          <w:p w14:paraId="42936886"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2C1DC595"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0D31A3FF"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446D3053" w14:textId="5CCA0CE8"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59" w:type="pct"/>
            <w:tcBorders>
              <w:top w:val="nil"/>
              <w:left w:val="nil"/>
              <w:bottom w:val="nil"/>
              <w:right w:val="nil"/>
            </w:tcBorders>
            <w:noWrap/>
            <w:vAlign w:val="bottom"/>
            <w:hideMark/>
          </w:tcPr>
          <w:p w14:paraId="2BE3ACF5"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nil"/>
              <w:right w:val="nil"/>
            </w:tcBorders>
            <w:noWrap/>
            <w:vAlign w:val="bottom"/>
            <w:hideMark/>
          </w:tcPr>
          <w:p w14:paraId="586EED72" w14:textId="77777777" w:rsidR="006A7742" w:rsidRPr="00BD24A2" w:rsidRDefault="006A7742" w:rsidP="0094660A">
            <w:pPr>
              <w:spacing w:after="0" w:line="240" w:lineRule="auto"/>
              <w:rPr>
                <w:rFonts w:ascii="Times New Roman" w:eastAsia="Times New Roman" w:hAnsi="Times New Roman" w:cs="Times New Roman"/>
                <w:sz w:val="20"/>
                <w:szCs w:val="20"/>
                <w:lang w:val="en-GB" w:eastAsia="en-GB"/>
              </w:rPr>
            </w:pPr>
          </w:p>
        </w:tc>
        <w:tc>
          <w:tcPr>
            <w:tcW w:w="396" w:type="pct"/>
            <w:tcBorders>
              <w:top w:val="nil"/>
              <w:left w:val="nil"/>
              <w:bottom w:val="nil"/>
              <w:right w:val="nil"/>
            </w:tcBorders>
            <w:noWrap/>
            <w:vAlign w:val="bottom"/>
            <w:hideMark/>
          </w:tcPr>
          <w:p w14:paraId="32982254" w14:textId="77777777" w:rsidR="006A7742" w:rsidRPr="00BD24A2" w:rsidRDefault="006A7742" w:rsidP="0094660A">
            <w:pPr>
              <w:spacing w:after="0" w:line="240" w:lineRule="auto"/>
              <w:jc w:val="center"/>
              <w:rPr>
                <w:rFonts w:ascii="Times New Roman" w:eastAsia="Times New Roman" w:hAnsi="Times New Roman" w:cs="Times New Roman"/>
                <w:sz w:val="20"/>
                <w:szCs w:val="20"/>
                <w:lang w:val="en-GB" w:eastAsia="en-GB"/>
              </w:rPr>
            </w:pPr>
          </w:p>
        </w:tc>
        <w:tc>
          <w:tcPr>
            <w:tcW w:w="397" w:type="pct"/>
            <w:tcBorders>
              <w:top w:val="nil"/>
              <w:left w:val="nil"/>
              <w:bottom w:val="nil"/>
              <w:right w:val="nil"/>
            </w:tcBorders>
            <w:noWrap/>
            <w:vAlign w:val="bottom"/>
            <w:hideMark/>
          </w:tcPr>
          <w:p w14:paraId="1169CA48" w14:textId="063A49F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r>
      <w:tr w:rsidR="008B4060" w:rsidRPr="00BD24A2" w14:paraId="11CD2936" w14:textId="77777777" w:rsidTr="008B4060">
        <w:trPr>
          <w:trHeight w:val="455"/>
        </w:trPr>
        <w:tc>
          <w:tcPr>
            <w:tcW w:w="693" w:type="pct"/>
            <w:tcBorders>
              <w:top w:val="nil"/>
              <w:left w:val="nil"/>
              <w:right w:val="nil"/>
            </w:tcBorders>
            <w:noWrap/>
            <w:vAlign w:val="bottom"/>
            <w:hideMark/>
          </w:tcPr>
          <w:p w14:paraId="6EE8336E"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Adj. R2</w:t>
            </w:r>
          </w:p>
        </w:tc>
        <w:tc>
          <w:tcPr>
            <w:tcW w:w="395" w:type="pct"/>
            <w:tcBorders>
              <w:top w:val="nil"/>
              <w:left w:val="nil"/>
              <w:right w:val="nil"/>
            </w:tcBorders>
            <w:vAlign w:val="bottom"/>
          </w:tcPr>
          <w:p w14:paraId="625C48B2"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99" w:type="pct"/>
            <w:tcBorders>
              <w:top w:val="nil"/>
              <w:left w:val="nil"/>
              <w:right w:val="nil"/>
            </w:tcBorders>
            <w:vAlign w:val="bottom"/>
          </w:tcPr>
          <w:p w14:paraId="095DBC38"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0" w:type="pct"/>
            <w:tcBorders>
              <w:top w:val="nil"/>
              <w:left w:val="nil"/>
              <w:right w:val="nil"/>
            </w:tcBorders>
            <w:noWrap/>
            <w:vAlign w:val="bottom"/>
            <w:hideMark/>
          </w:tcPr>
          <w:p w14:paraId="6C0A64DE" w14:textId="2C2D78C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0.048</w:t>
            </w:r>
          </w:p>
        </w:tc>
        <w:tc>
          <w:tcPr>
            <w:tcW w:w="371" w:type="pct"/>
            <w:tcBorders>
              <w:top w:val="nil"/>
              <w:left w:val="nil"/>
              <w:right w:val="nil"/>
            </w:tcBorders>
            <w:noWrap/>
            <w:vAlign w:val="bottom"/>
            <w:hideMark/>
          </w:tcPr>
          <w:p w14:paraId="65CC7F26" w14:textId="26E02B4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0.062</w:t>
            </w:r>
          </w:p>
        </w:tc>
        <w:tc>
          <w:tcPr>
            <w:tcW w:w="396" w:type="pct"/>
            <w:tcBorders>
              <w:top w:val="nil"/>
              <w:left w:val="nil"/>
              <w:right w:val="nil"/>
            </w:tcBorders>
            <w:noWrap/>
            <w:vAlign w:val="bottom"/>
            <w:hideMark/>
          </w:tcPr>
          <w:p w14:paraId="7136C139" w14:textId="1D6924C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0.159</w:t>
            </w:r>
          </w:p>
        </w:tc>
        <w:tc>
          <w:tcPr>
            <w:tcW w:w="119" w:type="pct"/>
            <w:tcBorders>
              <w:top w:val="nil"/>
              <w:left w:val="nil"/>
              <w:right w:val="nil"/>
            </w:tcBorders>
            <w:noWrap/>
            <w:vAlign w:val="bottom"/>
            <w:hideMark/>
          </w:tcPr>
          <w:p w14:paraId="5C9FA18A"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right w:val="nil"/>
            </w:tcBorders>
            <w:noWrap/>
            <w:vAlign w:val="bottom"/>
            <w:hideMark/>
          </w:tcPr>
          <w:p w14:paraId="73051275" w14:textId="472C93BE"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0.129</w:t>
            </w:r>
          </w:p>
        </w:tc>
        <w:tc>
          <w:tcPr>
            <w:tcW w:w="396" w:type="pct"/>
            <w:tcBorders>
              <w:top w:val="nil"/>
              <w:left w:val="nil"/>
              <w:right w:val="nil"/>
            </w:tcBorders>
            <w:noWrap/>
            <w:vAlign w:val="bottom"/>
            <w:hideMark/>
          </w:tcPr>
          <w:p w14:paraId="24A1FEDA" w14:textId="158F462E"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0.149</w:t>
            </w:r>
          </w:p>
        </w:tc>
        <w:tc>
          <w:tcPr>
            <w:tcW w:w="397" w:type="pct"/>
            <w:tcBorders>
              <w:top w:val="nil"/>
              <w:left w:val="nil"/>
              <w:right w:val="nil"/>
            </w:tcBorders>
            <w:noWrap/>
            <w:vAlign w:val="bottom"/>
            <w:hideMark/>
          </w:tcPr>
          <w:p w14:paraId="75BABDD8" w14:textId="4A5B152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0.315</w:t>
            </w:r>
          </w:p>
        </w:tc>
        <w:tc>
          <w:tcPr>
            <w:tcW w:w="159" w:type="pct"/>
            <w:tcBorders>
              <w:top w:val="nil"/>
              <w:left w:val="nil"/>
              <w:right w:val="nil"/>
            </w:tcBorders>
            <w:noWrap/>
            <w:vAlign w:val="bottom"/>
            <w:hideMark/>
          </w:tcPr>
          <w:p w14:paraId="181200B5"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right w:val="nil"/>
            </w:tcBorders>
            <w:noWrap/>
            <w:vAlign w:val="bottom"/>
            <w:hideMark/>
          </w:tcPr>
          <w:p w14:paraId="05B1CF56" w14:textId="3B342C8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0.278</w:t>
            </w:r>
          </w:p>
        </w:tc>
        <w:tc>
          <w:tcPr>
            <w:tcW w:w="396" w:type="pct"/>
            <w:tcBorders>
              <w:top w:val="nil"/>
              <w:left w:val="nil"/>
              <w:right w:val="nil"/>
            </w:tcBorders>
            <w:noWrap/>
            <w:vAlign w:val="bottom"/>
            <w:hideMark/>
          </w:tcPr>
          <w:p w14:paraId="116BD6D5" w14:textId="120222D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0.290</w:t>
            </w:r>
          </w:p>
        </w:tc>
        <w:tc>
          <w:tcPr>
            <w:tcW w:w="397" w:type="pct"/>
            <w:tcBorders>
              <w:top w:val="nil"/>
              <w:left w:val="nil"/>
              <w:right w:val="nil"/>
            </w:tcBorders>
            <w:noWrap/>
            <w:vAlign w:val="bottom"/>
            <w:hideMark/>
          </w:tcPr>
          <w:p w14:paraId="711D72E2" w14:textId="487F7122"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0.688</w:t>
            </w:r>
          </w:p>
        </w:tc>
      </w:tr>
      <w:tr w:rsidR="008B4060" w:rsidRPr="00BD24A2" w14:paraId="0539C39F" w14:textId="77777777" w:rsidTr="008B4060">
        <w:trPr>
          <w:trHeight w:val="255"/>
        </w:trPr>
        <w:tc>
          <w:tcPr>
            <w:tcW w:w="693" w:type="pct"/>
            <w:tcBorders>
              <w:top w:val="nil"/>
              <w:left w:val="nil"/>
              <w:bottom w:val="single" w:sz="4" w:space="0" w:color="auto"/>
              <w:right w:val="nil"/>
            </w:tcBorders>
            <w:noWrap/>
            <w:vAlign w:val="bottom"/>
            <w:hideMark/>
          </w:tcPr>
          <w:p w14:paraId="06B2BFAF" w14:textId="77777777" w:rsidR="006A7742" w:rsidRPr="00BD24A2" w:rsidRDefault="006A7742" w:rsidP="0094660A">
            <w:pPr>
              <w:spacing w:after="0" w:line="240" w:lineRule="auto"/>
              <w:rPr>
                <w:rFonts w:ascii="Times New Roman" w:eastAsia="Times New Roman" w:hAnsi="Times New Roman" w:cs="Times New Roman"/>
                <w:color w:val="000000"/>
                <w:sz w:val="20"/>
                <w:szCs w:val="20"/>
                <w:lang w:val="en-GB" w:eastAsia="en-GB"/>
              </w:rPr>
            </w:pPr>
            <w:r w:rsidRPr="00BD24A2">
              <w:rPr>
                <w:rFonts w:ascii="Times New Roman" w:eastAsia="Times New Roman" w:hAnsi="Times New Roman" w:cs="Times New Roman"/>
                <w:color w:val="000000"/>
                <w:sz w:val="20"/>
                <w:szCs w:val="20"/>
                <w:lang w:val="en-GB" w:eastAsia="en-GB"/>
              </w:rPr>
              <w:t>N</w:t>
            </w:r>
          </w:p>
        </w:tc>
        <w:tc>
          <w:tcPr>
            <w:tcW w:w="395" w:type="pct"/>
            <w:tcBorders>
              <w:top w:val="nil"/>
              <w:left w:val="nil"/>
              <w:bottom w:val="single" w:sz="4" w:space="0" w:color="auto"/>
              <w:right w:val="nil"/>
            </w:tcBorders>
            <w:vAlign w:val="bottom"/>
          </w:tcPr>
          <w:p w14:paraId="774090F9"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99" w:type="pct"/>
            <w:tcBorders>
              <w:top w:val="nil"/>
              <w:left w:val="nil"/>
              <w:bottom w:val="single" w:sz="4" w:space="0" w:color="auto"/>
              <w:right w:val="nil"/>
            </w:tcBorders>
            <w:vAlign w:val="bottom"/>
          </w:tcPr>
          <w:p w14:paraId="03069640"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0" w:type="pct"/>
            <w:tcBorders>
              <w:top w:val="nil"/>
              <w:left w:val="nil"/>
              <w:bottom w:val="single" w:sz="4" w:space="0" w:color="auto"/>
              <w:right w:val="nil"/>
            </w:tcBorders>
            <w:noWrap/>
            <w:vAlign w:val="bottom"/>
            <w:hideMark/>
          </w:tcPr>
          <w:p w14:paraId="2EBEB70B" w14:textId="2BB235C5"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39</w:t>
            </w: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687</w:t>
            </w:r>
          </w:p>
        </w:tc>
        <w:tc>
          <w:tcPr>
            <w:tcW w:w="371" w:type="pct"/>
            <w:tcBorders>
              <w:top w:val="nil"/>
              <w:left w:val="nil"/>
              <w:bottom w:val="single" w:sz="4" w:space="0" w:color="auto"/>
              <w:right w:val="nil"/>
            </w:tcBorders>
            <w:noWrap/>
            <w:vAlign w:val="bottom"/>
            <w:hideMark/>
          </w:tcPr>
          <w:p w14:paraId="6580F7C3" w14:textId="6EC58820"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39</w:t>
            </w: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686</w:t>
            </w:r>
          </w:p>
        </w:tc>
        <w:tc>
          <w:tcPr>
            <w:tcW w:w="396" w:type="pct"/>
            <w:tcBorders>
              <w:top w:val="nil"/>
              <w:left w:val="nil"/>
              <w:bottom w:val="single" w:sz="4" w:space="0" w:color="auto"/>
              <w:right w:val="nil"/>
            </w:tcBorders>
            <w:noWrap/>
            <w:vAlign w:val="bottom"/>
            <w:hideMark/>
          </w:tcPr>
          <w:p w14:paraId="1FADF1B9" w14:textId="2B04315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434745">
              <w:rPr>
                <w:rFonts w:ascii="Times New Roman" w:eastAsia="Times New Roman" w:hAnsi="Times New Roman" w:cs="Times New Roman"/>
                <w:color w:val="000000"/>
                <w:sz w:val="20"/>
                <w:szCs w:val="20"/>
                <w:lang w:val="en-GB" w:eastAsia="en-GB"/>
              </w:rPr>
              <w:t>39</w:t>
            </w:r>
            <w:r>
              <w:rPr>
                <w:rFonts w:ascii="Times New Roman" w:eastAsia="Times New Roman" w:hAnsi="Times New Roman" w:cs="Times New Roman"/>
                <w:color w:val="000000"/>
                <w:sz w:val="20"/>
                <w:szCs w:val="20"/>
                <w:lang w:val="en-GB" w:eastAsia="en-GB"/>
              </w:rPr>
              <w:t>,</w:t>
            </w:r>
            <w:r w:rsidRPr="00434745">
              <w:rPr>
                <w:rFonts w:ascii="Times New Roman" w:eastAsia="Times New Roman" w:hAnsi="Times New Roman" w:cs="Times New Roman"/>
                <w:color w:val="000000"/>
                <w:sz w:val="20"/>
                <w:szCs w:val="20"/>
                <w:lang w:val="en-GB" w:eastAsia="en-GB"/>
              </w:rPr>
              <w:t>680</w:t>
            </w:r>
          </w:p>
        </w:tc>
        <w:tc>
          <w:tcPr>
            <w:tcW w:w="119" w:type="pct"/>
            <w:tcBorders>
              <w:top w:val="nil"/>
              <w:left w:val="nil"/>
              <w:bottom w:val="single" w:sz="4" w:space="0" w:color="auto"/>
              <w:right w:val="nil"/>
            </w:tcBorders>
            <w:noWrap/>
            <w:vAlign w:val="bottom"/>
            <w:hideMark/>
          </w:tcPr>
          <w:p w14:paraId="6F1EFFAD"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single" w:sz="4" w:space="0" w:color="auto"/>
              <w:right w:val="nil"/>
            </w:tcBorders>
            <w:noWrap/>
            <w:vAlign w:val="bottom"/>
            <w:hideMark/>
          </w:tcPr>
          <w:p w14:paraId="134375E7" w14:textId="5AE6421B"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83</w:t>
            </w: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464</w:t>
            </w:r>
          </w:p>
        </w:tc>
        <w:tc>
          <w:tcPr>
            <w:tcW w:w="396" w:type="pct"/>
            <w:tcBorders>
              <w:top w:val="nil"/>
              <w:left w:val="nil"/>
              <w:bottom w:val="single" w:sz="4" w:space="0" w:color="auto"/>
              <w:right w:val="nil"/>
            </w:tcBorders>
            <w:noWrap/>
            <w:vAlign w:val="bottom"/>
            <w:hideMark/>
          </w:tcPr>
          <w:p w14:paraId="1E0EE1AE" w14:textId="4E82DBAD"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83</w:t>
            </w: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464</w:t>
            </w:r>
          </w:p>
        </w:tc>
        <w:tc>
          <w:tcPr>
            <w:tcW w:w="397" w:type="pct"/>
            <w:tcBorders>
              <w:top w:val="nil"/>
              <w:left w:val="nil"/>
              <w:bottom w:val="single" w:sz="4" w:space="0" w:color="auto"/>
              <w:right w:val="nil"/>
            </w:tcBorders>
            <w:noWrap/>
            <w:vAlign w:val="bottom"/>
            <w:hideMark/>
          </w:tcPr>
          <w:p w14:paraId="3BF4A3FB" w14:textId="0D325BD6"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1C54FA">
              <w:rPr>
                <w:rFonts w:ascii="Times New Roman" w:eastAsia="Times New Roman" w:hAnsi="Times New Roman" w:cs="Times New Roman"/>
                <w:color w:val="000000"/>
                <w:sz w:val="20"/>
                <w:szCs w:val="20"/>
                <w:lang w:val="en-GB" w:eastAsia="en-GB"/>
              </w:rPr>
              <w:t>83</w:t>
            </w:r>
            <w:r>
              <w:rPr>
                <w:rFonts w:ascii="Times New Roman" w:eastAsia="Times New Roman" w:hAnsi="Times New Roman" w:cs="Times New Roman"/>
                <w:color w:val="000000"/>
                <w:sz w:val="20"/>
                <w:szCs w:val="20"/>
                <w:lang w:val="en-GB" w:eastAsia="en-GB"/>
              </w:rPr>
              <w:t>,</w:t>
            </w:r>
            <w:r w:rsidRPr="001C54FA">
              <w:rPr>
                <w:rFonts w:ascii="Times New Roman" w:eastAsia="Times New Roman" w:hAnsi="Times New Roman" w:cs="Times New Roman"/>
                <w:color w:val="000000"/>
                <w:sz w:val="20"/>
                <w:szCs w:val="20"/>
                <w:lang w:val="en-GB" w:eastAsia="en-GB"/>
              </w:rPr>
              <w:t>440</w:t>
            </w:r>
          </w:p>
        </w:tc>
        <w:tc>
          <w:tcPr>
            <w:tcW w:w="159" w:type="pct"/>
            <w:tcBorders>
              <w:top w:val="nil"/>
              <w:left w:val="nil"/>
              <w:bottom w:val="single" w:sz="4" w:space="0" w:color="auto"/>
              <w:right w:val="nil"/>
            </w:tcBorders>
            <w:noWrap/>
            <w:vAlign w:val="bottom"/>
            <w:hideMark/>
          </w:tcPr>
          <w:p w14:paraId="3343B0DF" w14:textId="77777777"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p>
        </w:tc>
        <w:tc>
          <w:tcPr>
            <w:tcW w:w="396" w:type="pct"/>
            <w:tcBorders>
              <w:top w:val="nil"/>
              <w:left w:val="nil"/>
              <w:bottom w:val="single" w:sz="4" w:space="0" w:color="auto"/>
              <w:right w:val="nil"/>
            </w:tcBorders>
            <w:noWrap/>
            <w:vAlign w:val="bottom"/>
            <w:hideMark/>
          </w:tcPr>
          <w:p w14:paraId="46E528F0" w14:textId="5FF9C801"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118</w:t>
            </w:r>
            <w:r>
              <w:rPr>
                <w:rFonts w:ascii="Times New Roman" w:eastAsia="Times New Roman" w:hAnsi="Times New Roman" w:cs="Times New Roman"/>
                <w:color w:val="000000"/>
                <w:sz w:val="20"/>
                <w:szCs w:val="20"/>
                <w:lang w:val="en-GB" w:eastAsia="en-GB"/>
              </w:rPr>
              <w:t>,</w:t>
            </w:r>
            <w:r w:rsidRPr="0094660A">
              <w:rPr>
                <w:rFonts w:ascii="Times New Roman" w:eastAsia="Times New Roman" w:hAnsi="Times New Roman" w:cs="Times New Roman"/>
                <w:color w:val="000000"/>
                <w:sz w:val="20"/>
                <w:szCs w:val="20"/>
                <w:lang w:val="en-GB" w:eastAsia="en-GB"/>
              </w:rPr>
              <w:t>457</w:t>
            </w:r>
          </w:p>
        </w:tc>
        <w:tc>
          <w:tcPr>
            <w:tcW w:w="396" w:type="pct"/>
            <w:tcBorders>
              <w:top w:val="nil"/>
              <w:left w:val="nil"/>
              <w:bottom w:val="single" w:sz="4" w:space="0" w:color="auto"/>
              <w:right w:val="nil"/>
            </w:tcBorders>
            <w:noWrap/>
            <w:vAlign w:val="bottom"/>
            <w:hideMark/>
          </w:tcPr>
          <w:p w14:paraId="6060556E" w14:textId="0C7AAF19"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118</w:t>
            </w:r>
            <w:r>
              <w:rPr>
                <w:rFonts w:ascii="Times New Roman" w:eastAsia="Times New Roman" w:hAnsi="Times New Roman" w:cs="Times New Roman"/>
                <w:color w:val="000000"/>
                <w:sz w:val="20"/>
                <w:szCs w:val="20"/>
                <w:lang w:val="en-GB" w:eastAsia="en-GB"/>
              </w:rPr>
              <w:t>,</w:t>
            </w:r>
            <w:r w:rsidRPr="0094660A">
              <w:rPr>
                <w:rFonts w:ascii="Times New Roman" w:eastAsia="Times New Roman" w:hAnsi="Times New Roman" w:cs="Times New Roman"/>
                <w:color w:val="000000"/>
                <w:sz w:val="20"/>
                <w:szCs w:val="20"/>
                <w:lang w:val="en-GB" w:eastAsia="en-GB"/>
              </w:rPr>
              <w:t>455</w:t>
            </w:r>
          </w:p>
        </w:tc>
        <w:tc>
          <w:tcPr>
            <w:tcW w:w="397" w:type="pct"/>
            <w:tcBorders>
              <w:top w:val="nil"/>
              <w:left w:val="nil"/>
              <w:bottom w:val="single" w:sz="4" w:space="0" w:color="auto"/>
              <w:right w:val="nil"/>
            </w:tcBorders>
            <w:noWrap/>
            <w:vAlign w:val="bottom"/>
            <w:hideMark/>
          </w:tcPr>
          <w:p w14:paraId="6ABA396C" w14:textId="599C18AA" w:rsidR="006A7742" w:rsidRPr="00BD24A2" w:rsidRDefault="006A7742" w:rsidP="0094660A">
            <w:pPr>
              <w:spacing w:after="0" w:line="240" w:lineRule="auto"/>
              <w:jc w:val="center"/>
              <w:rPr>
                <w:rFonts w:ascii="Times New Roman" w:eastAsia="Times New Roman" w:hAnsi="Times New Roman" w:cs="Times New Roman"/>
                <w:color w:val="000000"/>
                <w:sz w:val="20"/>
                <w:szCs w:val="20"/>
                <w:lang w:val="en-GB" w:eastAsia="en-GB"/>
              </w:rPr>
            </w:pPr>
            <w:r w:rsidRPr="0094660A">
              <w:rPr>
                <w:rFonts w:ascii="Times New Roman" w:eastAsia="Times New Roman" w:hAnsi="Times New Roman" w:cs="Times New Roman"/>
                <w:color w:val="000000"/>
                <w:sz w:val="20"/>
                <w:szCs w:val="20"/>
                <w:lang w:val="en-GB" w:eastAsia="en-GB"/>
              </w:rPr>
              <w:t>118</w:t>
            </w:r>
            <w:r>
              <w:rPr>
                <w:rFonts w:ascii="Times New Roman" w:eastAsia="Times New Roman" w:hAnsi="Times New Roman" w:cs="Times New Roman"/>
                <w:color w:val="000000"/>
                <w:sz w:val="20"/>
                <w:szCs w:val="20"/>
                <w:lang w:val="en-GB" w:eastAsia="en-GB"/>
              </w:rPr>
              <w:t>,</w:t>
            </w:r>
            <w:r w:rsidRPr="0094660A">
              <w:rPr>
                <w:rFonts w:ascii="Times New Roman" w:eastAsia="Times New Roman" w:hAnsi="Times New Roman" w:cs="Times New Roman"/>
                <w:color w:val="000000"/>
                <w:sz w:val="20"/>
                <w:szCs w:val="20"/>
                <w:lang w:val="en-GB" w:eastAsia="en-GB"/>
              </w:rPr>
              <w:t>413</w:t>
            </w:r>
          </w:p>
        </w:tc>
      </w:tr>
    </w:tbl>
    <w:p w14:paraId="07750F5D" w14:textId="77777777" w:rsidR="00790FE1" w:rsidRDefault="00790FE1" w:rsidP="005F78A1">
      <w:pPr>
        <w:spacing w:after="0"/>
        <w:jc w:val="both"/>
        <w:rPr>
          <w:rFonts w:ascii="Times New Roman" w:hAnsi="Times New Roman" w:cs="Times New Roman"/>
          <w:sz w:val="20"/>
          <w:szCs w:val="20"/>
        </w:rPr>
      </w:pPr>
    </w:p>
    <w:p w14:paraId="685766BA" w14:textId="77777777" w:rsidR="00854585" w:rsidRDefault="00854585" w:rsidP="005F78A1">
      <w:pPr>
        <w:spacing w:after="0"/>
        <w:jc w:val="both"/>
        <w:rPr>
          <w:rFonts w:ascii="Times New Roman" w:hAnsi="Times New Roman" w:cs="Times New Roman"/>
          <w:sz w:val="20"/>
          <w:szCs w:val="20"/>
        </w:rPr>
      </w:pPr>
    </w:p>
    <w:p w14:paraId="12506D0D" w14:textId="77777777" w:rsidR="00854585" w:rsidRDefault="00854585" w:rsidP="005F78A1">
      <w:pPr>
        <w:spacing w:after="0"/>
        <w:jc w:val="both"/>
        <w:rPr>
          <w:rFonts w:ascii="Times New Roman" w:hAnsi="Times New Roman" w:cs="Times New Roman"/>
          <w:sz w:val="20"/>
          <w:szCs w:val="20"/>
        </w:rPr>
      </w:pPr>
    </w:p>
    <w:p w14:paraId="31E58AF9" w14:textId="77777777" w:rsidR="00854585" w:rsidRDefault="00854585" w:rsidP="005F78A1">
      <w:pPr>
        <w:spacing w:after="0"/>
        <w:jc w:val="both"/>
        <w:rPr>
          <w:rFonts w:ascii="Times New Roman" w:hAnsi="Times New Roman" w:cs="Times New Roman"/>
          <w:sz w:val="20"/>
          <w:szCs w:val="20"/>
        </w:rPr>
      </w:pPr>
    </w:p>
    <w:p w14:paraId="09A5C5E7" w14:textId="77777777" w:rsidR="00854585" w:rsidRDefault="00854585" w:rsidP="005F78A1">
      <w:pPr>
        <w:spacing w:after="0"/>
        <w:jc w:val="both"/>
        <w:rPr>
          <w:rFonts w:ascii="Times New Roman" w:hAnsi="Times New Roman" w:cs="Times New Roman"/>
          <w:sz w:val="20"/>
          <w:szCs w:val="20"/>
        </w:rPr>
      </w:pPr>
    </w:p>
    <w:p w14:paraId="74FEAAED" w14:textId="77777777" w:rsidR="00854585" w:rsidRDefault="00854585" w:rsidP="005F78A1">
      <w:pPr>
        <w:spacing w:after="0"/>
        <w:jc w:val="both"/>
        <w:rPr>
          <w:rFonts w:ascii="Times New Roman" w:hAnsi="Times New Roman" w:cs="Times New Roman"/>
          <w:sz w:val="20"/>
          <w:szCs w:val="20"/>
        </w:rPr>
      </w:pPr>
    </w:p>
    <w:p w14:paraId="62366734" w14:textId="77777777" w:rsidR="00854585" w:rsidRDefault="00854585" w:rsidP="005F78A1">
      <w:pPr>
        <w:spacing w:after="0"/>
        <w:jc w:val="both"/>
        <w:rPr>
          <w:rFonts w:ascii="Times New Roman" w:hAnsi="Times New Roman" w:cs="Times New Roman"/>
          <w:sz w:val="20"/>
          <w:szCs w:val="20"/>
        </w:rPr>
      </w:pPr>
    </w:p>
    <w:p w14:paraId="2590BEC4" w14:textId="77777777" w:rsidR="00854585" w:rsidRDefault="00854585" w:rsidP="005F78A1">
      <w:pPr>
        <w:spacing w:after="0"/>
        <w:jc w:val="both"/>
        <w:rPr>
          <w:rFonts w:ascii="Times New Roman" w:hAnsi="Times New Roman" w:cs="Times New Roman"/>
          <w:sz w:val="20"/>
          <w:szCs w:val="20"/>
        </w:rPr>
      </w:pPr>
    </w:p>
    <w:p w14:paraId="06808E15" w14:textId="77777777" w:rsidR="008042B2" w:rsidRDefault="008042B2" w:rsidP="008042B2">
      <w:pPr>
        <w:tabs>
          <w:tab w:val="left" w:pos="10130"/>
        </w:tabs>
        <w:spacing w:after="0"/>
        <w:jc w:val="both"/>
        <w:rPr>
          <w:rFonts w:ascii="Times New Roman" w:hAnsi="Times New Roman" w:cs="Times New Roman"/>
          <w:sz w:val="20"/>
          <w:szCs w:val="20"/>
        </w:rPr>
      </w:pPr>
    </w:p>
    <w:p w14:paraId="6DD7C3B1" w14:textId="77777777" w:rsidR="00434745" w:rsidRDefault="00434745" w:rsidP="008042B2">
      <w:pPr>
        <w:tabs>
          <w:tab w:val="left" w:pos="10130"/>
        </w:tabs>
        <w:spacing w:after="0"/>
        <w:jc w:val="both"/>
        <w:rPr>
          <w:rFonts w:ascii="Times New Roman" w:hAnsi="Times New Roman" w:cs="Times New Roman"/>
          <w:sz w:val="20"/>
          <w:szCs w:val="20"/>
        </w:rPr>
        <w:sectPr w:rsidR="00434745" w:rsidSect="001653E2">
          <w:pgSz w:w="15840" w:h="12240" w:orient="landscape"/>
          <w:pgMar w:top="1440" w:right="1440" w:bottom="1440" w:left="1440" w:header="709" w:footer="709" w:gutter="0"/>
          <w:cols w:space="708"/>
          <w:docGrid w:linePitch="360"/>
        </w:sectPr>
      </w:pPr>
    </w:p>
    <w:p w14:paraId="23D8F535" w14:textId="5F91E8AD" w:rsidR="00A648DE" w:rsidRPr="005A60C4" w:rsidRDefault="00A648DE" w:rsidP="007B0634">
      <w:pPr>
        <w:spacing w:after="0"/>
        <w:jc w:val="center"/>
        <w:rPr>
          <w:rFonts w:ascii="Times New Roman" w:hAnsi="Times New Roman" w:cs="Times New Roman"/>
          <w:b/>
          <w:sz w:val="20"/>
          <w:szCs w:val="20"/>
        </w:rPr>
      </w:pPr>
      <w:r w:rsidRPr="005A60C4">
        <w:rPr>
          <w:rFonts w:ascii="Times New Roman" w:hAnsi="Times New Roman" w:cs="Times New Roman"/>
          <w:b/>
          <w:sz w:val="20"/>
          <w:szCs w:val="20"/>
        </w:rPr>
        <w:lastRenderedPageBreak/>
        <w:t xml:space="preserve">TABLE </w:t>
      </w:r>
      <w:r w:rsidR="007D15CC">
        <w:rPr>
          <w:rFonts w:ascii="Times New Roman" w:hAnsi="Times New Roman" w:cs="Times New Roman"/>
          <w:b/>
          <w:sz w:val="20"/>
          <w:szCs w:val="20"/>
        </w:rPr>
        <w:t>5</w:t>
      </w:r>
    </w:p>
    <w:p w14:paraId="5543C696" w14:textId="03696564" w:rsidR="00A648DE" w:rsidRDefault="00A648DE" w:rsidP="00D40490">
      <w:pPr>
        <w:spacing w:after="0" w:line="360" w:lineRule="auto"/>
        <w:jc w:val="center"/>
        <w:rPr>
          <w:rFonts w:ascii="Times New Roman" w:hAnsi="Times New Roman" w:cs="Times New Roman"/>
          <w:b/>
          <w:bCs/>
          <w:sz w:val="20"/>
          <w:szCs w:val="20"/>
        </w:rPr>
      </w:pPr>
      <w:r w:rsidRPr="001F027B">
        <w:rPr>
          <w:rFonts w:ascii="Times New Roman" w:hAnsi="Times New Roman" w:cs="Times New Roman"/>
          <w:b/>
          <w:bCs/>
          <w:sz w:val="20"/>
          <w:szCs w:val="20"/>
        </w:rPr>
        <w:t xml:space="preserve">Validation of </w:t>
      </w:r>
      <w:r w:rsidR="00BD36A8">
        <w:rPr>
          <w:rFonts w:ascii="Times New Roman" w:hAnsi="Times New Roman" w:cs="Times New Roman"/>
          <w:b/>
          <w:bCs/>
          <w:sz w:val="20"/>
          <w:szCs w:val="20"/>
        </w:rPr>
        <w:t>VU</w:t>
      </w:r>
      <w:r>
        <w:rPr>
          <w:rFonts w:ascii="Times New Roman" w:hAnsi="Times New Roman" w:cs="Times New Roman"/>
          <w:b/>
          <w:bCs/>
          <w:sz w:val="20"/>
          <w:szCs w:val="20"/>
        </w:rPr>
        <w:t xml:space="preserve"> using </w:t>
      </w:r>
      <w:r w:rsidR="00835FC8">
        <w:rPr>
          <w:rFonts w:ascii="Times New Roman" w:hAnsi="Times New Roman" w:cs="Times New Roman"/>
          <w:b/>
          <w:bCs/>
          <w:sz w:val="20"/>
          <w:szCs w:val="20"/>
        </w:rPr>
        <w:t>Professional Valuations</w:t>
      </w:r>
    </w:p>
    <w:p w14:paraId="7C019F2C" w14:textId="02164D3F" w:rsidR="00DC36E3" w:rsidRPr="00A3594E" w:rsidRDefault="00215765" w:rsidP="00DC36E3">
      <w:pPr>
        <w:jc w:val="both"/>
        <w:rPr>
          <w:rFonts w:ascii="Times New Roman" w:hAnsi="Times New Roman" w:cs="Times New Roman"/>
          <w:sz w:val="20"/>
          <w:szCs w:val="20"/>
        </w:rPr>
      </w:pPr>
      <w:r>
        <w:rPr>
          <w:rFonts w:ascii="Times New Roman" w:hAnsi="Times New Roman" w:cs="Times New Roman"/>
          <w:sz w:val="20"/>
          <w:szCs w:val="20"/>
        </w:rPr>
        <w:t>This table reports estimation results from pooled</w:t>
      </w:r>
      <w:r w:rsidR="004658E5">
        <w:rPr>
          <w:rFonts w:ascii="Times New Roman" w:hAnsi="Times New Roman" w:cs="Times New Roman"/>
          <w:sz w:val="20"/>
          <w:szCs w:val="20"/>
        </w:rPr>
        <w:t xml:space="preserve"> OLS</w:t>
      </w:r>
      <w:r>
        <w:rPr>
          <w:rFonts w:ascii="Times New Roman" w:hAnsi="Times New Roman" w:cs="Times New Roman"/>
          <w:sz w:val="20"/>
          <w:szCs w:val="20"/>
        </w:rPr>
        <w:t xml:space="preserve"> regressions of</w:t>
      </w:r>
      <w:r w:rsidR="002E06A1">
        <w:rPr>
          <w:rFonts w:ascii="Times New Roman" w:hAnsi="Times New Roman" w:cs="Times New Roman"/>
          <w:sz w:val="20"/>
          <w:szCs w:val="20"/>
        </w:rPr>
        <w:t xml:space="preserve"> price ranges from valuation professionals on our valuation uncertainty measure (VU) and a set of controls. In Panel A, the dependent variable is the</w:t>
      </w:r>
      <w:r w:rsidR="00AF198B">
        <w:rPr>
          <w:rFonts w:ascii="Times New Roman" w:hAnsi="Times New Roman" w:cs="Times New Roman"/>
          <w:sz w:val="20"/>
          <w:szCs w:val="20"/>
        </w:rPr>
        <w:t xml:space="preserve"> log of</w:t>
      </w:r>
      <w:r w:rsidR="002E06A1">
        <w:rPr>
          <w:rFonts w:ascii="Times New Roman" w:hAnsi="Times New Roman" w:cs="Times New Roman"/>
          <w:sz w:val="20"/>
          <w:szCs w:val="20"/>
        </w:rPr>
        <w:t xml:space="preserve"> IPO price range (scaled by the midpoint) from</w:t>
      </w:r>
      <w:r w:rsidR="00AF198B">
        <w:rPr>
          <w:rFonts w:ascii="Times New Roman" w:hAnsi="Times New Roman" w:cs="Times New Roman"/>
          <w:sz w:val="20"/>
          <w:szCs w:val="20"/>
        </w:rPr>
        <w:t xml:space="preserve"> IPO</w:t>
      </w:r>
      <w:r w:rsidR="002E06A1">
        <w:rPr>
          <w:rFonts w:ascii="Times New Roman" w:hAnsi="Times New Roman" w:cs="Times New Roman"/>
          <w:sz w:val="20"/>
          <w:szCs w:val="20"/>
        </w:rPr>
        <w:t xml:space="preserve"> prospectuses. In Panel B, the dependent variable is the</w:t>
      </w:r>
      <w:r w:rsidR="00AF198B">
        <w:rPr>
          <w:rFonts w:ascii="Times New Roman" w:hAnsi="Times New Roman" w:cs="Times New Roman"/>
          <w:sz w:val="20"/>
          <w:szCs w:val="20"/>
        </w:rPr>
        <w:t xml:space="preserve"> log of</w:t>
      </w:r>
      <w:r w:rsidR="002E06A1">
        <w:rPr>
          <w:rFonts w:ascii="Times New Roman" w:hAnsi="Times New Roman" w:cs="Times New Roman"/>
          <w:sz w:val="20"/>
          <w:szCs w:val="20"/>
        </w:rPr>
        <w:t xml:space="preserve"> fair value range (scaled by the midpoint) from fairness opinions (FO) </w:t>
      </w:r>
      <w:r w:rsidR="00AF198B">
        <w:rPr>
          <w:rFonts w:ascii="Times New Roman" w:hAnsi="Times New Roman" w:cs="Times New Roman"/>
          <w:sz w:val="20"/>
          <w:szCs w:val="20"/>
        </w:rPr>
        <w:t>for</w:t>
      </w:r>
      <w:r w:rsidR="002E06A1">
        <w:rPr>
          <w:rFonts w:ascii="Times New Roman" w:hAnsi="Times New Roman" w:cs="Times New Roman"/>
          <w:sz w:val="20"/>
          <w:szCs w:val="20"/>
        </w:rPr>
        <w:t xml:space="preserve"> takeover targets. Multiple price ranges in a given FO (if any) are averaged across methods, and then averaged across banks in case of multiple FOs</w:t>
      </w:r>
      <w:r w:rsidR="00EC7CC0">
        <w:rPr>
          <w:rFonts w:ascii="Times New Roman" w:hAnsi="Times New Roman" w:cs="Times New Roman"/>
          <w:sz w:val="20"/>
          <w:szCs w:val="20"/>
        </w:rPr>
        <w:t xml:space="preserve">. </w:t>
      </w:r>
      <w:r w:rsidR="00EC7CC0" w:rsidRPr="00A648DE">
        <w:rPr>
          <w:rFonts w:ascii="Times New Roman" w:eastAsia="Times New Roman" w:hAnsi="Times New Roman" w:cs="Times New Roman"/>
          <w:color w:val="000000"/>
          <w:sz w:val="20"/>
          <w:szCs w:val="20"/>
          <w:lang w:val="en-GB" w:eastAsia="en-GB"/>
        </w:rPr>
        <w:t>VU</w:t>
      </w:r>
      <w:r w:rsidR="00DB6EA1">
        <w:rPr>
          <w:rFonts w:ascii="Times New Roman" w:hAnsi="Times New Roman" w:cs="Times New Roman"/>
          <w:sz w:val="20"/>
          <w:szCs w:val="20"/>
        </w:rPr>
        <w:t xml:space="preserve"> </w:t>
      </w:r>
      <w:r w:rsidR="00F0627B">
        <w:rPr>
          <w:rFonts w:ascii="Times New Roman" w:hAnsi="Times New Roman" w:cs="Times New Roman"/>
          <w:sz w:val="20"/>
          <w:szCs w:val="20"/>
        </w:rPr>
        <w:t xml:space="preserve">is </w:t>
      </w:r>
      <w:r w:rsidR="00445E69">
        <w:rPr>
          <w:rFonts w:ascii="Times New Roman" w:hAnsi="Times New Roman" w:cs="Times New Roman"/>
          <w:sz w:val="20"/>
          <w:szCs w:val="20"/>
        </w:rPr>
        <w:t>obtained by means of out-of-sample prediction using the IQR</w:t>
      </w:r>
      <w:r w:rsidR="00845D65">
        <w:rPr>
          <w:rFonts w:ascii="Times New Roman" w:hAnsi="Times New Roman" w:cs="Times New Roman"/>
          <w:sz w:val="20"/>
          <w:szCs w:val="20"/>
        </w:rPr>
        <w:t xml:space="preserve"> coefficients from corresponding industry-years and the fundamentals of IPO</w:t>
      </w:r>
      <w:r w:rsidR="00701DB0">
        <w:rPr>
          <w:rFonts w:ascii="Times New Roman" w:hAnsi="Times New Roman" w:cs="Times New Roman"/>
          <w:sz w:val="20"/>
          <w:szCs w:val="20"/>
        </w:rPr>
        <w:t>/</w:t>
      </w:r>
      <w:r w:rsidR="00200C09">
        <w:rPr>
          <w:rFonts w:ascii="Times New Roman" w:hAnsi="Times New Roman" w:cs="Times New Roman"/>
          <w:sz w:val="20"/>
          <w:szCs w:val="20"/>
        </w:rPr>
        <w:t>takeover target</w:t>
      </w:r>
      <w:r w:rsidR="00845D65">
        <w:rPr>
          <w:rFonts w:ascii="Times New Roman" w:hAnsi="Times New Roman" w:cs="Times New Roman"/>
          <w:sz w:val="20"/>
          <w:szCs w:val="20"/>
        </w:rPr>
        <w:t xml:space="preserve"> firms.</w:t>
      </w:r>
      <w:r w:rsidR="001D2A00">
        <w:rPr>
          <w:rFonts w:ascii="Times New Roman" w:hAnsi="Times New Roman" w:cs="Times New Roman"/>
          <w:sz w:val="20"/>
          <w:szCs w:val="20"/>
        </w:rPr>
        <w:t xml:space="preserve"> </w:t>
      </w:r>
      <w:r w:rsidR="001D2A00" w:rsidRPr="009327B7">
        <w:rPr>
          <w:rFonts w:ascii="Times New Roman" w:eastAsia="Times New Roman" w:hAnsi="Times New Roman" w:cs="Times New Roman"/>
          <w:color w:val="000000"/>
          <w:sz w:val="20"/>
          <w:szCs w:val="20"/>
          <w:lang w:val="en-GB"/>
        </w:rPr>
        <w:t>Intan/Assets</w:t>
      </w:r>
      <w:r w:rsidR="001D2A00">
        <w:rPr>
          <w:rFonts w:ascii="Times New Roman" w:eastAsia="Times New Roman" w:hAnsi="Times New Roman" w:cs="Times New Roman"/>
          <w:color w:val="000000"/>
          <w:sz w:val="20"/>
          <w:szCs w:val="20"/>
          <w:lang w:val="en-GB"/>
        </w:rPr>
        <w:t xml:space="preserve"> and </w:t>
      </w:r>
      <w:r w:rsidR="001D2A00" w:rsidRPr="009B5D82">
        <w:rPr>
          <w:rFonts w:ascii="Times New Roman" w:eastAsia="Times New Roman" w:hAnsi="Times New Roman" w:cs="Times New Roman"/>
          <w:color w:val="000000"/>
          <w:sz w:val="20"/>
          <w:szCs w:val="20"/>
          <w:lang w:val="en-GB"/>
        </w:rPr>
        <w:t>σ(Returns)</w:t>
      </w:r>
      <w:r w:rsidR="001D2A00" w:rsidRPr="009B5D82">
        <w:rPr>
          <w:rFonts w:ascii="Times New Roman" w:eastAsia="Times New Roman" w:hAnsi="Times New Roman" w:cs="Times New Roman"/>
          <w:color w:val="000000"/>
          <w:sz w:val="20"/>
          <w:szCs w:val="20"/>
          <w:vertAlign w:val="superscript"/>
          <w:lang w:val="en-GB"/>
        </w:rPr>
        <w:t>PRE</w:t>
      </w:r>
      <w:r w:rsidR="00845D65">
        <w:rPr>
          <w:rFonts w:ascii="Times New Roman" w:hAnsi="Times New Roman" w:cs="Times New Roman"/>
          <w:sz w:val="20"/>
          <w:szCs w:val="20"/>
        </w:rPr>
        <w:t xml:space="preserve"> </w:t>
      </w:r>
      <w:r w:rsidR="001D2A00">
        <w:rPr>
          <w:rFonts w:ascii="Times New Roman" w:hAnsi="Times New Roman" w:cs="Times New Roman"/>
          <w:sz w:val="20"/>
          <w:szCs w:val="20"/>
        </w:rPr>
        <w:t xml:space="preserve">are </w:t>
      </w:r>
      <w:proofErr w:type="spellStart"/>
      <w:r w:rsidR="001D2A00">
        <w:rPr>
          <w:rFonts w:ascii="Times New Roman" w:hAnsi="Times New Roman" w:cs="Times New Roman"/>
          <w:sz w:val="20"/>
          <w:szCs w:val="20"/>
        </w:rPr>
        <w:t>winsorized</w:t>
      </w:r>
      <w:proofErr w:type="spellEnd"/>
      <w:r w:rsidR="001D2A00">
        <w:rPr>
          <w:rFonts w:ascii="Times New Roman" w:hAnsi="Times New Roman" w:cs="Times New Roman"/>
          <w:sz w:val="20"/>
          <w:szCs w:val="20"/>
        </w:rPr>
        <w:t xml:space="preserve"> at the 1</w:t>
      </w:r>
      <w:r w:rsidR="001D2A00" w:rsidRPr="001D2A00">
        <w:rPr>
          <w:rFonts w:ascii="Times New Roman" w:hAnsi="Times New Roman" w:cs="Times New Roman"/>
          <w:sz w:val="20"/>
          <w:szCs w:val="20"/>
          <w:vertAlign w:val="superscript"/>
        </w:rPr>
        <w:t>st</w:t>
      </w:r>
      <w:r w:rsidR="001D2A00">
        <w:rPr>
          <w:rFonts w:ascii="Times New Roman" w:hAnsi="Times New Roman" w:cs="Times New Roman"/>
          <w:sz w:val="20"/>
          <w:szCs w:val="20"/>
        </w:rPr>
        <w:t xml:space="preserve"> and 99</w:t>
      </w:r>
      <w:r w:rsidR="001D2A00" w:rsidRPr="001D2A00">
        <w:rPr>
          <w:rFonts w:ascii="Times New Roman" w:hAnsi="Times New Roman" w:cs="Times New Roman"/>
          <w:sz w:val="20"/>
          <w:szCs w:val="20"/>
          <w:vertAlign w:val="superscript"/>
        </w:rPr>
        <w:t>th</w:t>
      </w:r>
      <w:r w:rsidR="001D2A00">
        <w:rPr>
          <w:rFonts w:ascii="Times New Roman" w:hAnsi="Times New Roman" w:cs="Times New Roman"/>
          <w:sz w:val="20"/>
          <w:szCs w:val="20"/>
        </w:rPr>
        <w:t xml:space="preserve"> percentiles. </w:t>
      </w:r>
      <w:r w:rsidR="0087328B">
        <w:rPr>
          <w:rFonts w:ascii="Times New Roman" w:hAnsi="Times New Roman" w:cs="Times New Roman"/>
          <w:sz w:val="20"/>
          <w:szCs w:val="20"/>
        </w:rPr>
        <w:t>Regression</w:t>
      </w:r>
      <w:r w:rsidR="00441D72">
        <w:rPr>
          <w:rFonts w:ascii="Times New Roman" w:hAnsi="Times New Roman" w:cs="Times New Roman"/>
          <w:sz w:val="20"/>
          <w:szCs w:val="20"/>
        </w:rPr>
        <w:t>s</w:t>
      </w:r>
      <w:r w:rsidR="0087328B">
        <w:rPr>
          <w:rFonts w:ascii="Times New Roman" w:hAnsi="Times New Roman" w:cs="Times New Roman"/>
          <w:sz w:val="20"/>
          <w:szCs w:val="20"/>
        </w:rPr>
        <w:t xml:space="preserve"> include y</w:t>
      </w:r>
      <w:r w:rsidR="00875C88">
        <w:rPr>
          <w:rFonts w:ascii="Times New Roman" w:hAnsi="Times New Roman" w:cs="Times New Roman"/>
          <w:sz w:val="20"/>
          <w:szCs w:val="20"/>
        </w:rPr>
        <w:t>ear fixed effects and the standard errors are clustered by year.</w:t>
      </w:r>
      <w:r w:rsidR="00DC36E3">
        <w:rPr>
          <w:rFonts w:ascii="Times New Roman" w:hAnsi="Times New Roman" w:cs="Times New Roman"/>
          <w:sz w:val="20"/>
          <w:szCs w:val="20"/>
        </w:rPr>
        <w:t xml:space="preserve"> </w:t>
      </w:r>
      <w:r w:rsidR="00E80BD4">
        <w:rPr>
          <w:rFonts w:ascii="Times New Roman" w:hAnsi="Times New Roman" w:cs="Times New Roman"/>
          <w:sz w:val="20"/>
          <w:szCs w:val="20"/>
        </w:rPr>
        <w:t>V</w:t>
      </w:r>
      <w:r w:rsidR="00DC36E3">
        <w:rPr>
          <w:rFonts w:ascii="Times New Roman" w:hAnsi="Times New Roman" w:cs="Times New Roman"/>
          <w:sz w:val="20"/>
          <w:szCs w:val="20"/>
        </w:rPr>
        <w:t>ariable definitions are provided in the</w:t>
      </w:r>
      <w:r w:rsidR="00E80BD4">
        <w:rPr>
          <w:rFonts w:ascii="Times New Roman" w:hAnsi="Times New Roman" w:cs="Times New Roman"/>
          <w:sz w:val="20"/>
          <w:szCs w:val="20"/>
        </w:rPr>
        <w:t xml:space="preserve"> </w:t>
      </w:r>
      <w:r w:rsidR="00DC36E3">
        <w:rPr>
          <w:rFonts w:ascii="Times New Roman" w:hAnsi="Times New Roman" w:cs="Times New Roman"/>
          <w:sz w:val="20"/>
          <w:szCs w:val="20"/>
        </w:rPr>
        <w:t>Appendix.</w:t>
      </w:r>
      <w:r w:rsidR="00F832BB">
        <w:rPr>
          <w:rFonts w:ascii="Times New Roman" w:hAnsi="Times New Roman" w:cs="Times New Roman"/>
          <w:sz w:val="20"/>
          <w:szCs w:val="20"/>
        </w:rPr>
        <w:t xml:space="preserve"> Symbols ***, **, and * indicate statistical significance at the 1%, 5%, and 10% levels, respectively.</w:t>
      </w:r>
    </w:p>
    <w:p w14:paraId="2BBCD6B6" w14:textId="3CBF95C8" w:rsidR="00A648DE" w:rsidRPr="0087328B" w:rsidRDefault="0050466D" w:rsidP="0087328B">
      <w:pPr>
        <w:spacing w:before="240"/>
        <w:rPr>
          <w:rFonts w:ascii="Times New Roman" w:hAnsi="Times New Roman" w:cs="Times New Roman"/>
          <w:bCs/>
          <w:sz w:val="20"/>
          <w:szCs w:val="20"/>
        </w:rPr>
      </w:pPr>
      <w:r w:rsidRPr="0050466D">
        <w:rPr>
          <w:rFonts w:ascii="Times New Roman" w:hAnsi="Times New Roman" w:cs="Times New Roman"/>
          <w:bCs/>
          <w:sz w:val="20"/>
          <w:szCs w:val="20"/>
        </w:rPr>
        <w:t xml:space="preserve">Panel </w:t>
      </w:r>
      <w:r>
        <w:rPr>
          <w:rFonts w:ascii="Times New Roman" w:hAnsi="Times New Roman" w:cs="Times New Roman"/>
          <w:bCs/>
          <w:sz w:val="20"/>
          <w:szCs w:val="20"/>
        </w:rPr>
        <w:t>A</w:t>
      </w:r>
      <w:r w:rsidRPr="0050466D">
        <w:rPr>
          <w:rFonts w:ascii="Times New Roman" w:hAnsi="Times New Roman" w:cs="Times New Roman"/>
          <w:bCs/>
          <w:sz w:val="20"/>
          <w:szCs w:val="20"/>
        </w:rPr>
        <w:t xml:space="preserve">: </w:t>
      </w:r>
      <w:r>
        <w:rPr>
          <w:rFonts w:ascii="Times New Roman" w:hAnsi="Times New Roman" w:cs="Times New Roman"/>
          <w:bCs/>
          <w:sz w:val="20"/>
          <w:szCs w:val="20"/>
        </w:rPr>
        <w:t>IPO Pricing Range</w:t>
      </w:r>
      <w:r w:rsidR="00835FC8">
        <w:rPr>
          <w:rFonts w:ascii="Times New Roman" w:hAnsi="Times New Roman" w:cs="Times New Roman"/>
          <w:bCs/>
          <w:sz w:val="20"/>
          <w:szCs w:val="20"/>
        </w:rPr>
        <w:t>s</w:t>
      </w:r>
      <w:r>
        <w:rPr>
          <w:rFonts w:ascii="Times New Roman" w:hAnsi="Times New Roman" w:cs="Times New Roman"/>
          <w:bCs/>
          <w:sz w:val="20"/>
          <w:szCs w:val="20"/>
        </w:rPr>
        <w:t xml:space="preserve"> from Prospectuses</w:t>
      </w:r>
    </w:p>
    <w:tbl>
      <w:tblPr>
        <w:tblW w:w="5000" w:type="pct"/>
        <w:tblLook w:val="04A0" w:firstRow="1" w:lastRow="0" w:firstColumn="1" w:lastColumn="0" w:noHBand="0" w:noVBand="1"/>
      </w:tblPr>
      <w:tblGrid>
        <w:gridCol w:w="2361"/>
        <w:gridCol w:w="54"/>
        <w:gridCol w:w="2308"/>
        <w:gridCol w:w="2319"/>
        <w:gridCol w:w="2318"/>
      </w:tblGrid>
      <w:tr w:rsidR="009327B7" w:rsidRPr="009327B7" w14:paraId="42164D24" w14:textId="77777777" w:rsidTr="00BA64C6">
        <w:trPr>
          <w:trHeight w:val="258"/>
        </w:trPr>
        <w:tc>
          <w:tcPr>
            <w:tcW w:w="1290" w:type="pct"/>
            <w:gridSpan w:val="2"/>
            <w:tcBorders>
              <w:top w:val="single" w:sz="4" w:space="0" w:color="auto"/>
              <w:left w:val="nil"/>
              <w:bottom w:val="single" w:sz="4" w:space="0" w:color="auto"/>
              <w:right w:val="nil"/>
            </w:tcBorders>
            <w:noWrap/>
            <w:vAlign w:val="bottom"/>
            <w:hideMark/>
          </w:tcPr>
          <w:p w14:paraId="49039FC0"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 </w:t>
            </w:r>
          </w:p>
        </w:tc>
        <w:tc>
          <w:tcPr>
            <w:tcW w:w="1233" w:type="pct"/>
            <w:tcBorders>
              <w:top w:val="single" w:sz="4" w:space="0" w:color="auto"/>
              <w:left w:val="nil"/>
              <w:bottom w:val="single" w:sz="4" w:space="0" w:color="auto"/>
              <w:right w:val="nil"/>
            </w:tcBorders>
            <w:vAlign w:val="bottom"/>
            <w:hideMark/>
          </w:tcPr>
          <w:p w14:paraId="2B146D28" w14:textId="4F7EA920"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Ex</w:t>
            </w:r>
            <w:r w:rsidR="008E2B7F">
              <w:rPr>
                <w:rFonts w:ascii="Times New Roman" w:eastAsia="Times New Roman" w:hAnsi="Times New Roman" w:cs="Times New Roman"/>
                <w:color w:val="000000"/>
                <w:sz w:val="20"/>
                <w:szCs w:val="20"/>
                <w:lang w:val="en-GB"/>
              </w:rPr>
              <w:t>p.</w:t>
            </w:r>
            <w:r w:rsidRPr="009327B7">
              <w:rPr>
                <w:rFonts w:ascii="Times New Roman" w:eastAsia="Times New Roman" w:hAnsi="Times New Roman" w:cs="Times New Roman"/>
                <w:color w:val="000000"/>
                <w:sz w:val="20"/>
                <w:szCs w:val="20"/>
                <w:lang w:val="en-GB"/>
              </w:rPr>
              <w:t xml:space="preserve"> </w:t>
            </w:r>
            <w:r w:rsidR="008E2B7F">
              <w:rPr>
                <w:rFonts w:ascii="Times New Roman" w:eastAsia="Times New Roman" w:hAnsi="Times New Roman" w:cs="Times New Roman"/>
                <w:color w:val="000000"/>
                <w:sz w:val="20"/>
                <w:szCs w:val="20"/>
                <w:lang w:val="en-GB"/>
              </w:rPr>
              <w:t>S</w:t>
            </w:r>
            <w:r w:rsidRPr="009327B7">
              <w:rPr>
                <w:rFonts w:ascii="Times New Roman" w:eastAsia="Times New Roman" w:hAnsi="Times New Roman" w:cs="Times New Roman"/>
                <w:color w:val="000000"/>
                <w:sz w:val="20"/>
                <w:szCs w:val="20"/>
                <w:lang w:val="en-GB"/>
              </w:rPr>
              <w:t>ign</w:t>
            </w:r>
          </w:p>
        </w:tc>
        <w:tc>
          <w:tcPr>
            <w:tcW w:w="1239" w:type="pct"/>
            <w:tcBorders>
              <w:top w:val="single" w:sz="4" w:space="0" w:color="auto"/>
              <w:left w:val="nil"/>
              <w:bottom w:val="single" w:sz="4" w:space="0" w:color="auto"/>
              <w:right w:val="nil"/>
            </w:tcBorders>
            <w:noWrap/>
            <w:vAlign w:val="bottom"/>
            <w:hideMark/>
          </w:tcPr>
          <w:p w14:paraId="49AC5A4B" w14:textId="451BD80A"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(1)</w:t>
            </w:r>
          </w:p>
        </w:tc>
        <w:tc>
          <w:tcPr>
            <w:tcW w:w="1238" w:type="pct"/>
            <w:tcBorders>
              <w:top w:val="single" w:sz="4" w:space="0" w:color="auto"/>
              <w:left w:val="nil"/>
              <w:bottom w:val="single" w:sz="4" w:space="0" w:color="auto"/>
              <w:right w:val="nil"/>
            </w:tcBorders>
            <w:noWrap/>
            <w:vAlign w:val="bottom"/>
            <w:hideMark/>
          </w:tcPr>
          <w:p w14:paraId="7410C303" w14:textId="7AA527DB"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2</w:t>
            </w:r>
            <w:r>
              <w:rPr>
                <w:rFonts w:ascii="Times New Roman" w:eastAsia="Times New Roman" w:hAnsi="Times New Roman" w:cs="Times New Roman"/>
                <w:color w:val="000000"/>
                <w:sz w:val="20"/>
                <w:szCs w:val="20"/>
                <w:lang w:val="en-GB"/>
              </w:rPr>
              <w:t>)</w:t>
            </w:r>
          </w:p>
        </w:tc>
      </w:tr>
      <w:tr w:rsidR="009327B7" w:rsidRPr="009327B7" w14:paraId="3A597620" w14:textId="77777777" w:rsidTr="00BA64C6">
        <w:trPr>
          <w:trHeight w:val="312"/>
        </w:trPr>
        <w:tc>
          <w:tcPr>
            <w:tcW w:w="1290" w:type="pct"/>
            <w:gridSpan w:val="2"/>
            <w:tcBorders>
              <w:top w:val="single" w:sz="4" w:space="0" w:color="auto"/>
              <w:left w:val="nil"/>
              <w:bottom w:val="nil"/>
              <w:right w:val="nil"/>
            </w:tcBorders>
            <w:noWrap/>
            <w:vAlign w:val="bottom"/>
            <w:hideMark/>
          </w:tcPr>
          <w:p w14:paraId="6C9A2C13" w14:textId="77777777" w:rsidR="009327B7" w:rsidRPr="009327B7" w:rsidRDefault="009327B7" w:rsidP="009327B7">
            <w:pPr>
              <w:spacing w:after="0" w:line="240" w:lineRule="auto"/>
              <w:rPr>
                <w:rFonts w:ascii="Times New Roman" w:eastAsia="Times New Roman" w:hAnsi="Times New Roman" w:cs="Times New Roman"/>
                <w:b/>
                <w:bCs/>
                <w:color w:val="000000"/>
                <w:sz w:val="20"/>
                <w:szCs w:val="20"/>
                <w:lang w:val="en-US"/>
              </w:rPr>
            </w:pPr>
            <w:r w:rsidRPr="009327B7">
              <w:rPr>
                <w:rFonts w:ascii="Times New Roman" w:eastAsia="Times New Roman" w:hAnsi="Times New Roman" w:cs="Times New Roman"/>
                <w:b/>
                <w:bCs/>
                <w:color w:val="000000"/>
                <w:sz w:val="20"/>
                <w:szCs w:val="20"/>
                <w:lang w:val="en-GB"/>
              </w:rPr>
              <w:t>VU</w:t>
            </w:r>
          </w:p>
        </w:tc>
        <w:tc>
          <w:tcPr>
            <w:tcW w:w="1233" w:type="pct"/>
            <w:tcBorders>
              <w:top w:val="single" w:sz="4" w:space="0" w:color="auto"/>
              <w:left w:val="nil"/>
              <w:bottom w:val="nil"/>
              <w:right w:val="nil"/>
            </w:tcBorders>
            <w:vAlign w:val="bottom"/>
            <w:hideMark/>
          </w:tcPr>
          <w:p w14:paraId="7199D879" w14:textId="77777777" w:rsidR="009327B7" w:rsidRPr="009327B7" w:rsidRDefault="009327B7" w:rsidP="009327B7">
            <w:pPr>
              <w:spacing w:after="0" w:line="240" w:lineRule="auto"/>
              <w:jc w:val="center"/>
              <w:rPr>
                <w:rFonts w:ascii="Times New Roman" w:eastAsia="Times New Roman" w:hAnsi="Times New Roman" w:cs="Times New Roman"/>
                <w:b/>
                <w:bCs/>
                <w:color w:val="000000"/>
                <w:sz w:val="20"/>
                <w:szCs w:val="20"/>
                <w:lang w:val="en-US"/>
              </w:rPr>
            </w:pPr>
            <w:r w:rsidRPr="009327B7">
              <w:rPr>
                <w:rFonts w:ascii="Times New Roman" w:eastAsia="Times New Roman" w:hAnsi="Times New Roman" w:cs="Times New Roman"/>
                <w:b/>
                <w:bCs/>
                <w:color w:val="000000"/>
                <w:sz w:val="20"/>
                <w:szCs w:val="20"/>
                <w:lang w:val="en-GB"/>
              </w:rPr>
              <w:t>(+)</w:t>
            </w:r>
          </w:p>
        </w:tc>
        <w:tc>
          <w:tcPr>
            <w:tcW w:w="1239" w:type="pct"/>
            <w:tcBorders>
              <w:top w:val="single" w:sz="4" w:space="0" w:color="auto"/>
              <w:left w:val="nil"/>
              <w:bottom w:val="nil"/>
              <w:right w:val="nil"/>
            </w:tcBorders>
            <w:noWrap/>
            <w:vAlign w:val="bottom"/>
            <w:hideMark/>
          </w:tcPr>
          <w:p w14:paraId="361298A9" w14:textId="77777777" w:rsidR="009327B7" w:rsidRPr="009327B7" w:rsidRDefault="009327B7" w:rsidP="009327B7">
            <w:pPr>
              <w:spacing w:after="0" w:line="240" w:lineRule="auto"/>
              <w:jc w:val="center"/>
              <w:rPr>
                <w:rFonts w:ascii="Times New Roman" w:eastAsia="Times New Roman" w:hAnsi="Times New Roman" w:cs="Times New Roman"/>
                <w:b/>
                <w:bCs/>
                <w:color w:val="000000"/>
                <w:sz w:val="20"/>
                <w:szCs w:val="20"/>
                <w:lang w:val="en-US"/>
              </w:rPr>
            </w:pPr>
            <w:r w:rsidRPr="009327B7">
              <w:rPr>
                <w:rFonts w:ascii="Times New Roman" w:eastAsia="Times New Roman" w:hAnsi="Times New Roman" w:cs="Times New Roman"/>
                <w:b/>
                <w:bCs/>
                <w:color w:val="000000"/>
                <w:sz w:val="20"/>
                <w:szCs w:val="20"/>
                <w:lang w:val="en-GB"/>
              </w:rPr>
              <w:t>0.234***</w:t>
            </w:r>
          </w:p>
        </w:tc>
        <w:tc>
          <w:tcPr>
            <w:tcW w:w="1238" w:type="pct"/>
            <w:tcBorders>
              <w:top w:val="single" w:sz="4" w:space="0" w:color="auto"/>
              <w:left w:val="nil"/>
              <w:bottom w:val="nil"/>
              <w:right w:val="nil"/>
            </w:tcBorders>
            <w:noWrap/>
            <w:vAlign w:val="bottom"/>
            <w:hideMark/>
          </w:tcPr>
          <w:p w14:paraId="02776B3B" w14:textId="77777777" w:rsidR="009327B7" w:rsidRPr="009327B7" w:rsidRDefault="009327B7" w:rsidP="009327B7">
            <w:pPr>
              <w:spacing w:after="0" w:line="240" w:lineRule="auto"/>
              <w:jc w:val="center"/>
              <w:rPr>
                <w:rFonts w:ascii="Times New Roman" w:eastAsia="Times New Roman" w:hAnsi="Times New Roman" w:cs="Times New Roman"/>
                <w:b/>
                <w:bCs/>
                <w:color w:val="000000"/>
                <w:sz w:val="20"/>
                <w:szCs w:val="20"/>
                <w:lang w:val="en-US"/>
              </w:rPr>
            </w:pPr>
            <w:r w:rsidRPr="009327B7">
              <w:rPr>
                <w:rFonts w:ascii="Times New Roman" w:eastAsia="Times New Roman" w:hAnsi="Times New Roman" w:cs="Times New Roman"/>
                <w:b/>
                <w:bCs/>
                <w:color w:val="000000"/>
                <w:sz w:val="20"/>
                <w:szCs w:val="20"/>
                <w:lang w:val="en-GB"/>
              </w:rPr>
              <w:t>0.176***</w:t>
            </w:r>
          </w:p>
        </w:tc>
      </w:tr>
      <w:tr w:rsidR="009327B7" w:rsidRPr="009327B7" w14:paraId="3EEEA574" w14:textId="77777777" w:rsidTr="00087669">
        <w:trPr>
          <w:trHeight w:val="258"/>
        </w:trPr>
        <w:tc>
          <w:tcPr>
            <w:tcW w:w="1290" w:type="pct"/>
            <w:gridSpan w:val="2"/>
            <w:tcBorders>
              <w:top w:val="nil"/>
              <w:left w:val="nil"/>
              <w:bottom w:val="nil"/>
              <w:right w:val="nil"/>
            </w:tcBorders>
            <w:noWrap/>
            <w:vAlign w:val="bottom"/>
            <w:hideMark/>
          </w:tcPr>
          <w:p w14:paraId="15156C3E" w14:textId="77777777" w:rsidR="009327B7" w:rsidRPr="009327B7" w:rsidRDefault="009327B7" w:rsidP="009327B7">
            <w:pPr>
              <w:spacing w:after="0" w:line="240" w:lineRule="auto"/>
              <w:jc w:val="center"/>
              <w:rPr>
                <w:rFonts w:ascii="Times New Roman" w:eastAsia="Times New Roman" w:hAnsi="Times New Roman" w:cs="Times New Roman"/>
                <w:b/>
                <w:bCs/>
                <w:color w:val="000000"/>
                <w:sz w:val="20"/>
                <w:szCs w:val="20"/>
                <w:lang w:val="en-US"/>
              </w:rPr>
            </w:pPr>
          </w:p>
        </w:tc>
        <w:tc>
          <w:tcPr>
            <w:tcW w:w="1233" w:type="pct"/>
            <w:tcBorders>
              <w:top w:val="nil"/>
              <w:left w:val="nil"/>
              <w:bottom w:val="nil"/>
              <w:right w:val="nil"/>
            </w:tcBorders>
            <w:vAlign w:val="bottom"/>
            <w:hideMark/>
          </w:tcPr>
          <w:p w14:paraId="71E63CFE" w14:textId="77777777" w:rsidR="009327B7" w:rsidRPr="009327B7" w:rsidRDefault="009327B7" w:rsidP="009327B7">
            <w:pPr>
              <w:spacing w:after="0" w:line="240" w:lineRule="auto"/>
              <w:rPr>
                <w:rFonts w:ascii="Times New Roman" w:eastAsia="Times New Roman" w:hAnsi="Times New Roman" w:cs="Times New Roman"/>
                <w:b/>
                <w:bCs/>
                <w:sz w:val="20"/>
                <w:szCs w:val="20"/>
                <w:lang w:val="en-US"/>
              </w:rPr>
            </w:pPr>
          </w:p>
        </w:tc>
        <w:tc>
          <w:tcPr>
            <w:tcW w:w="1239" w:type="pct"/>
            <w:tcBorders>
              <w:top w:val="nil"/>
              <w:left w:val="nil"/>
              <w:bottom w:val="nil"/>
              <w:right w:val="nil"/>
            </w:tcBorders>
            <w:noWrap/>
            <w:vAlign w:val="bottom"/>
            <w:hideMark/>
          </w:tcPr>
          <w:p w14:paraId="28BEDE80" w14:textId="0042DDCC" w:rsidR="009327B7" w:rsidRPr="009327B7" w:rsidRDefault="009327B7" w:rsidP="009327B7">
            <w:pPr>
              <w:spacing w:after="0" w:line="240" w:lineRule="auto"/>
              <w:jc w:val="center"/>
              <w:rPr>
                <w:rFonts w:ascii="Times New Roman" w:eastAsia="Times New Roman" w:hAnsi="Times New Roman" w:cs="Times New Roman"/>
                <w:b/>
                <w:bCs/>
                <w:color w:val="000000"/>
                <w:sz w:val="20"/>
                <w:szCs w:val="20"/>
                <w:lang w:val="en-US"/>
              </w:rPr>
            </w:pPr>
            <w:r w:rsidRPr="001660DF">
              <w:rPr>
                <w:rFonts w:ascii="Times New Roman" w:eastAsia="Times New Roman" w:hAnsi="Times New Roman" w:cs="Times New Roman"/>
                <w:b/>
                <w:bCs/>
                <w:color w:val="000000"/>
                <w:sz w:val="20"/>
                <w:szCs w:val="20"/>
                <w:lang w:val="en-GB"/>
              </w:rPr>
              <w:t>(</w:t>
            </w:r>
            <w:r w:rsidRPr="009327B7">
              <w:rPr>
                <w:rFonts w:ascii="Times New Roman" w:eastAsia="Times New Roman" w:hAnsi="Times New Roman" w:cs="Times New Roman"/>
                <w:b/>
                <w:bCs/>
                <w:color w:val="000000"/>
                <w:sz w:val="20"/>
                <w:szCs w:val="20"/>
                <w:lang w:val="en-GB"/>
              </w:rPr>
              <w:t>0</w:t>
            </w:r>
            <w:r w:rsidRPr="001660DF">
              <w:rPr>
                <w:rFonts w:ascii="Times New Roman" w:eastAsia="Times New Roman" w:hAnsi="Times New Roman" w:cs="Times New Roman"/>
                <w:b/>
                <w:bCs/>
                <w:color w:val="000000"/>
                <w:sz w:val="20"/>
                <w:szCs w:val="20"/>
                <w:lang w:val="en-GB"/>
              </w:rPr>
              <w:t>.000)</w:t>
            </w:r>
          </w:p>
        </w:tc>
        <w:tc>
          <w:tcPr>
            <w:tcW w:w="1238" w:type="pct"/>
            <w:tcBorders>
              <w:top w:val="nil"/>
              <w:left w:val="nil"/>
              <w:bottom w:val="nil"/>
              <w:right w:val="nil"/>
            </w:tcBorders>
            <w:noWrap/>
            <w:vAlign w:val="bottom"/>
            <w:hideMark/>
          </w:tcPr>
          <w:p w14:paraId="3D6AA2A7" w14:textId="189F2079" w:rsidR="009327B7" w:rsidRPr="009327B7" w:rsidRDefault="009327B7" w:rsidP="009327B7">
            <w:pPr>
              <w:spacing w:after="0" w:line="240" w:lineRule="auto"/>
              <w:jc w:val="center"/>
              <w:rPr>
                <w:rFonts w:ascii="Times New Roman" w:eastAsia="Times New Roman" w:hAnsi="Times New Roman" w:cs="Times New Roman"/>
                <w:b/>
                <w:bCs/>
                <w:color w:val="000000"/>
                <w:sz w:val="20"/>
                <w:szCs w:val="20"/>
                <w:lang w:val="en-US"/>
              </w:rPr>
            </w:pPr>
            <w:r w:rsidRPr="001660DF">
              <w:rPr>
                <w:rFonts w:ascii="Times New Roman" w:eastAsia="Times New Roman" w:hAnsi="Times New Roman" w:cs="Times New Roman"/>
                <w:b/>
                <w:bCs/>
                <w:color w:val="000000"/>
                <w:sz w:val="20"/>
                <w:szCs w:val="20"/>
                <w:lang w:val="en-GB"/>
              </w:rPr>
              <w:t>(</w:t>
            </w:r>
            <w:r w:rsidRPr="009327B7">
              <w:rPr>
                <w:rFonts w:ascii="Times New Roman" w:eastAsia="Times New Roman" w:hAnsi="Times New Roman" w:cs="Times New Roman"/>
                <w:b/>
                <w:bCs/>
                <w:color w:val="000000"/>
                <w:sz w:val="20"/>
                <w:szCs w:val="20"/>
                <w:lang w:val="en-GB"/>
              </w:rPr>
              <w:t>0.002</w:t>
            </w:r>
            <w:r w:rsidRPr="001660DF">
              <w:rPr>
                <w:rFonts w:ascii="Times New Roman" w:eastAsia="Times New Roman" w:hAnsi="Times New Roman" w:cs="Times New Roman"/>
                <w:b/>
                <w:bCs/>
                <w:color w:val="000000"/>
                <w:sz w:val="20"/>
                <w:szCs w:val="20"/>
                <w:lang w:val="en-GB"/>
              </w:rPr>
              <w:t>)</w:t>
            </w:r>
          </w:p>
        </w:tc>
      </w:tr>
      <w:tr w:rsidR="009327B7" w:rsidRPr="009327B7" w14:paraId="3F72A6A6" w14:textId="77777777" w:rsidTr="00087669">
        <w:trPr>
          <w:trHeight w:val="258"/>
        </w:trPr>
        <w:tc>
          <w:tcPr>
            <w:tcW w:w="1290" w:type="pct"/>
            <w:gridSpan w:val="2"/>
            <w:tcBorders>
              <w:top w:val="nil"/>
              <w:left w:val="nil"/>
              <w:bottom w:val="nil"/>
              <w:right w:val="nil"/>
            </w:tcBorders>
            <w:noWrap/>
            <w:vAlign w:val="bottom"/>
            <w:hideMark/>
          </w:tcPr>
          <w:p w14:paraId="644E233D" w14:textId="7777777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Log(ME)</w:t>
            </w:r>
          </w:p>
        </w:tc>
        <w:tc>
          <w:tcPr>
            <w:tcW w:w="1233" w:type="pct"/>
            <w:tcBorders>
              <w:top w:val="nil"/>
              <w:left w:val="nil"/>
              <w:bottom w:val="nil"/>
              <w:right w:val="nil"/>
            </w:tcBorders>
            <w:vAlign w:val="bottom"/>
            <w:hideMark/>
          </w:tcPr>
          <w:p w14:paraId="24AABBAB" w14:textId="64DBE56B" w:rsidR="009327B7" w:rsidRPr="009327B7" w:rsidRDefault="00357B30" w:rsidP="00357B30">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44EE6729"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08F87A26"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-0.016***</w:t>
            </w:r>
          </w:p>
        </w:tc>
      </w:tr>
      <w:tr w:rsidR="009327B7" w:rsidRPr="009327B7" w14:paraId="6B6A7D6E" w14:textId="77777777" w:rsidTr="00087669">
        <w:trPr>
          <w:trHeight w:val="258"/>
        </w:trPr>
        <w:tc>
          <w:tcPr>
            <w:tcW w:w="1290" w:type="pct"/>
            <w:gridSpan w:val="2"/>
            <w:tcBorders>
              <w:top w:val="nil"/>
              <w:left w:val="nil"/>
              <w:bottom w:val="nil"/>
              <w:right w:val="nil"/>
            </w:tcBorders>
            <w:noWrap/>
            <w:vAlign w:val="bottom"/>
            <w:hideMark/>
          </w:tcPr>
          <w:p w14:paraId="2C6FF38A"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5DDEC8AD" w14:textId="77777777" w:rsidR="009327B7" w:rsidRPr="009327B7" w:rsidRDefault="009327B7" w:rsidP="00357B30">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46C582FE"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223F2490" w14:textId="67EF3B06"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0.002</w:t>
            </w:r>
            <w:r>
              <w:rPr>
                <w:rFonts w:ascii="Times New Roman" w:eastAsia="Times New Roman" w:hAnsi="Times New Roman" w:cs="Times New Roman"/>
                <w:color w:val="000000"/>
                <w:sz w:val="20"/>
                <w:szCs w:val="20"/>
                <w:lang w:val="en-GB"/>
              </w:rPr>
              <w:t>)</w:t>
            </w:r>
          </w:p>
        </w:tc>
      </w:tr>
      <w:tr w:rsidR="009327B7" w:rsidRPr="009327B7" w14:paraId="04755A40" w14:textId="77777777" w:rsidTr="00087669">
        <w:trPr>
          <w:trHeight w:val="258"/>
        </w:trPr>
        <w:tc>
          <w:tcPr>
            <w:tcW w:w="1290" w:type="pct"/>
            <w:gridSpan w:val="2"/>
            <w:tcBorders>
              <w:top w:val="nil"/>
              <w:left w:val="nil"/>
              <w:bottom w:val="nil"/>
              <w:right w:val="nil"/>
            </w:tcBorders>
            <w:noWrap/>
            <w:vAlign w:val="bottom"/>
            <w:hideMark/>
          </w:tcPr>
          <w:p w14:paraId="6F5ACBFC" w14:textId="7777777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Log(Age)</w:t>
            </w:r>
          </w:p>
        </w:tc>
        <w:tc>
          <w:tcPr>
            <w:tcW w:w="1233" w:type="pct"/>
            <w:tcBorders>
              <w:top w:val="nil"/>
              <w:left w:val="nil"/>
              <w:bottom w:val="nil"/>
              <w:right w:val="nil"/>
            </w:tcBorders>
            <w:vAlign w:val="bottom"/>
            <w:hideMark/>
          </w:tcPr>
          <w:p w14:paraId="09507976" w14:textId="2414C5D5" w:rsidR="009327B7" w:rsidRPr="009327B7" w:rsidRDefault="00357B30" w:rsidP="00357B30">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6F506188"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79BA8B0D"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-0.025**</w:t>
            </w:r>
          </w:p>
        </w:tc>
      </w:tr>
      <w:tr w:rsidR="009327B7" w:rsidRPr="009327B7" w14:paraId="023CBA5A" w14:textId="77777777" w:rsidTr="00087669">
        <w:trPr>
          <w:trHeight w:val="258"/>
        </w:trPr>
        <w:tc>
          <w:tcPr>
            <w:tcW w:w="1290" w:type="pct"/>
            <w:gridSpan w:val="2"/>
            <w:tcBorders>
              <w:top w:val="nil"/>
              <w:left w:val="nil"/>
              <w:bottom w:val="nil"/>
              <w:right w:val="nil"/>
            </w:tcBorders>
            <w:noWrap/>
            <w:vAlign w:val="bottom"/>
            <w:hideMark/>
          </w:tcPr>
          <w:p w14:paraId="25140BB7"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0D122361" w14:textId="77777777" w:rsidR="009327B7" w:rsidRPr="009327B7" w:rsidRDefault="009327B7" w:rsidP="00357B30">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0BE4070D"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45EF23C9" w14:textId="161076C2"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0.034</w:t>
            </w:r>
            <w:r>
              <w:rPr>
                <w:rFonts w:ascii="Times New Roman" w:eastAsia="Times New Roman" w:hAnsi="Times New Roman" w:cs="Times New Roman"/>
                <w:color w:val="000000"/>
                <w:sz w:val="20"/>
                <w:szCs w:val="20"/>
                <w:lang w:val="en-GB"/>
              </w:rPr>
              <w:t>)</w:t>
            </w:r>
          </w:p>
        </w:tc>
      </w:tr>
      <w:tr w:rsidR="00357B30" w:rsidRPr="009327B7" w14:paraId="0B89A544" w14:textId="77777777" w:rsidTr="00087669">
        <w:trPr>
          <w:trHeight w:val="258"/>
        </w:trPr>
        <w:tc>
          <w:tcPr>
            <w:tcW w:w="1261" w:type="pct"/>
            <w:tcBorders>
              <w:top w:val="nil"/>
              <w:left w:val="nil"/>
              <w:bottom w:val="nil"/>
              <w:right w:val="nil"/>
            </w:tcBorders>
            <w:noWrap/>
            <w:vAlign w:val="bottom"/>
            <w:hideMark/>
          </w:tcPr>
          <w:p w14:paraId="4B208B42" w14:textId="77777777" w:rsidR="00357B30" w:rsidRPr="009327B7" w:rsidRDefault="00357B30"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Intan/Assets</w:t>
            </w:r>
          </w:p>
        </w:tc>
        <w:tc>
          <w:tcPr>
            <w:tcW w:w="1262" w:type="pct"/>
            <w:gridSpan w:val="2"/>
            <w:tcBorders>
              <w:top w:val="nil"/>
              <w:left w:val="nil"/>
              <w:bottom w:val="nil"/>
              <w:right w:val="nil"/>
            </w:tcBorders>
            <w:vAlign w:val="bottom"/>
          </w:tcPr>
          <w:p w14:paraId="6EC5CA7C" w14:textId="128B4A6E" w:rsidR="00357B30" w:rsidRPr="009327B7" w:rsidRDefault="00357B30" w:rsidP="00357B30">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 xml:space="preserve"> </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34F5F54E" w14:textId="77777777" w:rsidR="00357B30" w:rsidRPr="009327B7" w:rsidRDefault="00357B30" w:rsidP="009327B7">
            <w:pPr>
              <w:spacing w:after="0" w:line="240" w:lineRule="auto"/>
              <w:rPr>
                <w:rFonts w:ascii="Times New Roman" w:eastAsia="Times New Roman" w:hAnsi="Times New Roman" w:cs="Times New Roman"/>
                <w:color w:val="000000"/>
                <w:sz w:val="20"/>
                <w:szCs w:val="20"/>
                <w:lang w:val="en-US"/>
              </w:rPr>
            </w:pPr>
          </w:p>
        </w:tc>
        <w:tc>
          <w:tcPr>
            <w:tcW w:w="1238" w:type="pct"/>
            <w:tcBorders>
              <w:top w:val="nil"/>
              <w:left w:val="nil"/>
              <w:bottom w:val="nil"/>
              <w:right w:val="nil"/>
            </w:tcBorders>
            <w:noWrap/>
            <w:vAlign w:val="bottom"/>
            <w:hideMark/>
          </w:tcPr>
          <w:p w14:paraId="5AD07E49" w14:textId="77777777" w:rsidR="00357B30" w:rsidRPr="009327B7" w:rsidRDefault="00357B30"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-0.129**</w:t>
            </w:r>
          </w:p>
        </w:tc>
      </w:tr>
      <w:tr w:rsidR="009327B7" w:rsidRPr="009327B7" w14:paraId="73B51538" w14:textId="77777777" w:rsidTr="00087669">
        <w:trPr>
          <w:trHeight w:val="258"/>
        </w:trPr>
        <w:tc>
          <w:tcPr>
            <w:tcW w:w="1290" w:type="pct"/>
            <w:gridSpan w:val="2"/>
            <w:tcBorders>
              <w:top w:val="nil"/>
              <w:left w:val="nil"/>
              <w:bottom w:val="nil"/>
              <w:right w:val="nil"/>
            </w:tcBorders>
            <w:noWrap/>
            <w:vAlign w:val="bottom"/>
            <w:hideMark/>
          </w:tcPr>
          <w:p w14:paraId="3A95E703"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23CC389B" w14:textId="77777777" w:rsidR="009327B7" w:rsidRPr="009327B7" w:rsidRDefault="009327B7" w:rsidP="00357B30">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6CA455F7"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7782E5C1" w14:textId="6E94D42B"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0.022</w:t>
            </w:r>
            <w:r>
              <w:rPr>
                <w:rFonts w:ascii="Times New Roman" w:eastAsia="Times New Roman" w:hAnsi="Times New Roman" w:cs="Times New Roman"/>
                <w:color w:val="000000"/>
                <w:sz w:val="20"/>
                <w:szCs w:val="20"/>
                <w:lang w:val="en-GB"/>
              </w:rPr>
              <w:t>)</w:t>
            </w:r>
          </w:p>
        </w:tc>
      </w:tr>
      <w:tr w:rsidR="009327B7" w:rsidRPr="009327B7" w14:paraId="7A6682AA" w14:textId="77777777" w:rsidTr="00087669">
        <w:trPr>
          <w:trHeight w:val="258"/>
        </w:trPr>
        <w:tc>
          <w:tcPr>
            <w:tcW w:w="1290" w:type="pct"/>
            <w:gridSpan w:val="2"/>
            <w:tcBorders>
              <w:top w:val="nil"/>
              <w:left w:val="nil"/>
              <w:bottom w:val="nil"/>
              <w:right w:val="nil"/>
            </w:tcBorders>
            <w:noWrap/>
            <w:vAlign w:val="bottom"/>
            <w:hideMark/>
          </w:tcPr>
          <w:p w14:paraId="04FC0C25" w14:textId="7777777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I</w:t>
            </w:r>
            <w:r w:rsidRPr="009327B7">
              <w:rPr>
                <w:rFonts w:ascii="Times New Roman" w:eastAsia="Times New Roman" w:hAnsi="Times New Roman" w:cs="Times New Roman"/>
                <w:color w:val="000000"/>
                <w:sz w:val="20"/>
                <w:szCs w:val="20"/>
                <w:vertAlign w:val="subscript"/>
                <w:lang w:val="en-GB"/>
              </w:rPr>
              <w:t>EARN&lt;0</w:t>
            </w:r>
          </w:p>
        </w:tc>
        <w:tc>
          <w:tcPr>
            <w:tcW w:w="1233" w:type="pct"/>
            <w:tcBorders>
              <w:top w:val="nil"/>
              <w:left w:val="nil"/>
              <w:bottom w:val="nil"/>
              <w:right w:val="nil"/>
            </w:tcBorders>
            <w:vAlign w:val="bottom"/>
            <w:hideMark/>
          </w:tcPr>
          <w:p w14:paraId="546A9239" w14:textId="7D410E22" w:rsidR="009327B7" w:rsidRPr="009327B7" w:rsidRDefault="00357B30" w:rsidP="00357B30">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17788A0C"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0654B313"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0.001</w:t>
            </w:r>
          </w:p>
        </w:tc>
      </w:tr>
      <w:tr w:rsidR="009327B7" w:rsidRPr="009327B7" w14:paraId="41B9699E" w14:textId="77777777" w:rsidTr="00087669">
        <w:trPr>
          <w:trHeight w:val="258"/>
        </w:trPr>
        <w:tc>
          <w:tcPr>
            <w:tcW w:w="1290" w:type="pct"/>
            <w:gridSpan w:val="2"/>
            <w:tcBorders>
              <w:top w:val="nil"/>
              <w:left w:val="nil"/>
              <w:bottom w:val="nil"/>
              <w:right w:val="nil"/>
            </w:tcBorders>
            <w:noWrap/>
            <w:vAlign w:val="bottom"/>
            <w:hideMark/>
          </w:tcPr>
          <w:p w14:paraId="49AFBEC0"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7635A37D" w14:textId="77777777" w:rsidR="009327B7" w:rsidRPr="009327B7" w:rsidRDefault="009327B7" w:rsidP="00357B30">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02CDE727"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302976A5" w14:textId="01BC84D5"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0.977</w:t>
            </w:r>
            <w:r>
              <w:rPr>
                <w:rFonts w:ascii="Times New Roman" w:eastAsia="Times New Roman" w:hAnsi="Times New Roman" w:cs="Times New Roman"/>
                <w:color w:val="000000"/>
                <w:sz w:val="20"/>
                <w:szCs w:val="20"/>
                <w:lang w:val="en-GB"/>
              </w:rPr>
              <w:t>)</w:t>
            </w:r>
          </w:p>
        </w:tc>
      </w:tr>
      <w:tr w:rsidR="009327B7" w:rsidRPr="009327B7" w14:paraId="249A30E7" w14:textId="77777777" w:rsidTr="00087669">
        <w:trPr>
          <w:trHeight w:val="258"/>
        </w:trPr>
        <w:tc>
          <w:tcPr>
            <w:tcW w:w="1290" w:type="pct"/>
            <w:gridSpan w:val="2"/>
            <w:tcBorders>
              <w:top w:val="nil"/>
              <w:left w:val="nil"/>
              <w:bottom w:val="nil"/>
              <w:right w:val="nil"/>
            </w:tcBorders>
            <w:noWrap/>
            <w:vAlign w:val="bottom"/>
            <w:hideMark/>
          </w:tcPr>
          <w:p w14:paraId="01159C6F" w14:textId="7777777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I</w:t>
            </w:r>
            <w:r w:rsidRPr="009327B7">
              <w:rPr>
                <w:rFonts w:ascii="Times New Roman" w:eastAsia="Times New Roman" w:hAnsi="Times New Roman" w:cs="Times New Roman"/>
                <w:color w:val="000000"/>
                <w:sz w:val="20"/>
                <w:szCs w:val="20"/>
                <w:vertAlign w:val="subscript"/>
                <w:lang w:val="en-GB"/>
              </w:rPr>
              <w:t>DIV&gt;0</w:t>
            </w:r>
          </w:p>
        </w:tc>
        <w:tc>
          <w:tcPr>
            <w:tcW w:w="1233" w:type="pct"/>
            <w:tcBorders>
              <w:top w:val="nil"/>
              <w:left w:val="nil"/>
              <w:bottom w:val="nil"/>
              <w:right w:val="nil"/>
            </w:tcBorders>
            <w:vAlign w:val="bottom"/>
            <w:hideMark/>
          </w:tcPr>
          <w:p w14:paraId="351EED1F" w14:textId="400F454A" w:rsidR="009327B7" w:rsidRPr="009327B7" w:rsidRDefault="00357B30" w:rsidP="00357B30">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7E7B8AD6"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648A3182"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0.008</w:t>
            </w:r>
          </w:p>
        </w:tc>
      </w:tr>
      <w:tr w:rsidR="009327B7" w:rsidRPr="009327B7" w14:paraId="68B7BA37" w14:textId="77777777" w:rsidTr="00087669">
        <w:trPr>
          <w:trHeight w:val="258"/>
        </w:trPr>
        <w:tc>
          <w:tcPr>
            <w:tcW w:w="1290" w:type="pct"/>
            <w:gridSpan w:val="2"/>
            <w:tcBorders>
              <w:top w:val="nil"/>
              <w:left w:val="nil"/>
              <w:bottom w:val="nil"/>
              <w:right w:val="nil"/>
            </w:tcBorders>
            <w:noWrap/>
            <w:vAlign w:val="bottom"/>
            <w:hideMark/>
          </w:tcPr>
          <w:p w14:paraId="4A52DE3E"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6824BF92" w14:textId="77777777" w:rsidR="009327B7" w:rsidRPr="009327B7" w:rsidRDefault="009327B7" w:rsidP="009327B7">
            <w:pPr>
              <w:spacing w:after="0" w:line="240" w:lineRule="auto"/>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64D63614" w14:textId="77777777" w:rsidR="009327B7" w:rsidRPr="009327B7" w:rsidRDefault="009327B7" w:rsidP="009327B7">
            <w:pPr>
              <w:spacing w:after="0" w:line="240" w:lineRule="auto"/>
              <w:jc w:val="center"/>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08E588A4" w14:textId="2668748E"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0.624</w:t>
            </w:r>
            <w:r>
              <w:rPr>
                <w:rFonts w:ascii="Times New Roman" w:eastAsia="Times New Roman" w:hAnsi="Times New Roman" w:cs="Times New Roman"/>
                <w:color w:val="000000"/>
                <w:sz w:val="20"/>
                <w:szCs w:val="20"/>
                <w:lang w:val="en-GB"/>
              </w:rPr>
              <w:t>)</w:t>
            </w:r>
          </w:p>
        </w:tc>
      </w:tr>
      <w:tr w:rsidR="009327B7" w:rsidRPr="009327B7" w14:paraId="3D8D11CF" w14:textId="77777777" w:rsidTr="00BA64C6">
        <w:trPr>
          <w:trHeight w:val="375"/>
        </w:trPr>
        <w:tc>
          <w:tcPr>
            <w:tcW w:w="1290" w:type="pct"/>
            <w:gridSpan w:val="2"/>
            <w:tcBorders>
              <w:top w:val="nil"/>
              <w:left w:val="nil"/>
              <w:right w:val="nil"/>
            </w:tcBorders>
            <w:noWrap/>
            <w:vAlign w:val="bottom"/>
            <w:hideMark/>
          </w:tcPr>
          <w:p w14:paraId="6B6FCA7C" w14:textId="4004BB9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Adj.</w:t>
            </w:r>
            <w:r w:rsidR="00BA64C6">
              <w:rPr>
                <w:rFonts w:ascii="Times New Roman" w:eastAsia="Times New Roman" w:hAnsi="Times New Roman" w:cs="Times New Roman"/>
                <w:color w:val="000000"/>
                <w:sz w:val="20"/>
                <w:szCs w:val="20"/>
                <w:lang w:val="en-GB"/>
              </w:rPr>
              <w:t xml:space="preserve"> </w:t>
            </w:r>
            <w:r w:rsidRPr="009327B7">
              <w:rPr>
                <w:rFonts w:ascii="Times New Roman" w:eastAsia="Times New Roman" w:hAnsi="Times New Roman" w:cs="Times New Roman"/>
                <w:color w:val="000000"/>
                <w:sz w:val="20"/>
                <w:szCs w:val="20"/>
                <w:lang w:val="en-GB"/>
              </w:rPr>
              <w:t>R2</w:t>
            </w:r>
          </w:p>
        </w:tc>
        <w:tc>
          <w:tcPr>
            <w:tcW w:w="1233" w:type="pct"/>
            <w:tcBorders>
              <w:top w:val="nil"/>
              <w:left w:val="nil"/>
              <w:right w:val="nil"/>
            </w:tcBorders>
            <w:vAlign w:val="bottom"/>
            <w:hideMark/>
          </w:tcPr>
          <w:p w14:paraId="3AB7F693" w14:textId="7777777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p>
        </w:tc>
        <w:tc>
          <w:tcPr>
            <w:tcW w:w="1239" w:type="pct"/>
            <w:tcBorders>
              <w:top w:val="nil"/>
              <w:left w:val="nil"/>
              <w:right w:val="nil"/>
            </w:tcBorders>
            <w:noWrap/>
            <w:vAlign w:val="bottom"/>
            <w:hideMark/>
          </w:tcPr>
          <w:p w14:paraId="3E7B453C"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0.058</w:t>
            </w:r>
          </w:p>
        </w:tc>
        <w:tc>
          <w:tcPr>
            <w:tcW w:w="1238" w:type="pct"/>
            <w:tcBorders>
              <w:top w:val="nil"/>
              <w:left w:val="nil"/>
              <w:right w:val="nil"/>
            </w:tcBorders>
            <w:noWrap/>
            <w:vAlign w:val="bottom"/>
            <w:hideMark/>
          </w:tcPr>
          <w:p w14:paraId="1A1BF4DA"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0.073</w:t>
            </w:r>
          </w:p>
        </w:tc>
      </w:tr>
      <w:tr w:rsidR="009327B7" w:rsidRPr="009327B7" w14:paraId="04768958" w14:textId="77777777" w:rsidTr="00BA64C6">
        <w:trPr>
          <w:trHeight w:val="258"/>
        </w:trPr>
        <w:tc>
          <w:tcPr>
            <w:tcW w:w="1290" w:type="pct"/>
            <w:gridSpan w:val="2"/>
            <w:tcBorders>
              <w:top w:val="nil"/>
              <w:left w:val="nil"/>
              <w:bottom w:val="single" w:sz="4" w:space="0" w:color="auto"/>
              <w:right w:val="nil"/>
            </w:tcBorders>
            <w:noWrap/>
            <w:vAlign w:val="bottom"/>
            <w:hideMark/>
          </w:tcPr>
          <w:p w14:paraId="67F0F808" w14:textId="77777777" w:rsidR="009327B7" w:rsidRPr="009327B7" w:rsidRDefault="009327B7" w:rsidP="009327B7">
            <w:pPr>
              <w:spacing w:after="0" w:line="240" w:lineRule="auto"/>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N</w:t>
            </w:r>
          </w:p>
        </w:tc>
        <w:tc>
          <w:tcPr>
            <w:tcW w:w="1233" w:type="pct"/>
            <w:tcBorders>
              <w:top w:val="nil"/>
              <w:left w:val="nil"/>
              <w:bottom w:val="single" w:sz="4" w:space="0" w:color="auto"/>
              <w:right w:val="nil"/>
            </w:tcBorders>
            <w:vAlign w:val="bottom"/>
            <w:hideMark/>
          </w:tcPr>
          <w:p w14:paraId="22682FD6"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 </w:t>
            </w:r>
          </w:p>
        </w:tc>
        <w:tc>
          <w:tcPr>
            <w:tcW w:w="1239" w:type="pct"/>
            <w:tcBorders>
              <w:top w:val="nil"/>
              <w:left w:val="nil"/>
              <w:bottom w:val="single" w:sz="4" w:space="0" w:color="auto"/>
              <w:right w:val="nil"/>
            </w:tcBorders>
            <w:noWrap/>
            <w:vAlign w:val="bottom"/>
            <w:hideMark/>
          </w:tcPr>
          <w:p w14:paraId="11FFF1EC"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1,539</w:t>
            </w:r>
          </w:p>
        </w:tc>
        <w:tc>
          <w:tcPr>
            <w:tcW w:w="1238" w:type="pct"/>
            <w:tcBorders>
              <w:top w:val="nil"/>
              <w:left w:val="nil"/>
              <w:bottom w:val="single" w:sz="4" w:space="0" w:color="auto"/>
              <w:right w:val="nil"/>
            </w:tcBorders>
            <w:noWrap/>
            <w:vAlign w:val="bottom"/>
            <w:hideMark/>
          </w:tcPr>
          <w:p w14:paraId="22F0A1A9" w14:textId="77777777" w:rsidR="009327B7" w:rsidRPr="009327B7" w:rsidRDefault="009327B7" w:rsidP="009327B7">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1,442</w:t>
            </w:r>
          </w:p>
        </w:tc>
      </w:tr>
    </w:tbl>
    <w:p w14:paraId="71347BAA" w14:textId="3B77D50D" w:rsidR="00A648DE" w:rsidRPr="0050466D" w:rsidRDefault="00751CF6" w:rsidP="0087328B">
      <w:pPr>
        <w:spacing w:before="240"/>
        <w:rPr>
          <w:rFonts w:ascii="Times New Roman" w:hAnsi="Times New Roman" w:cs="Times New Roman"/>
          <w:bCs/>
          <w:sz w:val="20"/>
          <w:szCs w:val="20"/>
        </w:rPr>
      </w:pPr>
      <w:r w:rsidRPr="0050466D">
        <w:rPr>
          <w:rFonts w:ascii="Times New Roman" w:hAnsi="Times New Roman" w:cs="Times New Roman"/>
          <w:bCs/>
          <w:sz w:val="20"/>
          <w:szCs w:val="20"/>
        </w:rPr>
        <w:t xml:space="preserve">Panel B: </w:t>
      </w:r>
      <w:r w:rsidR="0050466D">
        <w:rPr>
          <w:rFonts w:ascii="Times New Roman" w:hAnsi="Times New Roman" w:cs="Times New Roman"/>
          <w:bCs/>
          <w:sz w:val="20"/>
          <w:szCs w:val="20"/>
        </w:rPr>
        <w:t>Target Value Range</w:t>
      </w:r>
      <w:r w:rsidR="00835FC8">
        <w:rPr>
          <w:rFonts w:ascii="Times New Roman" w:hAnsi="Times New Roman" w:cs="Times New Roman"/>
          <w:bCs/>
          <w:sz w:val="20"/>
          <w:szCs w:val="20"/>
        </w:rPr>
        <w:t>s</w:t>
      </w:r>
      <w:r w:rsidR="0050466D">
        <w:rPr>
          <w:rFonts w:ascii="Times New Roman" w:hAnsi="Times New Roman" w:cs="Times New Roman"/>
          <w:bCs/>
          <w:sz w:val="20"/>
          <w:szCs w:val="20"/>
        </w:rPr>
        <w:t xml:space="preserve"> from M&amp;A</w:t>
      </w:r>
      <w:r w:rsidR="0050466D" w:rsidRPr="0050466D">
        <w:rPr>
          <w:rFonts w:ascii="Times New Roman" w:hAnsi="Times New Roman" w:cs="Times New Roman"/>
          <w:bCs/>
          <w:sz w:val="20"/>
          <w:szCs w:val="20"/>
        </w:rPr>
        <w:t xml:space="preserve"> Fairness Opinion</w:t>
      </w:r>
      <w:r w:rsidR="0050466D">
        <w:rPr>
          <w:rFonts w:ascii="Times New Roman" w:hAnsi="Times New Roman" w:cs="Times New Roman"/>
          <w:bCs/>
          <w:sz w:val="20"/>
          <w:szCs w:val="20"/>
        </w:rPr>
        <w:t>s</w:t>
      </w:r>
    </w:p>
    <w:tbl>
      <w:tblPr>
        <w:tblW w:w="5000" w:type="pct"/>
        <w:tblLook w:val="04A0" w:firstRow="1" w:lastRow="0" w:firstColumn="1" w:lastColumn="0" w:noHBand="0" w:noVBand="1"/>
      </w:tblPr>
      <w:tblGrid>
        <w:gridCol w:w="2361"/>
        <w:gridCol w:w="54"/>
        <w:gridCol w:w="2308"/>
        <w:gridCol w:w="2319"/>
        <w:gridCol w:w="2318"/>
      </w:tblGrid>
      <w:tr w:rsidR="009B5D82" w:rsidRPr="009B5D82" w14:paraId="1A0050A6" w14:textId="77777777" w:rsidTr="00BA64C6">
        <w:trPr>
          <w:trHeight w:val="260"/>
        </w:trPr>
        <w:tc>
          <w:tcPr>
            <w:tcW w:w="1290" w:type="pct"/>
            <w:gridSpan w:val="2"/>
            <w:tcBorders>
              <w:top w:val="single" w:sz="4" w:space="0" w:color="auto"/>
              <w:left w:val="nil"/>
              <w:bottom w:val="single" w:sz="4" w:space="0" w:color="auto"/>
              <w:right w:val="nil"/>
            </w:tcBorders>
            <w:noWrap/>
            <w:vAlign w:val="bottom"/>
            <w:hideMark/>
          </w:tcPr>
          <w:p w14:paraId="54094236" w14:textId="77777777" w:rsidR="009B5D82" w:rsidRPr="009B5D82" w:rsidRDefault="009B5D82" w:rsidP="009B5D82">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 </w:t>
            </w:r>
          </w:p>
        </w:tc>
        <w:tc>
          <w:tcPr>
            <w:tcW w:w="1233" w:type="pct"/>
            <w:tcBorders>
              <w:top w:val="single" w:sz="4" w:space="0" w:color="auto"/>
              <w:left w:val="nil"/>
              <w:bottom w:val="single" w:sz="4" w:space="0" w:color="auto"/>
              <w:right w:val="nil"/>
            </w:tcBorders>
            <w:vAlign w:val="bottom"/>
            <w:hideMark/>
          </w:tcPr>
          <w:p w14:paraId="023DEA43" w14:textId="3333E883" w:rsidR="009B5D82" w:rsidRPr="009B5D82" w:rsidRDefault="009B5D82" w:rsidP="009B5D82">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Exp</w:t>
            </w:r>
            <w:r w:rsidR="008E2B7F">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 xml:space="preserve"> </w:t>
            </w:r>
            <w:r w:rsidR="008E2B7F">
              <w:rPr>
                <w:rFonts w:ascii="Times New Roman" w:eastAsia="Times New Roman" w:hAnsi="Times New Roman" w:cs="Times New Roman"/>
                <w:color w:val="000000"/>
                <w:sz w:val="20"/>
                <w:szCs w:val="20"/>
                <w:lang w:val="en-GB"/>
              </w:rPr>
              <w:t>S</w:t>
            </w:r>
            <w:r w:rsidRPr="009B5D82">
              <w:rPr>
                <w:rFonts w:ascii="Times New Roman" w:eastAsia="Times New Roman" w:hAnsi="Times New Roman" w:cs="Times New Roman"/>
                <w:color w:val="000000"/>
                <w:sz w:val="20"/>
                <w:szCs w:val="20"/>
                <w:lang w:val="en-GB"/>
              </w:rPr>
              <w:t>ign</w:t>
            </w:r>
          </w:p>
        </w:tc>
        <w:tc>
          <w:tcPr>
            <w:tcW w:w="1239" w:type="pct"/>
            <w:tcBorders>
              <w:top w:val="single" w:sz="4" w:space="0" w:color="auto"/>
              <w:left w:val="nil"/>
              <w:bottom w:val="single" w:sz="4" w:space="0" w:color="auto"/>
              <w:right w:val="nil"/>
            </w:tcBorders>
            <w:noWrap/>
            <w:vAlign w:val="bottom"/>
            <w:hideMark/>
          </w:tcPr>
          <w:p w14:paraId="1C50BB3F" w14:textId="55CAEB1B" w:rsidR="009B5D82" w:rsidRPr="009B5D82" w:rsidRDefault="00A472C6" w:rsidP="009B5D82">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009B5D82" w:rsidRPr="009B5D82">
              <w:rPr>
                <w:rFonts w:ascii="Times New Roman" w:eastAsia="Times New Roman" w:hAnsi="Times New Roman" w:cs="Times New Roman"/>
                <w:color w:val="000000"/>
                <w:sz w:val="20"/>
                <w:szCs w:val="20"/>
                <w:lang w:val="en-GB"/>
              </w:rPr>
              <w:t>1</w:t>
            </w:r>
            <w:r>
              <w:rPr>
                <w:rFonts w:ascii="Times New Roman" w:eastAsia="Times New Roman" w:hAnsi="Times New Roman" w:cs="Times New Roman"/>
                <w:color w:val="000000"/>
                <w:sz w:val="20"/>
                <w:szCs w:val="20"/>
                <w:lang w:val="en-GB"/>
              </w:rPr>
              <w:t>)</w:t>
            </w:r>
          </w:p>
        </w:tc>
        <w:tc>
          <w:tcPr>
            <w:tcW w:w="1238" w:type="pct"/>
            <w:tcBorders>
              <w:top w:val="single" w:sz="4" w:space="0" w:color="auto"/>
              <w:left w:val="nil"/>
              <w:bottom w:val="single" w:sz="4" w:space="0" w:color="auto"/>
              <w:right w:val="nil"/>
            </w:tcBorders>
            <w:noWrap/>
            <w:vAlign w:val="bottom"/>
            <w:hideMark/>
          </w:tcPr>
          <w:p w14:paraId="602C2E7D" w14:textId="6A679D1E" w:rsidR="009B5D82" w:rsidRPr="009B5D82" w:rsidRDefault="00A472C6" w:rsidP="009B5D82">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009B5D82" w:rsidRPr="009B5D82">
              <w:rPr>
                <w:rFonts w:ascii="Times New Roman" w:eastAsia="Times New Roman" w:hAnsi="Times New Roman" w:cs="Times New Roman"/>
                <w:color w:val="000000"/>
                <w:sz w:val="20"/>
                <w:szCs w:val="20"/>
                <w:lang w:val="en-GB"/>
              </w:rPr>
              <w:t>2</w:t>
            </w:r>
            <w:r>
              <w:rPr>
                <w:rFonts w:ascii="Times New Roman" w:eastAsia="Times New Roman" w:hAnsi="Times New Roman" w:cs="Times New Roman"/>
                <w:color w:val="000000"/>
                <w:sz w:val="20"/>
                <w:szCs w:val="20"/>
                <w:lang w:val="en-GB"/>
              </w:rPr>
              <w:t>)</w:t>
            </w:r>
          </w:p>
        </w:tc>
      </w:tr>
      <w:tr w:rsidR="009B5D82" w:rsidRPr="009B5D82" w14:paraId="69277084" w14:textId="77777777" w:rsidTr="00BA64C6">
        <w:trPr>
          <w:trHeight w:val="353"/>
        </w:trPr>
        <w:tc>
          <w:tcPr>
            <w:tcW w:w="1290" w:type="pct"/>
            <w:gridSpan w:val="2"/>
            <w:tcBorders>
              <w:top w:val="single" w:sz="4" w:space="0" w:color="auto"/>
              <w:left w:val="nil"/>
              <w:bottom w:val="nil"/>
              <w:right w:val="nil"/>
            </w:tcBorders>
            <w:noWrap/>
            <w:vAlign w:val="bottom"/>
            <w:hideMark/>
          </w:tcPr>
          <w:p w14:paraId="19229E9D" w14:textId="77777777" w:rsidR="009B5D82" w:rsidRPr="009B5D82" w:rsidRDefault="009B5D82" w:rsidP="009B5D82">
            <w:pPr>
              <w:spacing w:after="0" w:line="240" w:lineRule="auto"/>
              <w:rPr>
                <w:rFonts w:ascii="Times New Roman" w:eastAsia="Times New Roman" w:hAnsi="Times New Roman" w:cs="Times New Roman"/>
                <w:b/>
                <w:bCs/>
                <w:color w:val="000000"/>
                <w:sz w:val="20"/>
                <w:szCs w:val="20"/>
                <w:lang w:val="en-US"/>
              </w:rPr>
            </w:pPr>
            <w:r w:rsidRPr="009B5D82">
              <w:rPr>
                <w:rFonts w:ascii="Times New Roman" w:eastAsia="Times New Roman" w:hAnsi="Times New Roman" w:cs="Times New Roman"/>
                <w:b/>
                <w:bCs/>
                <w:color w:val="000000"/>
                <w:sz w:val="20"/>
                <w:szCs w:val="20"/>
                <w:lang w:val="en-GB"/>
              </w:rPr>
              <w:t>VU</w:t>
            </w:r>
          </w:p>
        </w:tc>
        <w:tc>
          <w:tcPr>
            <w:tcW w:w="1233" w:type="pct"/>
            <w:tcBorders>
              <w:top w:val="single" w:sz="4" w:space="0" w:color="auto"/>
              <w:left w:val="nil"/>
              <w:bottom w:val="nil"/>
              <w:right w:val="nil"/>
            </w:tcBorders>
            <w:vAlign w:val="bottom"/>
            <w:hideMark/>
          </w:tcPr>
          <w:p w14:paraId="602BAA40" w14:textId="77777777" w:rsidR="009B5D82" w:rsidRPr="009B5D82" w:rsidRDefault="009B5D82" w:rsidP="009B5D82">
            <w:pPr>
              <w:spacing w:after="0" w:line="240" w:lineRule="auto"/>
              <w:jc w:val="center"/>
              <w:rPr>
                <w:rFonts w:ascii="Times New Roman" w:eastAsia="Times New Roman" w:hAnsi="Times New Roman" w:cs="Times New Roman"/>
                <w:b/>
                <w:bCs/>
                <w:color w:val="000000"/>
                <w:sz w:val="20"/>
                <w:szCs w:val="20"/>
                <w:lang w:val="en-US"/>
              </w:rPr>
            </w:pPr>
            <w:r w:rsidRPr="009B5D82">
              <w:rPr>
                <w:rFonts w:ascii="Times New Roman" w:eastAsia="Times New Roman" w:hAnsi="Times New Roman" w:cs="Times New Roman"/>
                <w:b/>
                <w:bCs/>
                <w:color w:val="000000"/>
                <w:sz w:val="20"/>
                <w:szCs w:val="20"/>
                <w:lang w:val="en-GB"/>
              </w:rPr>
              <w:t>(+)</w:t>
            </w:r>
          </w:p>
        </w:tc>
        <w:tc>
          <w:tcPr>
            <w:tcW w:w="1239" w:type="pct"/>
            <w:tcBorders>
              <w:top w:val="single" w:sz="4" w:space="0" w:color="auto"/>
              <w:left w:val="nil"/>
              <w:bottom w:val="nil"/>
              <w:right w:val="nil"/>
            </w:tcBorders>
            <w:noWrap/>
            <w:vAlign w:val="bottom"/>
            <w:hideMark/>
          </w:tcPr>
          <w:p w14:paraId="062F4274" w14:textId="77777777" w:rsidR="009B5D82" w:rsidRPr="009B5D82" w:rsidRDefault="009B5D82" w:rsidP="009B5D82">
            <w:pPr>
              <w:spacing w:after="0" w:line="240" w:lineRule="auto"/>
              <w:jc w:val="center"/>
              <w:rPr>
                <w:rFonts w:ascii="Times New Roman" w:eastAsia="Times New Roman" w:hAnsi="Times New Roman" w:cs="Times New Roman"/>
                <w:b/>
                <w:bCs/>
                <w:color w:val="000000"/>
                <w:sz w:val="20"/>
                <w:szCs w:val="20"/>
                <w:lang w:val="en-US"/>
              </w:rPr>
            </w:pPr>
            <w:r w:rsidRPr="009B5D82">
              <w:rPr>
                <w:rFonts w:ascii="Times New Roman" w:eastAsia="Times New Roman" w:hAnsi="Times New Roman" w:cs="Times New Roman"/>
                <w:b/>
                <w:bCs/>
                <w:color w:val="000000"/>
                <w:sz w:val="20"/>
                <w:szCs w:val="20"/>
                <w:lang w:val="en-GB"/>
              </w:rPr>
              <w:t>0.475***</w:t>
            </w:r>
          </w:p>
        </w:tc>
        <w:tc>
          <w:tcPr>
            <w:tcW w:w="1238" w:type="pct"/>
            <w:tcBorders>
              <w:top w:val="single" w:sz="4" w:space="0" w:color="auto"/>
              <w:left w:val="nil"/>
              <w:bottom w:val="nil"/>
              <w:right w:val="nil"/>
            </w:tcBorders>
            <w:noWrap/>
            <w:vAlign w:val="bottom"/>
            <w:hideMark/>
          </w:tcPr>
          <w:p w14:paraId="5E151084" w14:textId="77777777" w:rsidR="009B5D82" w:rsidRPr="009B5D82" w:rsidRDefault="009B5D82" w:rsidP="009B5D82">
            <w:pPr>
              <w:spacing w:after="0" w:line="240" w:lineRule="auto"/>
              <w:jc w:val="center"/>
              <w:rPr>
                <w:rFonts w:ascii="Times New Roman" w:eastAsia="Times New Roman" w:hAnsi="Times New Roman" w:cs="Times New Roman"/>
                <w:b/>
                <w:bCs/>
                <w:color w:val="000000"/>
                <w:sz w:val="20"/>
                <w:szCs w:val="20"/>
                <w:lang w:val="en-US"/>
              </w:rPr>
            </w:pPr>
            <w:r w:rsidRPr="009B5D82">
              <w:rPr>
                <w:rFonts w:ascii="Times New Roman" w:eastAsia="Times New Roman" w:hAnsi="Times New Roman" w:cs="Times New Roman"/>
                <w:b/>
                <w:bCs/>
                <w:color w:val="000000"/>
                <w:sz w:val="20"/>
                <w:szCs w:val="20"/>
                <w:lang w:val="en-GB"/>
              </w:rPr>
              <w:t>0.211**</w:t>
            </w:r>
          </w:p>
        </w:tc>
      </w:tr>
      <w:tr w:rsidR="009B5D82" w:rsidRPr="009B5D82" w14:paraId="42A0F087" w14:textId="77777777" w:rsidTr="00843301">
        <w:trPr>
          <w:trHeight w:val="260"/>
        </w:trPr>
        <w:tc>
          <w:tcPr>
            <w:tcW w:w="1290" w:type="pct"/>
            <w:gridSpan w:val="2"/>
            <w:tcBorders>
              <w:top w:val="nil"/>
              <w:left w:val="nil"/>
              <w:bottom w:val="nil"/>
              <w:right w:val="nil"/>
            </w:tcBorders>
            <w:noWrap/>
            <w:vAlign w:val="bottom"/>
            <w:hideMark/>
          </w:tcPr>
          <w:p w14:paraId="29146C9E" w14:textId="77777777" w:rsidR="009B5D82" w:rsidRPr="009B5D82" w:rsidRDefault="009B5D82" w:rsidP="009B5D82">
            <w:pPr>
              <w:spacing w:after="0" w:line="240" w:lineRule="auto"/>
              <w:jc w:val="center"/>
              <w:rPr>
                <w:rFonts w:ascii="Times New Roman" w:eastAsia="Times New Roman" w:hAnsi="Times New Roman" w:cs="Times New Roman"/>
                <w:b/>
                <w:bCs/>
                <w:color w:val="000000"/>
                <w:sz w:val="20"/>
                <w:szCs w:val="20"/>
                <w:lang w:val="en-US"/>
              </w:rPr>
            </w:pPr>
          </w:p>
        </w:tc>
        <w:tc>
          <w:tcPr>
            <w:tcW w:w="1233" w:type="pct"/>
            <w:tcBorders>
              <w:top w:val="nil"/>
              <w:left w:val="nil"/>
              <w:bottom w:val="nil"/>
              <w:right w:val="nil"/>
            </w:tcBorders>
            <w:vAlign w:val="bottom"/>
            <w:hideMark/>
          </w:tcPr>
          <w:p w14:paraId="0F97BC1F" w14:textId="77777777" w:rsidR="009B5D82" w:rsidRPr="009B5D82" w:rsidRDefault="009B5D82" w:rsidP="009B5D82">
            <w:pPr>
              <w:spacing w:after="0" w:line="240" w:lineRule="auto"/>
              <w:rPr>
                <w:rFonts w:ascii="Times New Roman" w:eastAsia="Times New Roman" w:hAnsi="Times New Roman" w:cs="Times New Roman"/>
                <w:b/>
                <w:bCs/>
                <w:sz w:val="20"/>
                <w:szCs w:val="20"/>
                <w:lang w:val="en-US"/>
              </w:rPr>
            </w:pPr>
          </w:p>
        </w:tc>
        <w:tc>
          <w:tcPr>
            <w:tcW w:w="1239" w:type="pct"/>
            <w:tcBorders>
              <w:top w:val="nil"/>
              <w:left w:val="nil"/>
              <w:bottom w:val="nil"/>
              <w:right w:val="nil"/>
            </w:tcBorders>
            <w:noWrap/>
            <w:vAlign w:val="bottom"/>
            <w:hideMark/>
          </w:tcPr>
          <w:p w14:paraId="4B18B91E" w14:textId="0764A060" w:rsidR="009B5D82" w:rsidRPr="009B5D82" w:rsidRDefault="009B5D82" w:rsidP="009B5D82">
            <w:pPr>
              <w:spacing w:after="0" w:line="240" w:lineRule="auto"/>
              <w:jc w:val="center"/>
              <w:rPr>
                <w:rFonts w:ascii="Times New Roman" w:eastAsia="Times New Roman" w:hAnsi="Times New Roman" w:cs="Times New Roman"/>
                <w:b/>
                <w:bCs/>
                <w:color w:val="000000"/>
                <w:sz w:val="20"/>
                <w:szCs w:val="20"/>
                <w:lang w:val="en-US"/>
              </w:rPr>
            </w:pPr>
            <w:r w:rsidRPr="001660DF">
              <w:rPr>
                <w:rFonts w:ascii="Times New Roman" w:eastAsia="Times New Roman" w:hAnsi="Times New Roman" w:cs="Times New Roman"/>
                <w:b/>
                <w:bCs/>
                <w:color w:val="000000"/>
                <w:sz w:val="20"/>
                <w:szCs w:val="20"/>
                <w:lang w:val="en-GB"/>
              </w:rPr>
              <w:t>(</w:t>
            </w:r>
            <w:r w:rsidRPr="009B5D82">
              <w:rPr>
                <w:rFonts w:ascii="Times New Roman" w:eastAsia="Times New Roman" w:hAnsi="Times New Roman" w:cs="Times New Roman"/>
                <w:b/>
                <w:bCs/>
                <w:color w:val="000000"/>
                <w:sz w:val="20"/>
                <w:szCs w:val="20"/>
                <w:lang w:val="en-GB"/>
              </w:rPr>
              <w:t>0</w:t>
            </w:r>
            <w:r w:rsidRPr="001660DF">
              <w:rPr>
                <w:rFonts w:ascii="Times New Roman" w:eastAsia="Times New Roman" w:hAnsi="Times New Roman" w:cs="Times New Roman"/>
                <w:b/>
                <w:bCs/>
                <w:color w:val="000000"/>
                <w:sz w:val="20"/>
                <w:szCs w:val="20"/>
                <w:lang w:val="en-GB"/>
              </w:rPr>
              <w:t>.000)</w:t>
            </w:r>
          </w:p>
        </w:tc>
        <w:tc>
          <w:tcPr>
            <w:tcW w:w="1238" w:type="pct"/>
            <w:tcBorders>
              <w:top w:val="nil"/>
              <w:left w:val="nil"/>
              <w:bottom w:val="nil"/>
              <w:right w:val="nil"/>
            </w:tcBorders>
            <w:noWrap/>
            <w:vAlign w:val="bottom"/>
            <w:hideMark/>
          </w:tcPr>
          <w:p w14:paraId="0E829529" w14:textId="1D3B4FA5" w:rsidR="009B5D82" w:rsidRPr="009B5D82" w:rsidRDefault="009B5D82" w:rsidP="009B5D82">
            <w:pPr>
              <w:spacing w:after="0" w:line="240" w:lineRule="auto"/>
              <w:jc w:val="center"/>
              <w:rPr>
                <w:rFonts w:ascii="Times New Roman" w:eastAsia="Times New Roman" w:hAnsi="Times New Roman" w:cs="Times New Roman"/>
                <w:b/>
                <w:bCs/>
                <w:color w:val="000000"/>
                <w:sz w:val="20"/>
                <w:szCs w:val="20"/>
                <w:lang w:val="en-US"/>
              </w:rPr>
            </w:pPr>
            <w:r w:rsidRPr="001660DF">
              <w:rPr>
                <w:rFonts w:ascii="Times New Roman" w:eastAsia="Times New Roman" w:hAnsi="Times New Roman" w:cs="Times New Roman"/>
                <w:b/>
                <w:bCs/>
                <w:color w:val="000000"/>
                <w:sz w:val="20"/>
                <w:szCs w:val="20"/>
                <w:lang w:val="en-GB"/>
              </w:rPr>
              <w:t>(</w:t>
            </w:r>
            <w:r w:rsidRPr="009B5D82">
              <w:rPr>
                <w:rFonts w:ascii="Times New Roman" w:eastAsia="Times New Roman" w:hAnsi="Times New Roman" w:cs="Times New Roman"/>
                <w:b/>
                <w:bCs/>
                <w:color w:val="000000"/>
                <w:sz w:val="20"/>
                <w:szCs w:val="20"/>
                <w:lang w:val="en-GB"/>
              </w:rPr>
              <w:t>0.027</w:t>
            </w:r>
            <w:r w:rsidRPr="001660DF">
              <w:rPr>
                <w:rFonts w:ascii="Times New Roman" w:eastAsia="Times New Roman" w:hAnsi="Times New Roman" w:cs="Times New Roman"/>
                <w:b/>
                <w:bCs/>
                <w:color w:val="000000"/>
                <w:sz w:val="20"/>
                <w:szCs w:val="20"/>
                <w:lang w:val="en-GB"/>
              </w:rPr>
              <w:t>)</w:t>
            </w:r>
          </w:p>
        </w:tc>
      </w:tr>
      <w:tr w:rsidR="00843301" w:rsidRPr="009B5D82" w14:paraId="01F3BEFF" w14:textId="77777777" w:rsidTr="00843301">
        <w:trPr>
          <w:trHeight w:val="260"/>
        </w:trPr>
        <w:tc>
          <w:tcPr>
            <w:tcW w:w="1290" w:type="pct"/>
            <w:gridSpan w:val="2"/>
            <w:tcBorders>
              <w:top w:val="nil"/>
              <w:left w:val="nil"/>
              <w:bottom w:val="nil"/>
              <w:right w:val="nil"/>
            </w:tcBorders>
            <w:noWrap/>
            <w:vAlign w:val="bottom"/>
            <w:hideMark/>
          </w:tcPr>
          <w:p w14:paraId="33385272"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Log(ME)</w:t>
            </w:r>
          </w:p>
        </w:tc>
        <w:tc>
          <w:tcPr>
            <w:tcW w:w="1233" w:type="pct"/>
            <w:tcBorders>
              <w:top w:val="nil"/>
              <w:left w:val="nil"/>
              <w:bottom w:val="nil"/>
              <w:right w:val="nil"/>
            </w:tcBorders>
            <w:vAlign w:val="bottom"/>
            <w:hideMark/>
          </w:tcPr>
          <w:p w14:paraId="12BFAC5E" w14:textId="43155962"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5E445A87"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7F51D8B6"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-0.017</w:t>
            </w:r>
          </w:p>
        </w:tc>
      </w:tr>
      <w:tr w:rsidR="00843301" w:rsidRPr="009B5D82" w14:paraId="11D31F67" w14:textId="77777777" w:rsidTr="00843301">
        <w:trPr>
          <w:trHeight w:val="260"/>
        </w:trPr>
        <w:tc>
          <w:tcPr>
            <w:tcW w:w="1290" w:type="pct"/>
            <w:gridSpan w:val="2"/>
            <w:tcBorders>
              <w:top w:val="nil"/>
              <w:left w:val="nil"/>
              <w:bottom w:val="nil"/>
              <w:right w:val="nil"/>
            </w:tcBorders>
            <w:noWrap/>
            <w:vAlign w:val="bottom"/>
            <w:hideMark/>
          </w:tcPr>
          <w:p w14:paraId="7EF3004B"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4B5F3E46"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1FE4EC1B"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2C429822" w14:textId="42FD1FCB"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0.256</w:t>
            </w:r>
            <w:r>
              <w:rPr>
                <w:rFonts w:ascii="Times New Roman" w:eastAsia="Times New Roman" w:hAnsi="Times New Roman" w:cs="Times New Roman"/>
                <w:color w:val="000000"/>
                <w:sz w:val="20"/>
                <w:szCs w:val="20"/>
                <w:lang w:val="en-GB"/>
              </w:rPr>
              <w:t>)</w:t>
            </w:r>
          </w:p>
        </w:tc>
      </w:tr>
      <w:tr w:rsidR="00843301" w:rsidRPr="009B5D82" w14:paraId="43E4C7BB" w14:textId="77777777" w:rsidTr="00843301">
        <w:trPr>
          <w:trHeight w:val="260"/>
        </w:trPr>
        <w:tc>
          <w:tcPr>
            <w:tcW w:w="1290" w:type="pct"/>
            <w:gridSpan w:val="2"/>
            <w:tcBorders>
              <w:top w:val="nil"/>
              <w:left w:val="nil"/>
              <w:bottom w:val="nil"/>
              <w:right w:val="nil"/>
            </w:tcBorders>
            <w:noWrap/>
            <w:vAlign w:val="bottom"/>
            <w:hideMark/>
          </w:tcPr>
          <w:p w14:paraId="6B687E18"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Log(Age)</w:t>
            </w:r>
          </w:p>
        </w:tc>
        <w:tc>
          <w:tcPr>
            <w:tcW w:w="1233" w:type="pct"/>
            <w:tcBorders>
              <w:top w:val="nil"/>
              <w:left w:val="nil"/>
              <w:bottom w:val="nil"/>
              <w:right w:val="nil"/>
            </w:tcBorders>
            <w:vAlign w:val="bottom"/>
            <w:hideMark/>
          </w:tcPr>
          <w:p w14:paraId="22BA4A18" w14:textId="2512D65A"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5FB9396F"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5FDD326F"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0.013</w:t>
            </w:r>
          </w:p>
        </w:tc>
      </w:tr>
      <w:tr w:rsidR="00843301" w:rsidRPr="009B5D82" w14:paraId="6F91B80C" w14:textId="77777777" w:rsidTr="00843301">
        <w:trPr>
          <w:trHeight w:val="260"/>
        </w:trPr>
        <w:tc>
          <w:tcPr>
            <w:tcW w:w="1290" w:type="pct"/>
            <w:gridSpan w:val="2"/>
            <w:tcBorders>
              <w:top w:val="nil"/>
              <w:left w:val="nil"/>
              <w:bottom w:val="nil"/>
              <w:right w:val="nil"/>
            </w:tcBorders>
            <w:noWrap/>
            <w:vAlign w:val="bottom"/>
            <w:hideMark/>
          </w:tcPr>
          <w:p w14:paraId="3ACF30FE"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399754DE" w14:textId="77777777" w:rsidR="00843301" w:rsidRPr="009B5D82" w:rsidRDefault="00843301" w:rsidP="00843301">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7D9FA542"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7093C24B" w14:textId="3D5F454B"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0.652</w:t>
            </w:r>
            <w:r>
              <w:rPr>
                <w:rFonts w:ascii="Times New Roman" w:eastAsia="Times New Roman" w:hAnsi="Times New Roman" w:cs="Times New Roman"/>
                <w:color w:val="000000"/>
                <w:sz w:val="20"/>
                <w:szCs w:val="20"/>
                <w:lang w:val="en-GB"/>
              </w:rPr>
              <w:t>)</w:t>
            </w:r>
          </w:p>
        </w:tc>
      </w:tr>
      <w:tr w:rsidR="00843301" w:rsidRPr="009B5D82" w14:paraId="6D93CDA1" w14:textId="77777777" w:rsidTr="00843301">
        <w:trPr>
          <w:trHeight w:val="260"/>
        </w:trPr>
        <w:tc>
          <w:tcPr>
            <w:tcW w:w="1261" w:type="pct"/>
            <w:tcBorders>
              <w:top w:val="nil"/>
              <w:left w:val="nil"/>
              <w:bottom w:val="nil"/>
              <w:right w:val="nil"/>
            </w:tcBorders>
            <w:noWrap/>
            <w:vAlign w:val="bottom"/>
            <w:hideMark/>
          </w:tcPr>
          <w:p w14:paraId="22FD5117"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Log(σ</w:t>
            </w:r>
            <w:r w:rsidRPr="009B5D82">
              <w:rPr>
                <w:rFonts w:ascii="Times New Roman" w:eastAsia="Times New Roman" w:hAnsi="Times New Roman" w:cs="Times New Roman"/>
                <w:color w:val="000000"/>
                <w:sz w:val="20"/>
                <w:szCs w:val="20"/>
                <w:vertAlign w:val="superscript"/>
                <w:lang w:val="en-GB"/>
              </w:rPr>
              <w:t xml:space="preserve"> </w:t>
            </w:r>
            <w:r w:rsidRPr="009B5D82">
              <w:rPr>
                <w:rFonts w:ascii="Times New Roman" w:eastAsia="Times New Roman" w:hAnsi="Times New Roman" w:cs="Times New Roman"/>
                <w:color w:val="000000"/>
                <w:sz w:val="20"/>
                <w:szCs w:val="20"/>
                <w:lang w:val="en-GB"/>
              </w:rPr>
              <w:t>(Returns)</w:t>
            </w:r>
            <w:r w:rsidRPr="009B5D82">
              <w:rPr>
                <w:rFonts w:ascii="Times New Roman" w:eastAsia="Times New Roman" w:hAnsi="Times New Roman" w:cs="Times New Roman"/>
                <w:color w:val="000000"/>
                <w:sz w:val="20"/>
                <w:szCs w:val="20"/>
                <w:vertAlign w:val="superscript"/>
                <w:lang w:val="en-GB"/>
              </w:rPr>
              <w:t>PRE</w:t>
            </w:r>
            <w:r w:rsidRPr="009B5D82">
              <w:rPr>
                <w:rFonts w:ascii="Times New Roman" w:eastAsia="Times New Roman" w:hAnsi="Times New Roman" w:cs="Times New Roman"/>
                <w:color w:val="000000"/>
                <w:sz w:val="20"/>
                <w:szCs w:val="20"/>
                <w:lang w:val="en-GB"/>
              </w:rPr>
              <w:t>)</w:t>
            </w:r>
          </w:p>
        </w:tc>
        <w:tc>
          <w:tcPr>
            <w:tcW w:w="1262" w:type="pct"/>
            <w:gridSpan w:val="2"/>
            <w:tcBorders>
              <w:top w:val="nil"/>
              <w:left w:val="nil"/>
              <w:bottom w:val="nil"/>
              <w:right w:val="nil"/>
            </w:tcBorders>
            <w:vAlign w:val="bottom"/>
          </w:tcPr>
          <w:p w14:paraId="444E877D" w14:textId="61D8A5B8"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 xml:space="preserve"> </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13B0AC3E"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p>
        </w:tc>
        <w:tc>
          <w:tcPr>
            <w:tcW w:w="1238" w:type="pct"/>
            <w:tcBorders>
              <w:top w:val="nil"/>
              <w:left w:val="nil"/>
              <w:bottom w:val="nil"/>
              <w:right w:val="nil"/>
            </w:tcBorders>
            <w:noWrap/>
            <w:vAlign w:val="bottom"/>
            <w:hideMark/>
          </w:tcPr>
          <w:p w14:paraId="7BCC743A"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0.248***</w:t>
            </w:r>
          </w:p>
        </w:tc>
      </w:tr>
      <w:tr w:rsidR="00843301" w:rsidRPr="009B5D82" w14:paraId="4C9A4DEC" w14:textId="77777777" w:rsidTr="00843301">
        <w:trPr>
          <w:trHeight w:val="260"/>
        </w:trPr>
        <w:tc>
          <w:tcPr>
            <w:tcW w:w="1290" w:type="pct"/>
            <w:gridSpan w:val="2"/>
            <w:tcBorders>
              <w:top w:val="nil"/>
              <w:left w:val="nil"/>
              <w:bottom w:val="nil"/>
              <w:right w:val="nil"/>
            </w:tcBorders>
            <w:noWrap/>
            <w:vAlign w:val="bottom"/>
            <w:hideMark/>
          </w:tcPr>
          <w:p w14:paraId="5A447D5E"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108A5DF0" w14:textId="77777777" w:rsidR="00843301" w:rsidRPr="009B5D82" w:rsidRDefault="00843301" w:rsidP="00843301">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27426B0C"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3A11814E" w14:textId="045204F1"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0</w:t>
            </w:r>
            <w:r>
              <w:rPr>
                <w:rFonts w:ascii="Times New Roman" w:eastAsia="Times New Roman" w:hAnsi="Times New Roman" w:cs="Times New Roman"/>
                <w:color w:val="000000"/>
                <w:sz w:val="20"/>
                <w:szCs w:val="20"/>
                <w:lang w:val="en-GB"/>
              </w:rPr>
              <w:t>.000)</w:t>
            </w:r>
          </w:p>
        </w:tc>
      </w:tr>
      <w:tr w:rsidR="00843301" w:rsidRPr="009B5D82" w14:paraId="444A2216" w14:textId="77777777" w:rsidTr="00843301">
        <w:trPr>
          <w:trHeight w:val="260"/>
        </w:trPr>
        <w:tc>
          <w:tcPr>
            <w:tcW w:w="1261" w:type="pct"/>
            <w:tcBorders>
              <w:top w:val="nil"/>
              <w:left w:val="nil"/>
              <w:bottom w:val="nil"/>
              <w:right w:val="nil"/>
            </w:tcBorders>
            <w:noWrap/>
            <w:vAlign w:val="bottom"/>
            <w:hideMark/>
          </w:tcPr>
          <w:p w14:paraId="4D0FADB4"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Intan/Assets</w:t>
            </w:r>
          </w:p>
        </w:tc>
        <w:tc>
          <w:tcPr>
            <w:tcW w:w="1262" w:type="pct"/>
            <w:gridSpan w:val="2"/>
            <w:tcBorders>
              <w:top w:val="nil"/>
              <w:left w:val="nil"/>
              <w:bottom w:val="nil"/>
              <w:right w:val="nil"/>
            </w:tcBorders>
            <w:vAlign w:val="bottom"/>
          </w:tcPr>
          <w:p w14:paraId="56AC469A" w14:textId="4F5A8099"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 xml:space="preserve"> </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2A1D630E"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p>
        </w:tc>
        <w:tc>
          <w:tcPr>
            <w:tcW w:w="1238" w:type="pct"/>
            <w:tcBorders>
              <w:top w:val="nil"/>
              <w:left w:val="nil"/>
              <w:bottom w:val="nil"/>
              <w:right w:val="nil"/>
            </w:tcBorders>
            <w:noWrap/>
            <w:vAlign w:val="bottom"/>
            <w:hideMark/>
          </w:tcPr>
          <w:p w14:paraId="446DD326"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0.167*</w:t>
            </w:r>
          </w:p>
        </w:tc>
      </w:tr>
      <w:tr w:rsidR="00843301" w:rsidRPr="009B5D82" w14:paraId="641C416F" w14:textId="77777777" w:rsidTr="00843301">
        <w:trPr>
          <w:trHeight w:val="260"/>
        </w:trPr>
        <w:tc>
          <w:tcPr>
            <w:tcW w:w="1290" w:type="pct"/>
            <w:gridSpan w:val="2"/>
            <w:tcBorders>
              <w:top w:val="nil"/>
              <w:left w:val="nil"/>
              <w:bottom w:val="nil"/>
              <w:right w:val="nil"/>
            </w:tcBorders>
            <w:noWrap/>
            <w:vAlign w:val="bottom"/>
            <w:hideMark/>
          </w:tcPr>
          <w:p w14:paraId="6B0A7231"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0ACBB797" w14:textId="77777777" w:rsidR="00843301" w:rsidRPr="009B5D82" w:rsidRDefault="00843301" w:rsidP="00843301">
            <w:pPr>
              <w:spacing w:after="0" w:line="240" w:lineRule="auto"/>
              <w:jc w:val="center"/>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444EE403"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218E1DDC" w14:textId="353DE101"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0.086</w:t>
            </w:r>
            <w:r>
              <w:rPr>
                <w:rFonts w:ascii="Times New Roman" w:eastAsia="Times New Roman" w:hAnsi="Times New Roman" w:cs="Times New Roman"/>
                <w:color w:val="000000"/>
                <w:sz w:val="20"/>
                <w:szCs w:val="20"/>
                <w:lang w:val="en-GB"/>
              </w:rPr>
              <w:t>)</w:t>
            </w:r>
          </w:p>
        </w:tc>
      </w:tr>
      <w:tr w:rsidR="00843301" w:rsidRPr="009B5D82" w14:paraId="7AC8D927" w14:textId="77777777" w:rsidTr="00843301">
        <w:trPr>
          <w:trHeight w:val="260"/>
        </w:trPr>
        <w:tc>
          <w:tcPr>
            <w:tcW w:w="1290" w:type="pct"/>
            <w:gridSpan w:val="2"/>
            <w:tcBorders>
              <w:top w:val="nil"/>
              <w:left w:val="nil"/>
              <w:bottom w:val="nil"/>
              <w:right w:val="nil"/>
            </w:tcBorders>
            <w:noWrap/>
            <w:vAlign w:val="bottom"/>
            <w:hideMark/>
          </w:tcPr>
          <w:p w14:paraId="2B07283A"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I</w:t>
            </w:r>
            <w:r w:rsidRPr="009B5D82">
              <w:rPr>
                <w:rFonts w:ascii="Times New Roman" w:eastAsia="Times New Roman" w:hAnsi="Times New Roman" w:cs="Times New Roman"/>
                <w:color w:val="000000"/>
                <w:sz w:val="20"/>
                <w:szCs w:val="20"/>
                <w:vertAlign w:val="subscript"/>
                <w:lang w:val="en-GB"/>
              </w:rPr>
              <w:t>EARN&lt;0</w:t>
            </w:r>
          </w:p>
        </w:tc>
        <w:tc>
          <w:tcPr>
            <w:tcW w:w="1233" w:type="pct"/>
            <w:tcBorders>
              <w:top w:val="nil"/>
              <w:left w:val="nil"/>
              <w:bottom w:val="nil"/>
              <w:right w:val="nil"/>
            </w:tcBorders>
            <w:vAlign w:val="bottom"/>
            <w:hideMark/>
          </w:tcPr>
          <w:p w14:paraId="4C9EF7EF" w14:textId="0C4505E9"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327B7">
              <w:rPr>
                <w:rFonts w:ascii="Times New Roman" w:eastAsia="Times New Roman" w:hAnsi="Times New Roman" w:cs="Times New Roman"/>
                <w:color w:val="000000"/>
                <w:sz w:val="20"/>
                <w:szCs w:val="20"/>
                <w:lang w:val="en-GB"/>
              </w:rPr>
              <w:t>(</w:t>
            </w:r>
            <w:r>
              <w:rPr>
                <w:rFonts w:ascii="Times New Roman" w:eastAsia="Times New Roman" w:hAnsi="Times New Roman" w:cs="Times New Roman"/>
                <w:color w:val="000000"/>
                <w:sz w:val="20"/>
                <w:szCs w:val="20"/>
                <w:lang w:val="en-GB"/>
              </w:rPr>
              <w:t>–</w:t>
            </w:r>
            <w:r w:rsidRPr="009327B7">
              <w:rPr>
                <w:rFonts w:ascii="Times New Roman" w:eastAsia="Times New Roman" w:hAnsi="Times New Roman" w:cs="Times New Roman"/>
                <w:color w:val="000000"/>
                <w:sz w:val="20"/>
                <w:szCs w:val="20"/>
                <w:lang w:val="en-GB"/>
              </w:rPr>
              <w:t>)</w:t>
            </w:r>
          </w:p>
        </w:tc>
        <w:tc>
          <w:tcPr>
            <w:tcW w:w="1239" w:type="pct"/>
            <w:tcBorders>
              <w:top w:val="nil"/>
              <w:left w:val="nil"/>
              <w:bottom w:val="nil"/>
              <w:right w:val="nil"/>
            </w:tcBorders>
            <w:noWrap/>
            <w:vAlign w:val="bottom"/>
            <w:hideMark/>
          </w:tcPr>
          <w:p w14:paraId="099A74E1"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0582822E"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0.037</w:t>
            </w:r>
          </w:p>
        </w:tc>
      </w:tr>
      <w:tr w:rsidR="00843301" w:rsidRPr="009B5D82" w14:paraId="60B469F1" w14:textId="77777777" w:rsidTr="00843301">
        <w:trPr>
          <w:trHeight w:val="260"/>
        </w:trPr>
        <w:tc>
          <w:tcPr>
            <w:tcW w:w="1290" w:type="pct"/>
            <w:gridSpan w:val="2"/>
            <w:tcBorders>
              <w:top w:val="nil"/>
              <w:left w:val="nil"/>
              <w:bottom w:val="nil"/>
              <w:right w:val="nil"/>
            </w:tcBorders>
            <w:noWrap/>
            <w:vAlign w:val="bottom"/>
            <w:hideMark/>
          </w:tcPr>
          <w:p w14:paraId="063FA116"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52137C78"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509AD944"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5F8DDF17" w14:textId="7CBFA2C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0.411</w:t>
            </w:r>
            <w:r>
              <w:rPr>
                <w:rFonts w:ascii="Times New Roman" w:eastAsia="Times New Roman" w:hAnsi="Times New Roman" w:cs="Times New Roman"/>
                <w:color w:val="000000"/>
                <w:sz w:val="20"/>
                <w:szCs w:val="20"/>
                <w:lang w:val="en-GB"/>
              </w:rPr>
              <w:t>)</w:t>
            </w:r>
          </w:p>
        </w:tc>
      </w:tr>
      <w:tr w:rsidR="00843301" w:rsidRPr="009B5D82" w14:paraId="4B094BE5" w14:textId="77777777" w:rsidTr="00843301">
        <w:trPr>
          <w:trHeight w:val="260"/>
        </w:trPr>
        <w:tc>
          <w:tcPr>
            <w:tcW w:w="1290" w:type="pct"/>
            <w:gridSpan w:val="2"/>
            <w:tcBorders>
              <w:top w:val="nil"/>
              <w:left w:val="nil"/>
              <w:bottom w:val="nil"/>
              <w:right w:val="nil"/>
            </w:tcBorders>
            <w:noWrap/>
            <w:vAlign w:val="bottom"/>
            <w:hideMark/>
          </w:tcPr>
          <w:p w14:paraId="045134AC"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I</w:t>
            </w:r>
            <w:r w:rsidRPr="009B5D82">
              <w:rPr>
                <w:rFonts w:ascii="Times New Roman" w:eastAsia="Times New Roman" w:hAnsi="Times New Roman" w:cs="Times New Roman"/>
                <w:color w:val="000000"/>
                <w:sz w:val="20"/>
                <w:szCs w:val="20"/>
                <w:vertAlign w:val="subscript"/>
                <w:lang w:val="en-GB"/>
              </w:rPr>
              <w:t>DIV&gt;0</w:t>
            </w:r>
          </w:p>
        </w:tc>
        <w:tc>
          <w:tcPr>
            <w:tcW w:w="1233" w:type="pct"/>
            <w:tcBorders>
              <w:top w:val="nil"/>
              <w:left w:val="nil"/>
              <w:bottom w:val="nil"/>
              <w:right w:val="nil"/>
            </w:tcBorders>
            <w:vAlign w:val="bottom"/>
            <w:hideMark/>
          </w:tcPr>
          <w:p w14:paraId="3A5E5019"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p>
        </w:tc>
        <w:tc>
          <w:tcPr>
            <w:tcW w:w="1239" w:type="pct"/>
            <w:tcBorders>
              <w:top w:val="nil"/>
              <w:left w:val="nil"/>
              <w:bottom w:val="nil"/>
              <w:right w:val="nil"/>
            </w:tcBorders>
            <w:noWrap/>
            <w:vAlign w:val="bottom"/>
            <w:hideMark/>
          </w:tcPr>
          <w:p w14:paraId="4F33AFF7"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0CF26B41"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-0.034</w:t>
            </w:r>
          </w:p>
        </w:tc>
      </w:tr>
      <w:tr w:rsidR="00843301" w:rsidRPr="009B5D82" w14:paraId="1C0F5B9D" w14:textId="77777777" w:rsidTr="00843301">
        <w:trPr>
          <w:trHeight w:val="260"/>
        </w:trPr>
        <w:tc>
          <w:tcPr>
            <w:tcW w:w="1290" w:type="pct"/>
            <w:gridSpan w:val="2"/>
            <w:tcBorders>
              <w:top w:val="nil"/>
              <w:left w:val="nil"/>
              <w:bottom w:val="nil"/>
              <w:right w:val="nil"/>
            </w:tcBorders>
            <w:noWrap/>
            <w:vAlign w:val="bottom"/>
            <w:hideMark/>
          </w:tcPr>
          <w:p w14:paraId="3EB15B45"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p>
        </w:tc>
        <w:tc>
          <w:tcPr>
            <w:tcW w:w="1233" w:type="pct"/>
            <w:tcBorders>
              <w:top w:val="nil"/>
              <w:left w:val="nil"/>
              <w:bottom w:val="nil"/>
              <w:right w:val="nil"/>
            </w:tcBorders>
            <w:vAlign w:val="bottom"/>
            <w:hideMark/>
          </w:tcPr>
          <w:p w14:paraId="3507400E"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9" w:type="pct"/>
            <w:tcBorders>
              <w:top w:val="nil"/>
              <w:left w:val="nil"/>
              <w:bottom w:val="nil"/>
              <w:right w:val="nil"/>
            </w:tcBorders>
            <w:noWrap/>
            <w:vAlign w:val="bottom"/>
            <w:hideMark/>
          </w:tcPr>
          <w:p w14:paraId="723138B1" w14:textId="77777777" w:rsidR="00843301" w:rsidRPr="009B5D82" w:rsidRDefault="00843301" w:rsidP="00843301">
            <w:pPr>
              <w:spacing w:after="0" w:line="240" w:lineRule="auto"/>
              <w:rPr>
                <w:rFonts w:ascii="Times New Roman" w:eastAsia="Times New Roman" w:hAnsi="Times New Roman" w:cs="Times New Roman"/>
                <w:sz w:val="20"/>
                <w:szCs w:val="20"/>
                <w:lang w:val="en-US"/>
              </w:rPr>
            </w:pPr>
          </w:p>
        </w:tc>
        <w:tc>
          <w:tcPr>
            <w:tcW w:w="1238" w:type="pct"/>
            <w:tcBorders>
              <w:top w:val="nil"/>
              <w:left w:val="nil"/>
              <w:bottom w:val="nil"/>
              <w:right w:val="nil"/>
            </w:tcBorders>
            <w:noWrap/>
            <w:vAlign w:val="bottom"/>
            <w:hideMark/>
          </w:tcPr>
          <w:p w14:paraId="6558D5CF" w14:textId="4B2A36CB"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GB"/>
              </w:rPr>
              <w:t>(</w:t>
            </w:r>
            <w:r w:rsidRPr="009B5D82">
              <w:rPr>
                <w:rFonts w:ascii="Times New Roman" w:eastAsia="Times New Roman" w:hAnsi="Times New Roman" w:cs="Times New Roman"/>
                <w:color w:val="000000"/>
                <w:sz w:val="20"/>
                <w:szCs w:val="20"/>
                <w:lang w:val="en-GB"/>
              </w:rPr>
              <w:t>0.555</w:t>
            </w:r>
            <w:r>
              <w:rPr>
                <w:rFonts w:ascii="Times New Roman" w:eastAsia="Times New Roman" w:hAnsi="Times New Roman" w:cs="Times New Roman"/>
                <w:color w:val="000000"/>
                <w:sz w:val="20"/>
                <w:szCs w:val="20"/>
                <w:lang w:val="en-GB"/>
              </w:rPr>
              <w:t>)</w:t>
            </w:r>
          </w:p>
        </w:tc>
      </w:tr>
      <w:tr w:rsidR="00843301" w:rsidRPr="009B5D82" w14:paraId="2E4DC3D6" w14:textId="77777777" w:rsidTr="00BA64C6">
        <w:trPr>
          <w:trHeight w:val="359"/>
        </w:trPr>
        <w:tc>
          <w:tcPr>
            <w:tcW w:w="1290" w:type="pct"/>
            <w:gridSpan w:val="2"/>
            <w:tcBorders>
              <w:top w:val="nil"/>
              <w:left w:val="nil"/>
              <w:right w:val="nil"/>
            </w:tcBorders>
            <w:noWrap/>
            <w:vAlign w:val="bottom"/>
            <w:hideMark/>
          </w:tcPr>
          <w:p w14:paraId="143A61B7"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Adj. R2</w:t>
            </w:r>
          </w:p>
        </w:tc>
        <w:tc>
          <w:tcPr>
            <w:tcW w:w="1233" w:type="pct"/>
            <w:tcBorders>
              <w:top w:val="nil"/>
              <w:left w:val="nil"/>
              <w:right w:val="nil"/>
            </w:tcBorders>
            <w:vAlign w:val="bottom"/>
            <w:hideMark/>
          </w:tcPr>
          <w:p w14:paraId="1EC36E7E"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p>
        </w:tc>
        <w:tc>
          <w:tcPr>
            <w:tcW w:w="1239" w:type="pct"/>
            <w:tcBorders>
              <w:top w:val="nil"/>
              <w:left w:val="nil"/>
              <w:right w:val="nil"/>
            </w:tcBorders>
            <w:noWrap/>
            <w:vAlign w:val="bottom"/>
            <w:hideMark/>
          </w:tcPr>
          <w:p w14:paraId="4A72966A"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0.085</w:t>
            </w:r>
          </w:p>
        </w:tc>
        <w:tc>
          <w:tcPr>
            <w:tcW w:w="1238" w:type="pct"/>
            <w:tcBorders>
              <w:top w:val="nil"/>
              <w:left w:val="nil"/>
              <w:right w:val="nil"/>
            </w:tcBorders>
            <w:noWrap/>
            <w:vAlign w:val="bottom"/>
            <w:hideMark/>
          </w:tcPr>
          <w:p w14:paraId="290134A7"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0.114</w:t>
            </w:r>
          </w:p>
        </w:tc>
      </w:tr>
      <w:tr w:rsidR="00843301" w:rsidRPr="009B5D82" w14:paraId="5E6DFF59" w14:textId="77777777" w:rsidTr="00BA64C6">
        <w:trPr>
          <w:trHeight w:val="260"/>
        </w:trPr>
        <w:tc>
          <w:tcPr>
            <w:tcW w:w="1290" w:type="pct"/>
            <w:gridSpan w:val="2"/>
            <w:tcBorders>
              <w:top w:val="nil"/>
              <w:left w:val="nil"/>
              <w:bottom w:val="single" w:sz="4" w:space="0" w:color="auto"/>
              <w:right w:val="nil"/>
            </w:tcBorders>
            <w:noWrap/>
            <w:vAlign w:val="bottom"/>
            <w:hideMark/>
          </w:tcPr>
          <w:p w14:paraId="785EA20F" w14:textId="77777777" w:rsidR="00843301" w:rsidRPr="009B5D82" w:rsidRDefault="00843301" w:rsidP="00843301">
            <w:pPr>
              <w:spacing w:after="0" w:line="240" w:lineRule="auto"/>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N</w:t>
            </w:r>
          </w:p>
        </w:tc>
        <w:tc>
          <w:tcPr>
            <w:tcW w:w="1233" w:type="pct"/>
            <w:tcBorders>
              <w:top w:val="nil"/>
              <w:left w:val="nil"/>
              <w:bottom w:val="single" w:sz="4" w:space="0" w:color="auto"/>
              <w:right w:val="nil"/>
            </w:tcBorders>
            <w:vAlign w:val="bottom"/>
            <w:hideMark/>
          </w:tcPr>
          <w:p w14:paraId="617C17ED"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 </w:t>
            </w:r>
          </w:p>
        </w:tc>
        <w:tc>
          <w:tcPr>
            <w:tcW w:w="1239" w:type="pct"/>
            <w:tcBorders>
              <w:top w:val="nil"/>
              <w:left w:val="nil"/>
              <w:bottom w:val="single" w:sz="4" w:space="0" w:color="auto"/>
              <w:right w:val="nil"/>
            </w:tcBorders>
            <w:noWrap/>
            <w:vAlign w:val="bottom"/>
            <w:hideMark/>
          </w:tcPr>
          <w:p w14:paraId="70AED050"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1,224</w:t>
            </w:r>
          </w:p>
        </w:tc>
        <w:tc>
          <w:tcPr>
            <w:tcW w:w="1238" w:type="pct"/>
            <w:tcBorders>
              <w:top w:val="nil"/>
              <w:left w:val="nil"/>
              <w:bottom w:val="single" w:sz="4" w:space="0" w:color="auto"/>
              <w:right w:val="nil"/>
            </w:tcBorders>
            <w:noWrap/>
            <w:vAlign w:val="bottom"/>
            <w:hideMark/>
          </w:tcPr>
          <w:p w14:paraId="7D7A7882" w14:textId="77777777" w:rsidR="00843301" w:rsidRPr="009B5D82" w:rsidRDefault="00843301" w:rsidP="00843301">
            <w:pPr>
              <w:spacing w:after="0" w:line="240" w:lineRule="auto"/>
              <w:jc w:val="center"/>
              <w:rPr>
                <w:rFonts w:ascii="Times New Roman" w:eastAsia="Times New Roman" w:hAnsi="Times New Roman" w:cs="Times New Roman"/>
                <w:color w:val="000000"/>
                <w:sz w:val="20"/>
                <w:szCs w:val="20"/>
                <w:lang w:val="en-US"/>
              </w:rPr>
            </w:pPr>
            <w:r w:rsidRPr="009B5D82">
              <w:rPr>
                <w:rFonts w:ascii="Times New Roman" w:eastAsia="Times New Roman" w:hAnsi="Times New Roman" w:cs="Times New Roman"/>
                <w:color w:val="000000"/>
                <w:sz w:val="20"/>
                <w:szCs w:val="20"/>
                <w:lang w:val="en-GB"/>
              </w:rPr>
              <w:t>1,207</w:t>
            </w:r>
          </w:p>
        </w:tc>
      </w:tr>
    </w:tbl>
    <w:p w14:paraId="486CB7C1" w14:textId="1B7932EB" w:rsidR="00A017E0" w:rsidRPr="00EE77CA" w:rsidRDefault="007A7864" w:rsidP="00EE77CA">
      <w:pPr>
        <w:spacing w:after="0"/>
        <w:jc w:val="center"/>
        <w:rPr>
          <w:rFonts w:ascii="Times New Roman" w:hAnsi="Times New Roman" w:cs="Times New Roman"/>
          <w:b/>
          <w:sz w:val="20"/>
          <w:szCs w:val="20"/>
        </w:rPr>
      </w:pPr>
      <w:r w:rsidRPr="00EE77CA">
        <w:rPr>
          <w:rFonts w:ascii="Times New Roman" w:hAnsi="Times New Roman" w:cs="Times New Roman"/>
          <w:b/>
          <w:sz w:val="20"/>
          <w:szCs w:val="20"/>
        </w:rPr>
        <w:lastRenderedPageBreak/>
        <w:t>T</w:t>
      </w:r>
      <w:r w:rsidR="00EE77CA" w:rsidRPr="00EE77CA">
        <w:rPr>
          <w:rFonts w:ascii="Times New Roman" w:hAnsi="Times New Roman" w:cs="Times New Roman"/>
          <w:b/>
          <w:sz w:val="20"/>
          <w:szCs w:val="20"/>
        </w:rPr>
        <w:t>ABLE</w:t>
      </w:r>
      <w:r w:rsidR="00A017E0" w:rsidRPr="00EE77CA">
        <w:rPr>
          <w:rFonts w:ascii="Times New Roman" w:hAnsi="Times New Roman" w:cs="Times New Roman"/>
          <w:b/>
          <w:sz w:val="20"/>
          <w:szCs w:val="20"/>
        </w:rPr>
        <w:t xml:space="preserve"> </w:t>
      </w:r>
      <w:r w:rsidR="00031898">
        <w:rPr>
          <w:rFonts w:ascii="Times New Roman" w:hAnsi="Times New Roman" w:cs="Times New Roman"/>
          <w:b/>
          <w:sz w:val="20"/>
          <w:szCs w:val="20"/>
        </w:rPr>
        <w:t>6</w:t>
      </w:r>
    </w:p>
    <w:p w14:paraId="0DD23B90" w14:textId="2FA09667" w:rsidR="00A017E0" w:rsidRPr="00EE77CA" w:rsidRDefault="00A017E0" w:rsidP="00EE77CA">
      <w:pPr>
        <w:jc w:val="center"/>
        <w:rPr>
          <w:rFonts w:ascii="Times New Roman" w:hAnsi="Times New Roman" w:cs="Times New Roman"/>
          <w:b/>
          <w:sz w:val="20"/>
          <w:szCs w:val="20"/>
        </w:rPr>
      </w:pPr>
      <w:r w:rsidRPr="00EE77CA">
        <w:rPr>
          <w:rFonts w:ascii="Times New Roman" w:hAnsi="Times New Roman" w:cs="Times New Roman"/>
          <w:b/>
          <w:sz w:val="20"/>
          <w:szCs w:val="20"/>
        </w:rPr>
        <w:t>Price-to-</w:t>
      </w:r>
      <w:r w:rsidR="00EE77CA">
        <w:rPr>
          <w:rFonts w:ascii="Times New Roman" w:hAnsi="Times New Roman" w:cs="Times New Roman"/>
          <w:b/>
          <w:sz w:val="20"/>
          <w:szCs w:val="20"/>
        </w:rPr>
        <w:t>V</w:t>
      </w:r>
      <w:r w:rsidRPr="00EE77CA">
        <w:rPr>
          <w:rFonts w:ascii="Times New Roman" w:hAnsi="Times New Roman" w:cs="Times New Roman"/>
          <w:b/>
          <w:sz w:val="20"/>
          <w:szCs w:val="20"/>
        </w:rPr>
        <w:t xml:space="preserve">alue </w:t>
      </w:r>
      <w:r w:rsidR="00EE77CA">
        <w:rPr>
          <w:rFonts w:ascii="Times New Roman" w:hAnsi="Times New Roman" w:cs="Times New Roman"/>
          <w:b/>
          <w:sz w:val="20"/>
          <w:szCs w:val="20"/>
        </w:rPr>
        <w:t>S</w:t>
      </w:r>
      <w:r w:rsidRPr="00EE77CA">
        <w:rPr>
          <w:rFonts w:ascii="Times New Roman" w:hAnsi="Times New Roman" w:cs="Times New Roman"/>
          <w:b/>
          <w:sz w:val="20"/>
          <w:szCs w:val="20"/>
        </w:rPr>
        <w:t xml:space="preserve">orts </w:t>
      </w:r>
      <w:r w:rsidR="00EE77CA">
        <w:rPr>
          <w:rFonts w:ascii="Times New Roman" w:hAnsi="Times New Roman" w:cs="Times New Roman"/>
          <w:b/>
          <w:sz w:val="20"/>
          <w:szCs w:val="20"/>
        </w:rPr>
        <w:t>C</w:t>
      </w:r>
      <w:r w:rsidRPr="00EE77CA">
        <w:rPr>
          <w:rFonts w:ascii="Times New Roman" w:hAnsi="Times New Roman" w:cs="Times New Roman"/>
          <w:b/>
          <w:sz w:val="20"/>
          <w:szCs w:val="20"/>
        </w:rPr>
        <w:t xml:space="preserve">onditional on </w:t>
      </w:r>
      <w:r w:rsidR="00EE77CA">
        <w:rPr>
          <w:rFonts w:ascii="Times New Roman" w:hAnsi="Times New Roman" w:cs="Times New Roman"/>
          <w:b/>
          <w:sz w:val="20"/>
          <w:szCs w:val="20"/>
        </w:rPr>
        <w:t>V</w:t>
      </w:r>
      <w:r w:rsidRPr="00EE77CA">
        <w:rPr>
          <w:rFonts w:ascii="Times New Roman" w:hAnsi="Times New Roman" w:cs="Times New Roman"/>
          <w:b/>
          <w:sz w:val="20"/>
          <w:szCs w:val="20"/>
        </w:rPr>
        <w:t xml:space="preserve">aluation </w:t>
      </w:r>
      <w:r w:rsidR="00EE77CA">
        <w:rPr>
          <w:rFonts w:ascii="Times New Roman" w:hAnsi="Times New Roman" w:cs="Times New Roman"/>
          <w:b/>
          <w:sz w:val="20"/>
          <w:szCs w:val="20"/>
        </w:rPr>
        <w:t>U</w:t>
      </w:r>
      <w:r w:rsidRPr="00EE77CA">
        <w:rPr>
          <w:rFonts w:ascii="Times New Roman" w:hAnsi="Times New Roman" w:cs="Times New Roman"/>
          <w:b/>
          <w:sz w:val="20"/>
          <w:szCs w:val="20"/>
        </w:rPr>
        <w:t>ncertainty</w:t>
      </w:r>
    </w:p>
    <w:p w14:paraId="5543AB9F" w14:textId="5CFA3A57" w:rsidR="00AD7066" w:rsidRPr="00270645" w:rsidRDefault="00AD7066" w:rsidP="00AD7066">
      <w:pPr>
        <w:spacing w:after="0"/>
        <w:jc w:val="both"/>
        <w:rPr>
          <w:rFonts w:ascii="Times New Roman" w:hAnsi="Times New Roman" w:cs="Times New Roman"/>
          <w:sz w:val="20"/>
          <w:szCs w:val="20"/>
        </w:rPr>
      </w:pPr>
      <w:r>
        <w:rPr>
          <w:rFonts w:ascii="Times New Roman" w:hAnsi="Times New Roman" w:cs="Times New Roman"/>
          <w:sz w:val="20"/>
          <w:szCs w:val="20"/>
        </w:rPr>
        <w:t xml:space="preserve">This table reports average monthly returns of portfolios formed on the basis of price-to-value, conditional on valuation uncertainty. </w:t>
      </w:r>
      <w:r w:rsidR="00FA4BA9">
        <w:rPr>
          <w:rFonts w:ascii="Times New Roman" w:hAnsi="Times New Roman" w:cs="Times New Roman"/>
          <w:sz w:val="20"/>
          <w:szCs w:val="20"/>
        </w:rPr>
        <w:t xml:space="preserve">Portfolio sorts are formed </w:t>
      </w:r>
      <w:r w:rsidR="00FA4BA9">
        <w:rPr>
          <w:rFonts w:ascii="Times New Roman" w:hAnsi="Times New Roman" w:cs="Times New Roman"/>
          <w:sz w:val="20"/>
          <w:szCs w:val="20"/>
          <w:lang w:val="en-US"/>
        </w:rPr>
        <w:t>sequentially</w:t>
      </w:r>
      <w:r w:rsidR="00FA4BA9">
        <w:rPr>
          <w:rFonts w:ascii="Times New Roman" w:hAnsi="Times New Roman" w:cs="Times New Roman"/>
          <w:sz w:val="20"/>
          <w:szCs w:val="20"/>
        </w:rPr>
        <w:t xml:space="preserve"> – first on valuation uncertainty and then on price-to-value – every June 30</w:t>
      </w:r>
      <w:r>
        <w:rPr>
          <w:rFonts w:ascii="Times New Roman" w:hAnsi="Times New Roman" w:cs="Times New Roman"/>
          <w:sz w:val="20"/>
          <w:szCs w:val="20"/>
        </w:rPr>
        <w:t xml:space="preserve">. The universe excludes </w:t>
      </w:r>
      <w:proofErr w:type="spellStart"/>
      <w:r>
        <w:rPr>
          <w:rFonts w:ascii="Times New Roman" w:hAnsi="Times New Roman" w:cs="Times New Roman"/>
          <w:sz w:val="20"/>
          <w:szCs w:val="20"/>
        </w:rPr>
        <w:t>megacaps</w:t>
      </w:r>
      <w:proofErr w:type="spellEnd"/>
      <w:r>
        <w:rPr>
          <w:rFonts w:ascii="Times New Roman" w:hAnsi="Times New Roman" w:cs="Times New Roman"/>
          <w:sz w:val="20"/>
          <w:szCs w:val="20"/>
        </w:rPr>
        <w:t>, defined as stocks with market capitalizations above the 75</w:t>
      </w:r>
      <w:r w:rsidRPr="00E14A14">
        <w:rPr>
          <w:rFonts w:ascii="Times New Roman" w:hAnsi="Times New Roman" w:cs="Times New Roman"/>
          <w:sz w:val="20"/>
          <w:szCs w:val="20"/>
          <w:vertAlign w:val="superscript"/>
        </w:rPr>
        <w:t>th</w:t>
      </w:r>
      <w:r>
        <w:rPr>
          <w:rFonts w:ascii="Times New Roman" w:hAnsi="Times New Roman" w:cs="Times New Roman"/>
          <w:sz w:val="20"/>
          <w:szCs w:val="20"/>
        </w:rPr>
        <w:t xml:space="preserve"> percentile of market capitalization of NYSE firms. The sample period runs from July 1975 to June 20</w:t>
      </w:r>
      <w:r w:rsidR="00511769">
        <w:rPr>
          <w:rFonts w:ascii="Times New Roman" w:hAnsi="Times New Roman" w:cs="Times New Roman"/>
          <w:sz w:val="20"/>
          <w:szCs w:val="20"/>
        </w:rPr>
        <w:t>23</w:t>
      </w:r>
      <w:r w:rsidR="00B4472F">
        <w:rPr>
          <w:rFonts w:ascii="Times New Roman" w:hAnsi="Times New Roman" w:cs="Times New Roman"/>
          <w:sz w:val="20"/>
          <w:szCs w:val="20"/>
        </w:rPr>
        <w:t xml:space="preserve"> (5</w:t>
      </w:r>
      <w:r w:rsidR="00511769">
        <w:rPr>
          <w:rFonts w:ascii="Times New Roman" w:hAnsi="Times New Roman" w:cs="Times New Roman"/>
          <w:sz w:val="20"/>
          <w:szCs w:val="20"/>
        </w:rPr>
        <w:t>76</w:t>
      </w:r>
      <w:r w:rsidR="00B4472F">
        <w:rPr>
          <w:rFonts w:ascii="Times New Roman" w:hAnsi="Times New Roman" w:cs="Times New Roman"/>
          <w:sz w:val="20"/>
          <w:szCs w:val="20"/>
        </w:rPr>
        <w:t xml:space="preserve"> months)</w:t>
      </w:r>
      <w:r>
        <w:rPr>
          <w:rFonts w:ascii="Times New Roman" w:hAnsi="Times New Roman" w:cs="Times New Roman"/>
          <w:sz w:val="20"/>
          <w:szCs w:val="20"/>
        </w:rPr>
        <w:t xml:space="preserve">. Portfolio returns are prior month gross return weighted (RW) in Panel A and value weighted (VW) in Panel B. </w:t>
      </w:r>
      <w:r w:rsidR="00E26F18" w:rsidRPr="0010756C">
        <w:rPr>
          <w:rFonts w:ascii="Times New Roman" w:hAnsi="Times New Roman" w:cs="Times New Roman"/>
          <w:i/>
          <w:sz w:val="20"/>
          <w:szCs w:val="20"/>
        </w:rPr>
        <w:t>p</w:t>
      </w:r>
      <w:r w:rsidR="00E26F18">
        <w:rPr>
          <w:rFonts w:ascii="Times New Roman" w:hAnsi="Times New Roman" w:cs="Times New Roman"/>
          <w:sz w:val="20"/>
          <w:szCs w:val="20"/>
        </w:rPr>
        <w:t xml:space="preserve">-values in parentheses correspond to Newey-West standard errors with 3 lags. </w:t>
      </w:r>
      <w:r w:rsidR="00CA5D9F">
        <w:rPr>
          <w:rFonts w:ascii="Times New Roman" w:hAnsi="Times New Roman" w:cs="Times New Roman"/>
          <w:sz w:val="20"/>
          <w:szCs w:val="20"/>
        </w:rPr>
        <w:t>Detailed variable definitions are provided in the</w:t>
      </w:r>
      <w:r w:rsidR="00E80BD4">
        <w:rPr>
          <w:rFonts w:ascii="Times New Roman" w:hAnsi="Times New Roman" w:cs="Times New Roman"/>
          <w:sz w:val="20"/>
          <w:szCs w:val="20"/>
        </w:rPr>
        <w:t xml:space="preserve"> </w:t>
      </w:r>
      <w:r w:rsidR="00CA5D9F">
        <w:rPr>
          <w:rFonts w:ascii="Times New Roman" w:hAnsi="Times New Roman" w:cs="Times New Roman"/>
          <w:sz w:val="20"/>
          <w:szCs w:val="20"/>
        </w:rPr>
        <w:t>Appendix.</w:t>
      </w:r>
      <w:r w:rsidR="007F0EC3">
        <w:rPr>
          <w:rFonts w:ascii="Times New Roman" w:hAnsi="Times New Roman" w:cs="Times New Roman"/>
          <w:sz w:val="20"/>
          <w:szCs w:val="20"/>
        </w:rPr>
        <w:t xml:space="preserve"> Symbols ***, **, and * indicate statistical significance at the 1%, 5%, and 10% levels, respectively.</w:t>
      </w:r>
    </w:p>
    <w:p w14:paraId="201BE854" w14:textId="77777777" w:rsidR="00FE0E6A" w:rsidRDefault="00FE0E6A" w:rsidP="00FE0E6A">
      <w:pPr>
        <w:spacing w:after="0" w:line="240" w:lineRule="auto"/>
        <w:jc w:val="both"/>
        <w:rPr>
          <w:rFonts w:ascii="Times New Roman" w:hAnsi="Times New Roman" w:cs="Times New Roman"/>
          <w:sz w:val="20"/>
          <w:szCs w:val="20"/>
        </w:rPr>
      </w:pPr>
    </w:p>
    <w:p w14:paraId="080A797E" w14:textId="77777777" w:rsidR="00534F4F" w:rsidRDefault="00534F4F" w:rsidP="00534F4F">
      <w:pPr>
        <w:spacing w:line="240" w:lineRule="auto"/>
        <w:jc w:val="both"/>
        <w:rPr>
          <w:rFonts w:ascii="Times New Roman" w:hAnsi="Times New Roman" w:cs="Times New Roman"/>
          <w:sz w:val="20"/>
          <w:szCs w:val="20"/>
        </w:rPr>
      </w:pPr>
      <w:r w:rsidRPr="0029009B">
        <w:rPr>
          <w:rFonts w:ascii="Times New Roman" w:hAnsi="Times New Roman" w:cs="Times New Roman"/>
          <w:sz w:val="20"/>
          <w:szCs w:val="20"/>
        </w:rPr>
        <w:t>Panel A: RW portfolios</w:t>
      </w:r>
    </w:p>
    <w:tbl>
      <w:tblPr>
        <w:tblW w:w="5000" w:type="pct"/>
        <w:tblLook w:val="04A0" w:firstRow="1" w:lastRow="0" w:firstColumn="1" w:lastColumn="0" w:noHBand="0" w:noVBand="1"/>
      </w:tblPr>
      <w:tblGrid>
        <w:gridCol w:w="2160"/>
        <w:gridCol w:w="1037"/>
        <w:gridCol w:w="966"/>
        <w:gridCol w:w="966"/>
        <w:gridCol w:w="966"/>
        <w:gridCol w:w="985"/>
        <w:gridCol w:w="223"/>
        <w:gridCol w:w="1183"/>
        <w:gridCol w:w="874"/>
      </w:tblGrid>
      <w:tr w:rsidR="00534F4F" w:rsidRPr="00E10858" w14:paraId="63C8F8AB" w14:textId="77777777" w:rsidTr="00D978C6">
        <w:tc>
          <w:tcPr>
            <w:tcW w:w="1154" w:type="pct"/>
            <w:tcBorders>
              <w:top w:val="single" w:sz="4" w:space="0" w:color="auto"/>
              <w:left w:val="nil"/>
              <w:right w:val="nil"/>
            </w:tcBorders>
            <w:noWrap/>
            <w:vAlign w:val="bottom"/>
            <w:hideMark/>
          </w:tcPr>
          <w:p w14:paraId="14E37F50"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w:t>
            </w:r>
          </w:p>
        </w:tc>
        <w:tc>
          <w:tcPr>
            <w:tcW w:w="554" w:type="pct"/>
            <w:tcBorders>
              <w:top w:val="single" w:sz="4" w:space="0" w:color="auto"/>
              <w:left w:val="nil"/>
              <w:right w:val="nil"/>
            </w:tcBorders>
            <w:vAlign w:val="bottom"/>
          </w:tcPr>
          <w:p w14:paraId="7697DDCD"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516" w:type="pct"/>
            <w:tcBorders>
              <w:top w:val="single" w:sz="4" w:space="0" w:color="auto"/>
              <w:left w:val="nil"/>
              <w:right w:val="nil"/>
            </w:tcBorders>
            <w:noWrap/>
            <w:vAlign w:val="bottom"/>
            <w:hideMark/>
          </w:tcPr>
          <w:p w14:paraId="3B24F516"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w:t>
            </w:r>
          </w:p>
        </w:tc>
        <w:tc>
          <w:tcPr>
            <w:tcW w:w="516" w:type="pct"/>
            <w:tcBorders>
              <w:top w:val="single" w:sz="4" w:space="0" w:color="auto"/>
              <w:left w:val="nil"/>
              <w:right w:val="nil"/>
            </w:tcBorders>
            <w:noWrap/>
            <w:vAlign w:val="bottom"/>
            <w:hideMark/>
          </w:tcPr>
          <w:p w14:paraId="13DB3153"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w:t>
            </w:r>
          </w:p>
        </w:tc>
        <w:tc>
          <w:tcPr>
            <w:tcW w:w="516" w:type="pct"/>
            <w:tcBorders>
              <w:top w:val="single" w:sz="4" w:space="0" w:color="auto"/>
              <w:left w:val="nil"/>
              <w:right w:val="nil"/>
            </w:tcBorders>
            <w:noWrap/>
            <w:vAlign w:val="bottom"/>
            <w:hideMark/>
          </w:tcPr>
          <w:p w14:paraId="5AFFF8F2"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VU</w:t>
            </w:r>
          </w:p>
        </w:tc>
        <w:tc>
          <w:tcPr>
            <w:tcW w:w="526" w:type="pct"/>
            <w:tcBorders>
              <w:top w:val="single" w:sz="4" w:space="0" w:color="auto"/>
              <w:left w:val="nil"/>
              <w:right w:val="nil"/>
            </w:tcBorders>
            <w:noWrap/>
            <w:vAlign w:val="bottom"/>
            <w:hideMark/>
          </w:tcPr>
          <w:p w14:paraId="28FE33CF"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w:t>
            </w:r>
          </w:p>
        </w:tc>
        <w:tc>
          <w:tcPr>
            <w:tcW w:w="119" w:type="pct"/>
            <w:tcBorders>
              <w:top w:val="single" w:sz="4" w:space="0" w:color="auto"/>
              <w:left w:val="nil"/>
              <w:right w:val="nil"/>
            </w:tcBorders>
            <w:vAlign w:val="bottom"/>
          </w:tcPr>
          <w:p w14:paraId="3B164226"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632" w:type="pct"/>
            <w:tcBorders>
              <w:top w:val="single" w:sz="4" w:space="0" w:color="auto"/>
              <w:left w:val="nil"/>
              <w:right w:val="nil"/>
            </w:tcBorders>
            <w:noWrap/>
            <w:vAlign w:val="bottom"/>
            <w:hideMark/>
          </w:tcPr>
          <w:p w14:paraId="5FF47D40"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w:t>
            </w:r>
          </w:p>
        </w:tc>
        <w:tc>
          <w:tcPr>
            <w:tcW w:w="467" w:type="pct"/>
            <w:tcBorders>
              <w:top w:val="single" w:sz="4" w:space="0" w:color="auto"/>
              <w:left w:val="nil"/>
              <w:right w:val="nil"/>
            </w:tcBorders>
            <w:noWrap/>
            <w:vAlign w:val="bottom"/>
            <w:hideMark/>
          </w:tcPr>
          <w:p w14:paraId="4175EB19"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w:t>
            </w:r>
          </w:p>
        </w:tc>
      </w:tr>
      <w:tr w:rsidR="00534F4F" w:rsidRPr="00E10858" w14:paraId="73B0F900" w14:textId="77777777" w:rsidTr="00D978C6">
        <w:tc>
          <w:tcPr>
            <w:tcW w:w="1154" w:type="pct"/>
            <w:tcBorders>
              <w:left w:val="nil"/>
              <w:bottom w:val="nil"/>
              <w:right w:val="nil"/>
            </w:tcBorders>
            <w:noWrap/>
            <w:vAlign w:val="bottom"/>
            <w:hideMark/>
          </w:tcPr>
          <w:p w14:paraId="2FF8A91D"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554" w:type="pct"/>
            <w:tcBorders>
              <w:left w:val="nil"/>
              <w:right w:val="nil"/>
            </w:tcBorders>
            <w:vAlign w:val="bottom"/>
          </w:tcPr>
          <w:p w14:paraId="717C9413"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left w:val="nil"/>
              <w:bottom w:val="single" w:sz="4" w:space="0" w:color="auto"/>
              <w:right w:val="nil"/>
            </w:tcBorders>
            <w:noWrap/>
            <w:vAlign w:val="bottom"/>
            <w:hideMark/>
          </w:tcPr>
          <w:p w14:paraId="5349953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Low</w:t>
            </w:r>
          </w:p>
        </w:tc>
        <w:tc>
          <w:tcPr>
            <w:tcW w:w="516" w:type="pct"/>
            <w:tcBorders>
              <w:left w:val="nil"/>
              <w:bottom w:val="single" w:sz="4" w:space="0" w:color="auto"/>
              <w:right w:val="nil"/>
            </w:tcBorders>
            <w:noWrap/>
            <w:vAlign w:val="bottom"/>
            <w:hideMark/>
          </w:tcPr>
          <w:p w14:paraId="48EF1436"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2</w:t>
            </w:r>
          </w:p>
        </w:tc>
        <w:tc>
          <w:tcPr>
            <w:tcW w:w="516" w:type="pct"/>
            <w:tcBorders>
              <w:left w:val="nil"/>
              <w:bottom w:val="single" w:sz="4" w:space="0" w:color="auto"/>
              <w:right w:val="nil"/>
            </w:tcBorders>
            <w:noWrap/>
            <w:vAlign w:val="bottom"/>
            <w:hideMark/>
          </w:tcPr>
          <w:p w14:paraId="16E7274C"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3</w:t>
            </w:r>
          </w:p>
        </w:tc>
        <w:tc>
          <w:tcPr>
            <w:tcW w:w="526" w:type="pct"/>
            <w:tcBorders>
              <w:left w:val="nil"/>
              <w:bottom w:val="single" w:sz="4" w:space="0" w:color="auto"/>
              <w:right w:val="nil"/>
            </w:tcBorders>
            <w:noWrap/>
            <w:vAlign w:val="bottom"/>
            <w:hideMark/>
          </w:tcPr>
          <w:p w14:paraId="3CDB539E"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High</w:t>
            </w:r>
          </w:p>
        </w:tc>
        <w:tc>
          <w:tcPr>
            <w:tcW w:w="119" w:type="pct"/>
            <w:tcBorders>
              <w:left w:val="nil"/>
              <w:bottom w:val="single" w:sz="4" w:space="0" w:color="auto"/>
              <w:right w:val="nil"/>
            </w:tcBorders>
            <w:vAlign w:val="bottom"/>
          </w:tcPr>
          <w:p w14:paraId="4523B967"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left w:val="nil"/>
              <w:bottom w:val="single" w:sz="4" w:space="0" w:color="auto"/>
              <w:right w:val="nil"/>
            </w:tcBorders>
            <w:noWrap/>
            <w:vAlign w:val="bottom"/>
            <w:hideMark/>
          </w:tcPr>
          <w:p w14:paraId="068C7891"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High – Low</w:t>
            </w:r>
          </w:p>
        </w:tc>
        <w:tc>
          <w:tcPr>
            <w:tcW w:w="467" w:type="pct"/>
            <w:tcBorders>
              <w:left w:val="nil"/>
              <w:bottom w:val="single" w:sz="4" w:space="0" w:color="auto"/>
              <w:right w:val="nil"/>
            </w:tcBorders>
            <w:noWrap/>
            <w:vAlign w:val="bottom"/>
            <w:hideMark/>
          </w:tcPr>
          <w:p w14:paraId="55FA057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i/>
                <w:iCs/>
                <w:color w:val="000000"/>
                <w:sz w:val="20"/>
                <w:szCs w:val="20"/>
                <w:lang w:val="en-GB" w:eastAsia="en-GB"/>
              </w:rPr>
              <w:t>p</w:t>
            </w:r>
            <w:r w:rsidRPr="00233A99">
              <w:rPr>
                <w:rFonts w:ascii="Times New Roman" w:eastAsia="Times New Roman" w:hAnsi="Times New Roman" w:cs="Times New Roman"/>
                <w:color w:val="000000"/>
                <w:sz w:val="20"/>
                <w:szCs w:val="20"/>
                <w:lang w:val="en-GB" w:eastAsia="en-GB"/>
              </w:rPr>
              <w:t>-value</w:t>
            </w:r>
          </w:p>
        </w:tc>
      </w:tr>
      <w:tr w:rsidR="00534F4F" w:rsidRPr="00E10858" w14:paraId="6806F000" w14:textId="77777777" w:rsidTr="00D978C6">
        <w:tc>
          <w:tcPr>
            <w:tcW w:w="1154" w:type="pct"/>
            <w:tcBorders>
              <w:top w:val="nil"/>
              <w:left w:val="nil"/>
              <w:bottom w:val="nil"/>
              <w:right w:val="nil"/>
            </w:tcBorders>
            <w:noWrap/>
            <w:vAlign w:val="bottom"/>
            <w:hideMark/>
          </w:tcPr>
          <w:p w14:paraId="674D737A" w14:textId="77777777" w:rsidR="00534F4F" w:rsidRPr="00E10858" w:rsidRDefault="00534F4F" w:rsidP="00D978C6">
            <w:pPr>
              <w:spacing w:after="0" w:line="276" w:lineRule="auto"/>
              <w:rPr>
                <w:rFonts w:ascii="Times New Roman" w:eastAsia="Times New Roman" w:hAnsi="Times New Roman" w:cs="Times New Roman"/>
                <w:i/>
                <w:iCs/>
                <w:color w:val="000000"/>
                <w:sz w:val="20"/>
                <w:szCs w:val="20"/>
                <w:u w:val="single"/>
                <w:lang w:val="en-GB" w:eastAsia="en-GB"/>
              </w:rPr>
            </w:pPr>
            <w:r w:rsidRPr="00347E81">
              <w:rPr>
                <w:rFonts w:ascii="Times New Roman" w:eastAsia="Times New Roman" w:hAnsi="Times New Roman" w:cs="Times New Roman"/>
                <w:iCs/>
                <w:color w:val="000000"/>
                <w:sz w:val="20"/>
                <w:szCs w:val="20"/>
                <w:u w:val="single"/>
                <w:lang w:eastAsia="en-CA"/>
              </w:rPr>
              <w:t>Price-to-value</w:t>
            </w:r>
          </w:p>
        </w:tc>
        <w:tc>
          <w:tcPr>
            <w:tcW w:w="554" w:type="pct"/>
            <w:tcBorders>
              <w:top w:val="nil"/>
              <w:left w:val="nil"/>
              <w:bottom w:val="single" w:sz="4" w:space="0" w:color="auto"/>
              <w:right w:val="nil"/>
            </w:tcBorders>
            <w:vAlign w:val="bottom"/>
          </w:tcPr>
          <w:p w14:paraId="2154008A"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Exp.</w:t>
            </w:r>
            <w:r w:rsidRPr="00E10858">
              <w:rPr>
                <w:rFonts w:ascii="Times New Roman" w:eastAsia="Times New Roman" w:hAnsi="Times New Roman" w:cs="Times New Roman"/>
                <w:color w:val="000000"/>
                <w:sz w:val="20"/>
                <w:szCs w:val="20"/>
                <w:lang w:val="en-GB" w:eastAsia="en-GB"/>
              </w:rPr>
              <w:t xml:space="preserve"> Sign</w:t>
            </w:r>
          </w:p>
        </w:tc>
        <w:tc>
          <w:tcPr>
            <w:tcW w:w="516" w:type="pct"/>
            <w:tcBorders>
              <w:top w:val="single" w:sz="4" w:space="0" w:color="auto"/>
              <w:left w:val="nil"/>
              <w:bottom w:val="nil"/>
              <w:right w:val="nil"/>
            </w:tcBorders>
            <w:noWrap/>
            <w:vAlign w:val="bottom"/>
            <w:hideMark/>
          </w:tcPr>
          <w:p w14:paraId="2EA57338" w14:textId="77777777" w:rsidR="00534F4F" w:rsidRPr="00233A99" w:rsidRDefault="00534F4F" w:rsidP="00D978C6">
            <w:pPr>
              <w:spacing w:after="0" w:line="276" w:lineRule="auto"/>
              <w:rPr>
                <w:rFonts w:ascii="Times New Roman" w:eastAsia="Times New Roman" w:hAnsi="Times New Roman" w:cs="Times New Roman"/>
                <w:i/>
                <w:iCs/>
                <w:color w:val="000000"/>
                <w:sz w:val="20"/>
                <w:szCs w:val="20"/>
                <w:lang w:val="en-GB" w:eastAsia="en-GB"/>
              </w:rPr>
            </w:pPr>
          </w:p>
        </w:tc>
        <w:tc>
          <w:tcPr>
            <w:tcW w:w="516" w:type="pct"/>
            <w:tcBorders>
              <w:top w:val="single" w:sz="4" w:space="0" w:color="auto"/>
              <w:left w:val="nil"/>
              <w:bottom w:val="nil"/>
              <w:right w:val="nil"/>
            </w:tcBorders>
            <w:noWrap/>
            <w:vAlign w:val="bottom"/>
            <w:hideMark/>
          </w:tcPr>
          <w:p w14:paraId="1C41F0F4" w14:textId="77777777" w:rsidR="00534F4F" w:rsidRPr="00233A99"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516" w:type="pct"/>
            <w:tcBorders>
              <w:top w:val="single" w:sz="4" w:space="0" w:color="auto"/>
              <w:left w:val="nil"/>
              <w:bottom w:val="nil"/>
              <w:right w:val="nil"/>
            </w:tcBorders>
            <w:noWrap/>
            <w:vAlign w:val="bottom"/>
            <w:hideMark/>
          </w:tcPr>
          <w:p w14:paraId="28C590AA" w14:textId="77777777" w:rsidR="00534F4F" w:rsidRPr="00233A99"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526" w:type="pct"/>
            <w:tcBorders>
              <w:top w:val="single" w:sz="4" w:space="0" w:color="auto"/>
              <w:left w:val="nil"/>
              <w:bottom w:val="nil"/>
              <w:right w:val="nil"/>
            </w:tcBorders>
            <w:noWrap/>
            <w:vAlign w:val="bottom"/>
            <w:hideMark/>
          </w:tcPr>
          <w:p w14:paraId="3E4BA34C" w14:textId="77777777" w:rsidR="00534F4F" w:rsidRPr="00233A99"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119" w:type="pct"/>
            <w:tcBorders>
              <w:top w:val="single" w:sz="4" w:space="0" w:color="auto"/>
              <w:left w:val="nil"/>
              <w:bottom w:val="nil"/>
              <w:right w:val="nil"/>
            </w:tcBorders>
            <w:vAlign w:val="bottom"/>
          </w:tcPr>
          <w:p w14:paraId="76C476C5" w14:textId="77777777" w:rsidR="00534F4F" w:rsidRPr="00233A99"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632" w:type="pct"/>
            <w:tcBorders>
              <w:top w:val="single" w:sz="4" w:space="0" w:color="auto"/>
              <w:left w:val="nil"/>
              <w:bottom w:val="nil"/>
              <w:right w:val="nil"/>
            </w:tcBorders>
            <w:noWrap/>
            <w:vAlign w:val="bottom"/>
            <w:hideMark/>
          </w:tcPr>
          <w:p w14:paraId="6A0D4D70" w14:textId="77777777" w:rsidR="00534F4F" w:rsidRPr="00233A99"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467" w:type="pct"/>
            <w:tcBorders>
              <w:top w:val="single" w:sz="4" w:space="0" w:color="auto"/>
              <w:left w:val="nil"/>
              <w:bottom w:val="nil"/>
              <w:right w:val="nil"/>
            </w:tcBorders>
            <w:noWrap/>
            <w:vAlign w:val="bottom"/>
            <w:hideMark/>
          </w:tcPr>
          <w:p w14:paraId="1B60B4DB" w14:textId="77777777" w:rsidR="00534F4F" w:rsidRPr="00233A99" w:rsidRDefault="00534F4F" w:rsidP="00D978C6">
            <w:pPr>
              <w:spacing w:after="0" w:line="276" w:lineRule="auto"/>
              <w:rPr>
                <w:rFonts w:ascii="Times New Roman" w:eastAsia="Times New Roman" w:hAnsi="Times New Roman" w:cs="Times New Roman"/>
                <w:sz w:val="20"/>
                <w:szCs w:val="20"/>
                <w:lang w:val="en-GB" w:eastAsia="en-GB"/>
              </w:rPr>
            </w:pPr>
          </w:p>
        </w:tc>
      </w:tr>
      <w:tr w:rsidR="00534F4F" w:rsidRPr="00E10858" w14:paraId="35DE09A6" w14:textId="77777777" w:rsidTr="00D978C6">
        <w:tc>
          <w:tcPr>
            <w:tcW w:w="1154" w:type="pct"/>
            <w:tcBorders>
              <w:top w:val="nil"/>
              <w:left w:val="nil"/>
              <w:bottom w:val="nil"/>
              <w:right w:val="nil"/>
            </w:tcBorders>
            <w:noWrap/>
            <w:vAlign w:val="bottom"/>
            <w:hideMark/>
          </w:tcPr>
          <w:p w14:paraId="6D3223E9"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Low</w:t>
            </w:r>
          </w:p>
        </w:tc>
        <w:tc>
          <w:tcPr>
            <w:tcW w:w="554" w:type="pct"/>
            <w:tcBorders>
              <w:top w:val="single" w:sz="4" w:space="0" w:color="auto"/>
              <w:left w:val="nil"/>
              <w:bottom w:val="nil"/>
              <w:right w:val="nil"/>
            </w:tcBorders>
            <w:vAlign w:val="bottom"/>
          </w:tcPr>
          <w:p w14:paraId="3798A1C6"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7582F3C8"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1.267</w:t>
            </w:r>
          </w:p>
        </w:tc>
        <w:tc>
          <w:tcPr>
            <w:tcW w:w="516" w:type="pct"/>
            <w:tcBorders>
              <w:top w:val="nil"/>
              <w:left w:val="nil"/>
              <w:bottom w:val="nil"/>
              <w:right w:val="nil"/>
            </w:tcBorders>
            <w:noWrap/>
            <w:vAlign w:val="bottom"/>
            <w:hideMark/>
          </w:tcPr>
          <w:p w14:paraId="3BCF2B1B"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1.319</w:t>
            </w:r>
          </w:p>
        </w:tc>
        <w:tc>
          <w:tcPr>
            <w:tcW w:w="516" w:type="pct"/>
            <w:tcBorders>
              <w:top w:val="nil"/>
              <w:left w:val="nil"/>
              <w:bottom w:val="nil"/>
              <w:right w:val="nil"/>
            </w:tcBorders>
            <w:noWrap/>
            <w:vAlign w:val="bottom"/>
            <w:hideMark/>
          </w:tcPr>
          <w:p w14:paraId="15B57092"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1.492</w:t>
            </w:r>
          </w:p>
        </w:tc>
        <w:tc>
          <w:tcPr>
            <w:tcW w:w="526" w:type="pct"/>
            <w:tcBorders>
              <w:top w:val="nil"/>
              <w:left w:val="nil"/>
              <w:bottom w:val="nil"/>
              <w:right w:val="nil"/>
            </w:tcBorders>
            <w:noWrap/>
            <w:vAlign w:val="bottom"/>
            <w:hideMark/>
          </w:tcPr>
          <w:p w14:paraId="6CAC48A2"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1.510</w:t>
            </w:r>
          </w:p>
        </w:tc>
        <w:tc>
          <w:tcPr>
            <w:tcW w:w="119" w:type="pct"/>
            <w:tcBorders>
              <w:top w:val="nil"/>
              <w:left w:val="nil"/>
              <w:bottom w:val="nil"/>
              <w:right w:val="nil"/>
            </w:tcBorders>
            <w:vAlign w:val="bottom"/>
          </w:tcPr>
          <w:p w14:paraId="286B6684"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3B488C94"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0.244</w:t>
            </w:r>
          </w:p>
        </w:tc>
        <w:tc>
          <w:tcPr>
            <w:tcW w:w="467" w:type="pct"/>
            <w:tcBorders>
              <w:top w:val="nil"/>
              <w:left w:val="nil"/>
              <w:bottom w:val="nil"/>
              <w:right w:val="nil"/>
            </w:tcBorders>
            <w:noWrap/>
            <w:vAlign w:val="bottom"/>
            <w:hideMark/>
          </w:tcPr>
          <w:p w14:paraId="6945CD33"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233A99">
              <w:rPr>
                <w:rFonts w:ascii="Times New Roman" w:eastAsia="Times New Roman" w:hAnsi="Times New Roman" w:cs="Times New Roman"/>
                <w:color w:val="000000"/>
                <w:sz w:val="20"/>
                <w:szCs w:val="20"/>
                <w:lang w:val="en-GB" w:eastAsia="en-GB"/>
              </w:rPr>
              <w:t>0.286</w:t>
            </w:r>
            <w:r>
              <w:rPr>
                <w:rFonts w:ascii="Times New Roman" w:eastAsia="Times New Roman" w:hAnsi="Times New Roman" w:cs="Times New Roman"/>
                <w:color w:val="000000"/>
                <w:sz w:val="20"/>
                <w:szCs w:val="20"/>
                <w:lang w:val="en-GB" w:eastAsia="en-GB"/>
              </w:rPr>
              <w:t>)</w:t>
            </w:r>
          </w:p>
        </w:tc>
      </w:tr>
      <w:tr w:rsidR="00534F4F" w:rsidRPr="00E10858" w14:paraId="5A5ACC93" w14:textId="77777777" w:rsidTr="00D978C6">
        <w:tc>
          <w:tcPr>
            <w:tcW w:w="1154" w:type="pct"/>
            <w:tcBorders>
              <w:top w:val="nil"/>
              <w:left w:val="nil"/>
              <w:bottom w:val="nil"/>
              <w:right w:val="nil"/>
            </w:tcBorders>
            <w:noWrap/>
            <w:vAlign w:val="bottom"/>
            <w:hideMark/>
          </w:tcPr>
          <w:p w14:paraId="22250344"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2</w:t>
            </w:r>
          </w:p>
        </w:tc>
        <w:tc>
          <w:tcPr>
            <w:tcW w:w="554" w:type="pct"/>
            <w:tcBorders>
              <w:top w:val="nil"/>
              <w:left w:val="nil"/>
              <w:bottom w:val="nil"/>
              <w:right w:val="nil"/>
            </w:tcBorders>
            <w:vAlign w:val="bottom"/>
          </w:tcPr>
          <w:p w14:paraId="00FB1901"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3BFAF1E9"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1.272</w:t>
            </w:r>
          </w:p>
        </w:tc>
        <w:tc>
          <w:tcPr>
            <w:tcW w:w="516" w:type="pct"/>
            <w:tcBorders>
              <w:top w:val="nil"/>
              <w:left w:val="nil"/>
              <w:bottom w:val="nil"/>
              <w:right w:val="nil"/>
            </w:tcBorders>
            <w:noWrap/>
            <w:vAlign w:val="bottom"/>
            <w:hideMark/>
          </w:tcPr>
          <w:p w14:paraId="251F5A7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1.227</w:t>
            </w:r>
          </w:p>
        </w:tc>
        <w:tc>
          <w:tcPr>
            <w:tcW w:w="516" w:type="pct"/>
            <w:tcBorders>
              <w:top w:val="nil"/>
              <w:left w:val="nil"/>
              <w:bottom w:val="nil"/>
              <w:right w:val="nil"/>
            </w:tcBorders>
            <w:noWrap/>
            <w:vAlign w:val="bottom"/>
            <w:hideMark/>
          </w:tcPr>
          <w:p w14:paraId="3EDECFA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1.220</w:t>
            </w:r>
          </w:p>
        </w:tc>
        <w:tc>
          <w:tcPr>
            <w:tcW w:w="526" w:type="pct"/>
            <w:tcBorders>
              <w:top w:val="nil"/>
              <w:left w:val="nil"/>
              <w:bottom w:val="nil"/>
              <w:right w:val="nil"/>
            </w:tcBorders>
            <w:noWrap/>
            <w:vAlign w:val="bottom"/>
            <w:hideMark/>
          </w:tcPr>
          <w:p w14:paraId="04D18254"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1.236</w:t>
            </w:r>
          </w:p>
        </w:tc>
        <w:tc>
          <w:tcPr>
            <w:tcW w:w="119" w:type="pct"/>
            <w:tcBorders>
              <w:top w:val="nil"/>
              <w:left w:val="nil"/>
              <w:bottom w:val="nil"/>
              <w:right w:val="nil"/>
            </w:tcBorders>
            <w:vAlign w:val="bottom"/>
          </w:tcPr>
          <w:p w14:paraId="7481949F"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2A2F9C3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-0.035</w:t>
            </w:r>
          </w:p>
        </w:tc>
        <w:tc>
          <w:tcPr>
            <w:tcW w:w="467" w:type="pct"/>
            <w:tcBorders>
              <w:top w:val="nil"/>
              <w:left w:val="nil"/>
              <w:bottom w:val="nil"/>
              <w:right w:val="nil"/>
            </w:tcBorders>
            <w:noWrap/>
            <w:vAlign w:val="bottom"/>
            <w:hideMark/>
          </w:tcPr>
          <w:p w14:paraId="7F898907"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233A99">
              <w:rPr>
                <w:rFonts w:ascii="Times New Roman" w:eastAsia="Times New Roman" w:hAnsi="Times New Roman" w:cs="Times New Roman"/>
                <w:color w:val="000000"/>
                <w:sz w:val="20"/>
                <w:szCs w:val="20"/>
                <w:lang w:val="en-GB" w:eastAsia="en-GB"/>
              </w:rPr>
              <w:t>0.884</w:t>
            </w:r>
            <w:r>
              <w:rPr>
                <w:rFonts w:ascii="Times New Roman" w:eastAsia="Times New Roman" w:hAnsi="Times New Roman" w:cs="Times New Roman"/>
                <w:color w:val="000000"/>
                <w:sz w:val="20"/>
                <w:szCs w:val="20"/>
                <w:lang w:val="en-GB" w:eastAsia="en-GB"/>
              </w:rPr>
              <w:t>)</w:t>
            </w:r>
          </w:p>
        </w:tc>
      </w:tr>
      <w:tr w:rsidR="00534F4F" w:rsidRPr="00E10858" w14:paraId="6A443AC7" w14:textId="77777777" w:rsidTr="00D978C6">
        <w:tc>
          <w:tcPr>
            <w:tcW w:w="1154" w:type="pct"/>
            <w:tcBorders>
              <w:top w:val="nil"/>
              <w:left w:val="nil"/>
              <w:bottom w:val="nil"/>
              <w:right w:val="nil"/>
            </w:tcBorders>
            <w:noWrap/>
            <w:vAlign w:val="bottom"/>
            <w:hideMark/>
          </w:tcPr>
          <w:p w14:paraId="68670721"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3</w:t>
            </w:r>
          </w:p>
        </w:tc>
        <w:tc>
          <w:tcPr>
            <w:tcW w:w="554" w:type="pct"/>
            <w:tcBorders>
              <w:top w:val="nil"/>
              <w:left w:val="nil"/>
              <w:bottom w:val="nil"/>
              <w:right w:val="nil"/>
            </w:tcBorders>
            <w:vAlign w:val="bottom"/>
          </w:tcPr>
          <w:p w14:paraId="53897420"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5B38C21F"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1.141</w:t>
            </w:r>
          </w:p>
        </w:tc>
        <w:tc>
          <w:tcPr>
            <w:tcW w:w="516" w:type="pct"/>
            <w:tcBorders>
              <w:top w:val="nil"/>
              <w:left w:val="nil"/>
              <w:bottom w:val="nil"/>
              <w:right w:val="nil"/>
            </w:tcBorders>
            <w:noWrap/>
            <w:vAlign w:val="bottom"/>
            <w:hideMark/>
          </w:tcPr>
          <w:p w14:paraId="2B7BF894"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0.958</w:t>
            </w:r>
          </w:p>
        </w:tc>
        <w:tc>
          <w:tcPr>
            <w:tcW w:w="516" w:type="pct"/>
            <w:tcBorders>
              <w:top w:val="nil"/>
              <w:left w:val="nil"/>
              <w:bottom w:val="nil"/>
              <w:right w:val="nil"/>
            </w:tcBorders>
            <w:noWrap/>
            <w:vAlign w:val="bottom"/>
            <w:hideMark/>
          </w:tcPr>
          <w:p w14:paraId="4DFC0D06"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0.950</w:t>
            </w:r>
          </w:p>
        </w:tc>
        <w:tc>
          <w:tcPr>
            <w:tcW w:w="526" w:type="pct"/>
            <w:tcBorders>
              <w:top w:val="nil"/>
              <w:left w:val="nil"/>
              <w:bottom w:val="nil"/>
              <w:right w:val="nil"/>
            </w:tcBorders>
            <w:noWrap/>
            <w:vAlign w:val="bottom"/>
            <w:hideMark/>
          </w:tcPr>
          <w:p w14:paraId="598C6F0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0.873</w:t>
            </w:r>
          </w:p>
        </w:tc>
        <w:tc>
          <w:tcPr>
            <w:tcW w:w="119" w:type="pct"/>
            <w:tcBorders>
              <w:top w:val="nil"/>
              <w:left w:val="nil"/>
              <w:bottom w:val="nil"/>
              <w:right w:val="nil"/>
            </w:tcBorders>
            <w:vAlign w:val="bottom"/>
          </w:tcPr>
          <w:p w14:paraId="7B8D37AF"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739E3F57"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-0.268</w:t>
            </w:r>
          </w:p>
        </w:tc>
        <w:tc>
          <w:tcPr>
            <w:tcW w:w="467" w:type="pct"/>
            <w:tcBorders>
              <w:top w:val="nil"/>
              <w:left w:val="nil"/>
              <w:bottom w:val="nil"/>
              <w:right w:val="nil"/>
            </w:tcBorders>
            <w:noWrap/>
            <w:vAlign w:val="bottom"/>
            <w:hideMark/>
          </w:tcPr>
          <w:p w14:paraId="18F0D5BC"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233A99">
              <w:rPr>
                <w:rFonts w:ascii="Times New Roman" w:eastAsia="Times New Roman" w:hAnsi="Times New Roman" w:cs="Times New Roman"/>
                <w:color w:val="000000"/>
                <w:sz w:val="20"/>
                <w:szCs w:val="20"/>
                <w:lang w:val="en-GB" w:eastAsia="en-GB"/>
              </w:rPr>
              <w:t>0.283</w:t>
            </w:r>
            <w:r>
              <w:rPr>
                <w:rFonts w:ascii="Times New Roman" w:eastAsia="Times New Roman" w:hAnsi="Times New Roman" w:cs="Times New Roman"/>
                <w:color w:val="000000"/>
                <w:sz w:val="20"/>
                <w:szCs w:val="20"/>
                <w:lang w:val="en-GB" w:eastAsia="en-GB"/>
              </w:rPr>
              <w:t>)</w:t>
            </w:r>
          </w:p>
        </w:tc>
      </w:tr>
      <w:tr w:rsidR="00534F4F" w:rsidRPr="00E10858" w14:paraId="7BA1FD8E" w14:textId="77777777" w:rsidTr="00D978C6">
        <w:tc>
          <w:tcPr>
            <w:tcW w:w="1154" w:type="pct"/>
            <w:tcBorders>
              <w:top w:val="nil"/>
              <w:left w:val="nil"/>
              <w:bottom w:val="nil"/>
              <w:right w:val="nil"/>
            </w:tcBorders>
            <w:noWrap/>
            <w:vAlign w:val="bottom"/>
            <w:hideMark/>
          </w:tcPr>
          <w:p w14:paraId="568FC7F2"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High</w:t>
            </w:r>
          </w:p>
        </w:tc>
        <w:tc>
          <w:tcPr>
            <w:tcW w:w="554" w:type="pct"/>
            <w:tcBorders>
              <w:top w:val="nil"/>
              <w:left w:val="nil"/>
              <w:bottom w:val="nil"/>
              <w:right w:val="nil"/>
            </w:tcBorders>
            <w:vAlign w:val="bottom"/>
          </w:tcPr>
          <w:p w14:paraId="64F67F14"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5F761F3F"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0.957</w:t>
            </w:r>
          </w:p>
        </w:tc>
        <w:tc>
          <w:tcPr>
            <w:tcW w:w="516" w:type="pct"/>
            <w:tcBorders>
              <w:top w:val="nil"/>
              <w:left w:val="nil"/>
              <w:bottom w:val="nil"/>
              <w:right w:val="nil"/>
            </w:tcBorders>
            <w:noWrap/>
            <w:vAlign w:val="bottom"/>
            <w:hideMark/>
          </w:tcPr>
          <w:p w14:paraId="51998CD3"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0.786</w:t>
            </w:r>
          </w:p>
        </w:tc>
        <w:tc>
          <w:tcPr>
            <w:tcW w:w="516" w:type="pct"/>
            <w:tcBorders>
              <w:top w:val="nil"/>
              <w:left w:val="nil"/>
              <w:bottom w:val="nil"/>
              <w:right w:val="nil"/>
            </w:tcBorders>
            <w:noWrap/>
            <w:vAlign w:val="bottom"/>
            <w:hideMark/>
          </w:tcPr>
          <w:p w14:paraId="0ABC6BCC"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0.695</w:t>
            </w:r>
          </w:p>
        </w:tc>
        <w:tc>
          <w:tcPr>
            <w:tcW w:w="526" w:type="pct"/>
            <w:tcBorders>
              <w:top w:val="nil"/>
              <w:left w:val="nil"/>
              <w:bottom w:val="nil"/>
              <w:right w:val="nil"/>
            </w:tcBorders>
            <w:noWrap/>
            <w:vAlign w:val="bottom"/>
            <w:hideMark/>
          </w:tcPr>
          <w:p w14:paraId="79802F39"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0.376</w:t>
            </w:r>
          </w:p>
        </w:tc>
        <w:tc>
          <w:tcPr>
            <w:tcW w:w="119" w:type="pct"/>
            <w:tcBorders>
              <w:top w:val="nil"/>
              <w:left w:val="nil"/>
              <w:bottom w:val="nil"/>
              <w:right w:val="nil"/>
            </w:tcBorders>
            <w:vAlign w:val="bottom"/>
          </w:tcPr>
          <w:p w14:paraId="45A08DC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3B6CC11F" w14:textId="0768E6E6"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-0.580</w:t>
            </w:r>
            <w:r w:rsidR="002B2C07">
              <w:rPr>
                <w:rFonts w:ascii="Times New Roman" w:eastAsia="Times New Roman" w:hAnsi="Times New Roman" w:cs="Times New Roman"/>
                <w:color w:val="000000"/>
                <w:sz w:val="20"/>
                <w:szCs w:val="20"/>
                <w:lang w:val="en-GB" w:eastAsia="en-GB"/>
              </w:rPr>
              <w:t>***</w:t>
            </w:r>
          </w:p>
        </w:tc>
        <w:tc>
          <w:tcPr>
            <w:tcW w:w="467" w:type="pct"/>
            <w:tcBorders>
              <w:top w:val="nil"/>
              <w:left w:val="nil"/>
              <w:bottom w:val="nil"/>
              <w:right w:val="nil"/>
            </w:tcBorders>
            <w:noWrap/>
            <w:vAlign w:val="bottom"/>
            <w:hideMark/>
          </w:tcPr>
          <w:p w14:paraId="56399F52"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233A99">
              <w:rPr>
                <w:rFonts w:ascii="Times New Roman" w:eastAsia="Times New Roman" w:hAnsi="Times New Roman" w:cs="Times New Roman"/>
                <w:color w:val="000000"/>
                <w:sz w:val="20"/>
                <w:szCs w:val="20"/>
                <w:lang w:val="en-GB" w:eastAsia="en-GB"/>
              </w:rPr>
              <w:t>0.007</w:t>
            </w:r>
            <w:r>
              <w:rPr>
                <w:rFonts w:ascii="Times New Roman" w:eastAsia="Times New Roman" w:hAnsi="Times New Roman" w:cs="Times New Roman"/>
                <w:color w:val="000000"/>
                <w:sz w:val="20"/>
                <w:szCs w:val="20"/>
                <w:lang w:val="en-GB" w:eastAsia="en-GB"/>
              </w:rPr>
              <w:t>)</w:t>
            </w:r>
          </w:p>
        </w:tc>
      </w:tr>
      <w:tr w:rsidR="00534F4F" w:rsidRPr="00E10858" w14:paraId="18179A10" w14:textId="77777777" w:rsidTr="00D978C6">
        <w:tc>
          <w:tcPr>
            <w:tcW w:w="1154" w:type="pct"/>
            <w:tcBorders>
              <w:top w:val="nil"/>
              <w:left w:val="nil"/>
              <w:bottom w:val="nil"/>
              <w:right w:val="nil"/>
            </w:tcBorders>
            <w:noWrap/>
            <w:vAlign w:val="bottom"/>
          </w:tcPr>
          <w:p w14:paraId="10891897"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554" w:type="pct"/>
            <w:tcBorders>
              <w:top w:val="nil"/>
              <w:left w:val="nil"/>
              <w:bottom w:val="nil"/>
              <w:right w:val="nil"/>
            </w:tcBorders>
            <w:vAlign w:val="bottom"/>
          </w:tcPr>
          <w:p w14:paraId="768110D3"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tcPr>
          <w:p w14:paraId="506F62C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tcPr>
          <w:p w14:paraId="5C2DCE33"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tcPr>
          <w:p w14:paraId="644C6D2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26" w:type="pct"/>
            <w:tcBorders>
              <w:top w:val="nil"/>
              <w:left w:val="nil"/>
              <w:bottom w:val="nil"/>
              <w:right w:val="nil"/>
            </w:tcBorders>
            <w:noWrap/>
            <w:vAlign w:val="bottom"/>
          </w:tcPr>
          <w:p w14:paraId="6304E103"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119" w:type="pct"/>
            <w:tcBorders>
              <w:top w:val="nil"/>
              <w:left w:val="nil"/>
              <w:bottom w:val="nil"/>
              <w:right w:val="nil"/>
            </w:tcBorders>
            <w:vAlign w:val="bottom"/>
          </w:tcPr>
          <w:p w14:paraId="4D391A7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tcPr>
          <w:p w14:paraId="22BA048E"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bottom w:val="nil"/>
              <w:right w:val="nil"/>
            </w:tcBorders>
            <w:noWrap/>
            <w:vAlign w:val="bottom"/>
          </w:tcPr>
          <w:p w14:paraId="554D7894"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r>
      <w:tr w:rsidR="00534F4F" w:rsidRPr="00E10858" w14:paraId="4EC0625C" w14:textId="77777777" w:rsidTr="00D978C6">
        <w:tc>
          <w:tcPr>
            <w:tcW w:w="1154" w:type="pct"/>
            <w:tcBorders>
              <w:top w:val="nil"/>
              <w:left w:val="nil"/>
              <w:bottom w:val="nil"/>
              <w:right w:val="nil"/>
            </w:tcBorders>
            <w:noWrap/>
            <w:vAlign w:val="bottom"/>
            <w:hideMark/>
          </w:tcPr>
          <w:p w14:paraId="5C7E188D"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color w:val="000000"/>
                <w:sz w:val="20"/>
                <w:szCs w:val="20"/>
                <w:lang w:val="en-GB" w:eastAsia="en-GB"/>
              </w:rPr>
              <w:t xml:space="preserve">Low </w:t>
            </w:r>
            <w:r>
              <w:rPr>
                <w:rFonts w:ascii="Times New Roman" w:eastAsia="Times New Roman" w:hAnsi="Times New Roman" w:cs="Times New Roman"/>
                <w:color w:val="000000"/>
                <w:sz w:val="20"/>
                <w:szCs w:val="20"/>
                <w:lang w:val="en-GB" w:eastAsia="en-GB"/>
              </w:rPr>
              <w:t>–</w:t>
            </w:r>
            <w:r w:rsidRPr="00E10858">
              <w:rPr>
                <w:rFonts w:ascii="Times New Roman" w:eastAsia="Times New Roman" w:hAnsi="Times New Roman" w:cs="Times New Roman"/>
                <w:color w:val="000000"/>
                <w:sz w:val="20"/>
                <w:szCs w:val="20"/>
                <w:lang w:val="en-GB" w:eastAsia="en-GB"/>
              </w:rPr>
              <w:t xml:space="preserve"> High </w:t>
            </w:r>
          </w:p>
        </w:tc>
        <w:tc>
          <w:tcPr>
            <w:tcW w:w="554" w:type="pct"/>
            <w:tcBorders>
              <w:top w:val="nil"/>
              <w:left w:val="nil"/>
              <w:bottom w:val="nil"/>
              <w:right w:val="nil"/>
            </w:tcBorders>
            <w:vAlign w:val="bottom"/>
          </w:tcPr>
          <w:p w14:paraId="6C80B0A9"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200642A0"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0.310</w:t>
            </w: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2B36B816"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0.533</w:t>
            </w: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6D40F42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0.797</w:t>
            </w:r>
            <w:r>
              <w:rPr>
                <w:rFonts w:ascii="Times New Roman" w:eastAsia="Times New Roman" w:hAnsi="Times New Roman" w:cs="Times New Roman"/>
                <w:color w:val="000000"/>
                <w:sz w:val="20"/>
                <w:szCs w:val="20"/>
                <w:lang w:val="en-GB" w:eastAsia="en-GB"/>
              </w:rPr>
              <w:t>***</w:t>
            </w:r>
          </w:p>
        </w:tc>
        <w:tc>
          <w:tcPr>
            <w:tcW w:w="526" w:type="pct"/>
            <w:tcBorders>
              <w:top w:val="nil"/>
              <w:left w:val="nil"/>
              <w:bottom w:val="nil"/>
              <w:right w:val="nil"/>
            </w:tcBorders>
            <w:noWrap/>
            <w:vAlign w:val="bottom"/>
            <w:hideMark/>
          </w:tcPr>
          <w:p w14:paraId="6FE3D6BB"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1.134</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vAlign w:val="bottom"/>
          </w:tcPr>
          <w:p w14:paraId="12B1BE4B"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47DE0E8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0.824***</w:t>
            </w:r>
          </w:p>
        </w:tc>
        <w:tc>
          <w:tcPr>
            <w:tcW w:w="467" w:type="pct"/>
            <w:tcBorders>
              <w:top w:val="nil"/>
              <w:left w:val="nil"/>
              <w:bottom w:val="nil"/>
              <w:right w:val="nil"/>
            </w:tcBorders>
            <w:noWrap/>
            <w:vAlign w:val="bottom"/>
            <w:hideMark/>
          </w:tcPr>
          <w:p w14:paraId="2CE0FFC1"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(0.000)</w:t>
            </w:r>
          </w:p>
        </w:tc>
      </w:tr>
      <w:tr w:rsidR="00534F4F" w:rsidRPr="00E10858" w14:paraId="4ECAF5D2" w14:textId="77777777" w:rsidTr="00D978C6">
        <w:tc>
          <w:tcPr>
            <w:tcW w:w="1154" w:type="pct"/>
            <w:tcBorders>
              <w:top w:val="nil"/>
              <w:left w:val="nil"/>
              <w:bottom w:val="nil"/>
              <w:right w:val="nil"/>
            </w:tcBorders>
            <w:noWrap/>
            <w:vAlign w:val="bottom"/>
            <w:hideMark/>
          </w:tcPr>
          <w:p w14:paraId="458A35B1"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E10858">
              <w:rPr>
                <w:rFonts w:ascii="Times New Roman" w:eastAsia="Times New Roman" w:hAnsi="Times New Roman" w:cs="Times New Roman"/>
                <w:i/>
                <w:iCs/>
                <w:color w:val="000000"/>
                <w:sz w:val="20"/>
                <w:szCs w:val="20"/>
                <w:lang w:val="en-GB" w:eastAsia="en-GB"/>
              </w:rPr>
              <w:t>p</w:t>
            </w:r>
            <w:r w:rsidRPr="00E10858">
              <w:rPr>
                <w:rFonts w:ascii="Times New Roman" w:eastAsia="Times New Roman" w:hAnsi="Times New Roman" w:cs="Times New Roman"/>
                <w:color w:val="000000"/>
                <w:sz w:val="20"/>
                <w:szCs w:val="20"/>
                <w:lang w:val="en-GB" w:eastAsia="en-GB"/>
              </w:rPr>
              <w:t>-value</w:t>
            </w:r>
          </w:p>
        </w:tc>
        <w:tc>
          <w:tcPr>
            <w:tcW w:w="554" w:type="pct"/>
            <w:tcBorders>
              <w:top w:val="nil"/>
              <w:left w:val="nil"/>
              <w:bottom w:val="nil"/>
              <w:right w:val="nil"/>
            </w:tcBorders>
            <w:vAlign w:val="bottom"/>
          </w:tcPr>
          <w:p w14:paraId="623AB212"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00CE5687"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(0.003)</w:t>
            </w:r>
          </w:p>
        </w:tc>
        <w:tc>
          <w:tcPr>
            <w:tcW w:w="516" w:type="pct"/>
            <w:tcBorders>
              <w:top w:val="nil"/>
              <w:left w:val="nil"/>
              <w:bottom w:val="nil"/>
              <w:right w:val="nil"/>
            </w:tcBorders>
            <w:noWrap/>
            <w:vAlign w:val="bottom"/>
            <w:hideMark/>
          </w:tcPr>
          <w:p w14:paraId="06DA216F"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(0.000)</w:t>
            </w:r>
          </w:p>
        </w:tc>
        <w:tc>
          <w:tcPr>
            <w:tcW w:w="516" w:type="pct"/>
            <w:tcBorders>
              <w:top w:val="nil"/>
              <w:left w:val="nil"/>
              <w:bottom w:val="nil"/>
              <w:right w:val="nil"/>
            </w:tcBorders>
            <w:noWrap/>
            <w:vAlign w:val="bottom"/>
            <w:hideMark/>
          </w:tcPr>
          <w:p w14:paraId="79414F20"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(0.000)</w:t>
            </w:r>
          </w:p>
        </w:tc>
        <w:tc>
          <w:tcPr>
            <w:tcW w:w="526" w:type="pct"/>
            <w:tcBorders>
              <w:top w:val="nil"/>
              <w:left w:val="nil"/>
              <w:bottom w:val="nil"/>
              <w:right w:val="nil"/>
            </w:tcBorders>
            <w:noWrap/>
            <w:vAlign w:val="bottom"/>
            <w:hideMark/>
          </w:tcPr>
          <w:p w14:paraId="598585FB"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(0.000)</w:t>
            </w:r>
          </w:p>
        </w:tc>
        <w:tc>
          <w:tcPr>
            <w:tcW w:w="119" w:type="pct"/>
            <w:tcBorders>
              <w:top w:val="nil"/>
              <w:left w:val="nil"/>
              <w:bottom w:val="nil"/>
              <w:right w:val="nil"/>
            </w:tcBorders>
            <w:vAlign w:val="bottom"/>
          </w:tcPr>
          <w:p w14:paraId="7271E072"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15BC75B2"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bottom w:val="nil"/>
              <w:right w:val="nil"/>
            </w:tcBorders>
            <w:noWrap/>
            <w:vAlign w:val="bottom"/>
            <w:hideMark/>
          </w:tcPr>
          <w:p w14:paraId="79FBDFF0" w14:textId="77777777" w:rsidR="00534F4F" w:rsidRPr="00233A99" w:rsidRDefault="00534F4F" w:rsidP="00D978C6">
            <w:pPr>
              <w:spacing w:after="0" w:line="276" w:lineRule="auto"/>
              <w:jc w:val="center"/>
              <w:rPr>
                <w:rFonts w:ascii="Times New Roman" w:eastAsia="Times New Roman" w:hAnsi="Times New Roman" w:cs="Times New Roman"/>
                <w:sz w:val="20"/>
                <w:szCs w:val="20"/>
                <w:lang w:val="en-GB" w:eastAsia="en-GB"/>
              </w:rPr>
            </w:pPr>
          </w:p>
        </w:tc>
      </w:tr>
      <w:tr w:rsidR="00534F4F" w:rsidRPr="00E10858" w14:paraId="780D24CB" w14:textId="77777777" w:rsidTr="00D978C6">
        <w:tc>
          <w:tcPr>
            <w:tcW w:w="1154" w:type="pct"/>
            <w:tcBorders>
              <w:top w:val="nil"/>
              <w:left w:val="nil"/>
              <w:right w:val="nil"/>
            </w:tcBorders>
            <w:noWrap/>
            <w:vAlign w:val="bottom"/>
            <w:hideMark/>
          </w:tcPr>
          <w:p w14:paraId="5B45480A"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347E81">
              <w:rPr>
                <w:rFonts w:ascii="Times New Roman" w:eastAsia="Times New Roman" w:hAnsi="Times New Roman" w:cs="Times New Roman"/>
                <w:color w:val="000000"/>
                <w:sz w:val="20"/>
                <w:szCs w:val="20"/>
                <w:lang w:eastAsia="en-CA"/>
              </w:rPr>
              <w:t>Volatility (</w:t>
            </w:r>
            <w:proofErr w:type="spellStart"/>
            <w:r w:rsidRPr="00347E81">
              <w:rPr>
                <w:rFonts w:ascii="Times New Roman" w:eastAsia="Times New Roman" w:hAnsi="Times New Roman" w:cs="Times New Roman"/>
                <w:color w:val="000000"/>
                <w:sz w:val="20"/>
                <w:szCs w:val="20"/>
                <w:lang w:eastAsia="en-CA"/>
              </w:rPr>
              <w:t>st.dev</w:t>
            </w:r>
            <w:proofErr w:type="spellEnd"/>
            <w:r w:rsidRPr="00347E81">
              <w:rPr>
                <w:rFonts w:ascii="Times New Roman" w:eastAsia="Times New Roman" w:hAnsi="Times New Roman" w:cs="Times New Roman"/>
                <w:color w:val="000000"/>
                <w:sz w:val="20"/>
                <w:szCs w:val="20"/>
                <w:lang w:eastAsia="en-CA"/>
              </w:rPr>
              <w:t>.)</w:t>
            </w:r>
          </w:p>
        </w:tc>
        <w:tc>
          <w:tcPr>
            <w:tcW w:w="554" w:type="pct"/>
            <w:tcBorders>
              <w:top w:val="nil"/>
              <w:left w:val="nil"/>
              <w:right w:val="nil"/>
            </w:tcBorders>
            <w:vAlign w:val="bottom"/>
          </w:tcPr>
          <w:p w14:paraId="0BE97DCE"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right w:val="nil"/>
            </w:tcBorders>
            <w:noWrap/>
            <w:vAlign w:val="bottom"/>
            <w:hideMark/>
          </w:tcPr>
          <w:p w14:paraId="178BF6F8"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2.480</w:t>
            </w:r>
          </w:p>
        </w:tc>
        <w:tc>
          <w:tcPr>
            <w:tcW w:w="516" w:type="pct"/>
            <w:tcBorders>
              <w:top w:val="nil"/>
              <w:left w:val="nil"/>
              <w:right w:val="nil"/>
            </w:tcBorders>
            <w:noWrap/>
            <w:vAlign w:val="bottom"/>
            <w:hideMark/>
          </w:tcPr>
          <w:p w14:paraId="6F8E453C"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3.163</w:t>
            </w:r>
          </w:p>
        </w:tc>
        <w:tc>
          <w:tcPr>
            <w:tcW w:w="516" w:type="pct"/>
            <w:tcBorders>
              <w:top w:val="nil"/>
              <w:left w:val="nil"/>
              <w:right w:val="nil"/>
            </w:tcBorders>
            <w:noWrap/>
            <w:vAlign w:val="bottom"/>
            <w:hideMark/>
          </w:tcPr>
          <w:p w14:paraId="4002F107"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3.821</w:t>
            </w:r>
          </w:p>
        </w:tc>
        <w:tc>
          <w:tcPr>
            <w:tcW w:w="526" w:type="pct"/>
            <w:tcBorders>
              <w:top w:val="nil"/>
              <w:left w:val="nil"/>
              <w:right w:val="nil"/>
            </w:tcBorders>
            <w:noWrap/>
            <w:vAlign w:val="bottom"/>
            <w:hideMark/>
          </w:tcPr>
          <w:p w14:paraId="4BE5787A"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4.064</w:t>
            </w:r>
          </w:p>
        </w:tc>
        <w:tc>
          <w:tcPr>
            <w:tcW w:w="119" w:type="pct"/>
            <w:tcBorders>
              <w:top w:val="nil"/>
              <w:left w:val="nil"/>
              <w:right w:val="nil"/>
            </w:tcBorders>
            <w:vAlign w:val="bottom"/>
          </w:tcPr>
          <w:p w14:paraId="3D4BBF7B"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right w:val="nil"/>
            </w:tcBorders>
            <w:noWrap/>
            <w:vAlign w:val="bottom"/>
            <w:hideMark/>
          </w:tcPr>
          <w:p w14:paraId="1DFD9F63"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right w:val="nil"/>
            </w:tcBorders>
            <w:noWrap/>
            <w:vAlign w:val="bottom"/>
            <w:hideMark/>
          </w:tcPr>
          <w:p w14:paraId="25D85A4E" w14:textId="77777777" w:rsidR="00534F4F" w:rsidRPr="00233A99" w:rsidRDefault="00534F4F" w:rsidP="00D978C6">
            <w:pPr>
              <w:spacing w:after="0" w:line="276" w:lineRule="auto"/>
              <w:rPr>
                <w:rFonts w:ascii="Times New Roman" w:eastAsia="Times New Roman" w:hAnsi="Times New Roman" w:cs="Times New Roman"/>
                <w:sz w:val="20"/>
                <w:szCs w:val="20"/>
                <w:lang w:val="en-GB" w:eastAsia="en-GB"/>
              </w:rPr>
            </w:pPr>
          </w:p>
        </w:tc>
      </w:tr>
      <w:tr w:rsidR="00534F4F" w:rsidRPr="00E10858" w14:paraId="7A0D01F8" w14:textId="77777777" w:rsidTr="00D978C6">
        <w:tc>
          <w:tcPr>
            <w:tcW w:w="1154" w:type="pct"/>
            <w:tcBorders>
              <w:top w:val="nil"/>
              <w:left w:val="nil"/>
              <w:bottom w:val="single" w:sz="4" w:space="0" w:color="auto"/>
              <w:right w:val="nil"/>
            </w:tcBorders>
            <w:noWrap/>
            <w:vAlign w:val="bottom"/>
            <w:hideMark/>
          </w:tcPr>
          <w:p w14:paraId="2B49845F" w14:textId="77777777" w:rsidR="00534F4F" w:rsidRPr="00E10858" w:rsidRDefault="00534F4F" w:rsidP="00D978C6">
            <w:pPr>
              <w:spacing w:after="0" w:line="276" w:lineRule="auto"/>
              <w:rPr>
                <w:rFonts w:ascii="Times New Roman" w:eastAsia="Times New Roman" w:hAnsi="Times New Roman" w:cs="Times New Roman"/>
                <w:color w:val="000000"/>
                <w:sz w:val="20"/>
                <w:szCs w:val="20"/>
                <w:lang w:val="en-GB" w:eastAsia="en-GB"/>
              </w:rPr>
            </w:pPr>
            <w:r w:rsidRPr="00347E81">
              <w:rPr>
                <w:rFonts w:ascii="Times New Roman" w:eastAsia="Times New Roman" w:hAnsi="Times New Roman" w:cs="Times New Roman"/>
                <w:color w:val="000000"/>
                <w:sz w:val="20"/>
                <w:szCs w:val="20"/>
                <w:lang w:eastAsia="en-CA"/>
              </w:rPr>
              <w:t>Annualized Sharpe ratio</w:t>
            </w:r>
          </w:p>
        </w:tc>
        <w:tc>
          <w:tcPr>
            <w:tcW w:w="554" w:type="pct"/>
            <w:tcBorders>
              <w:top w:val="nil"/>
              <w:left w:val="nil"/>
              <w:bottom w:val="single" w:sz="4" w:space="0" w:color="auto"/>
              <w:right w:val="nil"/>
            </w:tcBorders>
            <w:vAlign w:val="bottom"/>
          </w:tcPr>
          <w:p w14:paraId="3E67F778" w14:textId="77777777" w:rsidR="00534F4F" w:rsidRPr="00E10858"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single" w:sz="4" w:space="0" w:color="auto"/>
              <w:right w:val="nil"/>
            </w:tcBorders>
            <w:noWrap/>
            <w:vAlign w:val="bottom"/>
            <w:hideMark/>
          </w:tcPr>
          <w:p w14:paraId="358D90F5"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0.433</w:t>
            </w:r>
          </w:p>
        </w:tc>
        <w:tc>
          <w:tcPr>
            <w:tcW w:w="516" w:type="pct"/>
            <w:tcBorders>
              <w:top w:val="nil"/>
              <w:left w:val="nil"/>
              <w:bottom w:val="single" w:sz="4" w:space="0" w:color="auto"/>
              <w:right w:val="nil"/>
            </w:tcBorders>
            <w:noWrap/>
            <w:vAlign w:val="bottom"/>
            <w:hideMark/>
          </w:tcPr>
          <w:p w14:paraId="12FEE318"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0.584</w:t>
            </w:r>
          </w:p>
        </w:tc>
        <w:tc>
          <w:tcPr>
            <w:tcW w:w="516" w:type="pct"/>
            <w:tcBorders>
              <w:top w:val="nil"/>
              <w:left w:val="nil"/>
              <w:bottom w:val="single" w:sz="4" w:space="0" w:color="auto"/>
              <w:right w:val="nil"/>
            </w:tcBorders>
            <w:noWrap/>
            <w:vAlign w:val="bottom"/>
            <w:hideMark/>
          </w:tcPr>
          <w:p w14:paraId="575ACC42"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0.723</w:t>
            </w:r>
          </w:p>
        </w:tc>
        <w:tc>
          <w:tcPr>
            <w:tcW w:w="526" w:type="pct"/>
            <w:tcBorders>
              <w:top w:val="nil"/>
              <w:left w:val="nil"/>
              <w:bottom w:val="single" w:sz="4" w:space="0" w:color="auto"/>
              <w:right w:val="nil"/>
            </w:tcBorders>
            <w:noWrap/>
            <w:vAlign w:val="bottom"/>
            <w:hideMark/>
          </w:tcPr>
          <w:p w14:paraId="515AF730"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233A99">
              <w:rPr>
                <w:rFonts w:ascii="Times New Roman" w:eastAsia="Times New Roman" w:hAnsi="Times New Roman" w:cs="Times New Roman"/>
                <w:color w:val="000000"/>
                <w:sz w:val="20"/>
                <w:szCs w:val="20"/>
                <w:lang w:val="en-GB" w:eastAsia="en-GB"/>
              </w:rPr>
              <w:t>0.966</w:t>
            </w:r>
          </w:p>
        </w:tc>
        <w:tc>
          <w:tcPr>
            <w:tcW w:w="119" w:type="pct"/>
            <w:tcBorders>
              <w:top w:val="nil"/>
              <w:left w:val="nil"/>
              <w:bottom w:val="single" w:sz="4" w:space="0" w:color="auto"/>
              <w:right w:val="nil"/>
            </w:tcBorders>
            <w:vAlign w:val="bottom"/>
          </w:tcPr>
          <w:p w14:paraId="29C9C5E7"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single" w:sz="4" w:space="0" w:color="auto"/>
              <w:right w:val="nil"/>
            </w:tcBorders>
            <w:noWrap/>
            <w:vAlign w:val="bottom"/>
            <w:hideMark/>
          </w:tcPr>
          <w:p w14:paraId="3CBA041D" w14:textId="77777777" w:rsidR="00534F4F" w:rsidRPr="00233A99"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bottom w:val="single" w:sz="4" w:space="0" w:color="auto"/>
              <w:right w:val="nil"/>
            </w:tcBorders>
            <w:noWrap/>
            <w:vAlign w:val="bottom"/>
            <w:hideMark/>
          </w:tcPr>
          <w:p w14:paraId="473C942B" w14:textId="77777777" w:rsidR="00534F4F" w:rsidRPr="00233A99" w:rsidRDefault="00534F4F" w:rsidP="00D978C6">
            <w:pPr>
              <w:spacing w:after="0" w:line="276" w:lineRule="auto"/>
              <w:rPr>
                <w:rFonts w:ascii="Times New Roman" w:eastAsia="Times New Roman" w:hAnsi="Times New Roman" w:cs="Times New Roman"/>
                <w:sz w:val="20"/>
                <w:szCs w:val="20"/>
                <w:lang w:val="en-GB" w:eastAsia="en-GB"/>
              </w:rPr>
            </w:pPr>
          </w:p>
        </w:tc>
      </w:tr>
    </w:tbl>
    <w:p w14:paraId="60118AD1" w14:textId="77777777" w:rsidR="00534F4F" w:rsidRDefault="00534F4F" w:rsidP="00534F4F">
      <w:pPr>
        <w:spacing w:after="0" w:line="240" w:lineRule="auto"/>
        <w:jc w:val="both"/>
        <w:rPr>
          <w:rFonts w:ascii="Times New Roman" w:hAnsi="Times New Roman" w:cs="Times New Roman"/>
          <w:sz w:val="20"/>
          <w:szCs w:val="20"/>
        </w:rPr>
      </w:pPr>
    </w:p>
    <w:p w14:paraId="1C075A5B" w14:textId="77777777" w:rsidR="00534F4F" w:rsidRDefault="00534F4F" w:rsidP="00534F4F">
      <w:pPr>
        <w:spacing w:line="240" w:lineRule="auto"/>
        <w:jc w:val="both"/>
        <w:rPr>
          <w:rFonts w:ascii="Times New Roman" w:hAnsi="Times New Roman" w:cs="Times New Roman"/>
          <w:sz w:val="20"/>
          <w:szCs w:val="20"/>
        </w:rPr>
      </w:pPr>
      <w:r w:rsidRPr="0029009B">
        <w:rPr>
          <w:rFonts w:ascii="Times New Roman" w:hAnsi="Times New Roman" w:cs="Times New Roman"/>
          <w:sz w:val="20"/>
          <w:szCs w:val="20"/>
        </w:rPr>
        <w:t xml:space="preserve">Panel </w:t>
      </w:r>
      <w:r>
        <w:rPr>
          <w:rFonts w:ascii="Times New Roman" w:hAnsi="Times New Roman" w:cs="Times New Roman"/>
          <w:sz w:val="20"/>
          <w:szCs w:val="20"/>
        </w:rPr>
        <w:t>B</w:t>
      </w:r>
      <w:r w:rsidRPr="0029009B">
        <w:rPr>
          <w:rFonts w:ascii="Times New Roman" w:hAnsi="Times New Roman" w:cs="Times New Roman"/>
          <w:sz w:val="20"/>
          <w:szCs w:val="20"/>
        </w:rPr>
        <w:t xml:space="preserve">: </w:t>
      </w:r>
      <w:r>
        <w:rPr>
          <w:rFonts w:ascii="Times New Roman" w:hAnsi="Times New Roman" w:cs="Times New Roman"/>
          <w:sz w:val="20"/>
          <w:szCs w:val="20"/>
        </w:rPr>
        <w:t>V</w:t>
      </w:r>
      <w:r w:rsidRPr="0029009B">
        <w:rPr>
          <w:rFonts w:ascii="Times New Roman" w:hAnsi="Times New Roman" w:cs="Times New Roman"/>
          <w:sz w:val="20"/>
          <w:szCs w:val="20"/>
        </w:rPr>
        <w:t>W portfolios</w:t>
      </w:r>
    </w:p>
    <w:tbl>
      <w:tblPr>
        <w:tblW w:w="5000" w:type="pct"/>
        <w:tblLook w:val="04A0" w:firstRow="1" w:lastRow="0" w:firstColumn="1" w:lastColumn="0" w:noHBand="0" w:noVBand="1"/>
      </w:tblPr>
      <w:tblGrid>
        <w:gridCol w:w="2160"/>
        <w:gridCol w:w="1037"/>
        <w:gridCol w:w="966"/>
        <w:gridCol w:w="966"/>
        <w:gridCol w:w="966"/>
        <w:gridCol w:w="985"/>
        <w:gridCol w:w="223"/>
        <w:gridCol w:w="1183"/>
        <w:gridCol w:w="874"/>
      </w:tblGrid>
      <w:tr w:rsidR="00534F4F" w:rsidRPr="007D3FDE" w14:paraId="4C888534" w14:textId="77777777" w:rsidTr="00D978C6">
        <w:tc>
          <w:tcPr>
            <w:tcW w:w="1154" w:type="pct"/>
            <w:tcBorders>
              <w:top w:val="single" w:sz="4" w:space="0" w:color="auto"/>
              <w:left w:val="nil"/>
              <w:right w:val="nil"/>
            </w:tcBorders>
            <w:noWrap/>
            <w:vAlign w:val="bottom"/>
            <w:hideMark/>
          </w:tcPr>
          <w:p w14:paraId="61221426"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w:t>
            </w:r>
          </w:p>
        </w:tc>
        <w:tc>
          <w:tcPr>
            <w:tcW w:w="554" w:type="pct"/>
            <w:tcBorders>
              <w:top w:val="single" w:sz="4" w:space="0" w:color="auto"/>
              <w:left w:val="nil"/>
              <w:right w:val="nil"/>
            </w:tcBorders>
            <w:vAlign w:val="bottom"/>
          </w:tcPr>
          <w:p w14:paraId="736BCD65"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516" w:type="pct"/>
            <w:tcBorders>
              <w:top w:val="single" w:sz="4" w:space="0" w:color="auto"/>
              <w:left w:val="nil"/>
              <w:right w:val="nil"/>
            </w:tcBorders>
            <w:noWrap/>
            <w:vAlign w:val="bottom"/>
            <w:hideMark/>
          </w:tcPr>
          <w:p w14:paraId="09B3827F"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w:t>
            </w:r>
          </w:p>
        </w:tc>
        <w:tc>
          <w:tcPr>
            <w:tcW w:w="516" w:type="pct"/>
            <w:tcBorders>
              <w:top w:val="single" w:sz="4" w:space="0" w:color="auto"/>
              <w:left w:val="nil"/>
              <w:right w:val="nil"/>
            </w:tcBorders>
            <w:noWrap/>
            <w:vAlign w:val="bottom"/>
            <w:hideMark/>
          </w:tcPr>
          <w:p w14:paraId="46A1FDB4"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w:t>
            </w:r>
          </w:p>
        </w:tc>
        <w:tc>
          <w:tcPr>
            <w:tcW w:w="516" w:type="pct"/>
            <w:tcBorders>
              <w:top w:val="single" w:sz="4" w:space="0" w:color="auto"/>
              <w:left w:val="nil"/>
              <w:right w:val="nil"/>
            </w:tcBorders>
            <w:noWrap/>
            <w:vAlign w:val="bottom"/>
            <w:hideMark/>
          </w:tcPr>
          <w:p w14:paraId="4F8ECBBD"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VU</w:t>
            </w:r>
          </w:p>
        </w:tc>
        <w:tc>
          <w:tcPr>
            <w:tcW w:w="526" w:type="pct"/>
            <w:tcBorders>
              <w:top w:val="single" w:sz="4" w:space="0" w:color="auto"/>
              <w:left w:val="nil"/>
              <w:right w:val="nil"/>
            </w:tcBorders>
            <w:noWrap/>
            <w:vAlign w:val="bottom"/>
            <w:hideMark/>
          </w:tcPr>
          <w:p w14:paraId="342AFA56"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w:t>
            </w:r>
          </w:p>
        </w:tc>
        <w:tc>
          <w:tcPr>
            <w:tcW w:w="119" w:type="pct"/>
            <w:tcBorders>
              <w:top w:val="single" w:sz="4" w:space="0" w:color="auto"/>
              <w:left w:val="nil"/>
              <w:right w:val="nil"/>
            </w:tcBorders>
            <w:vAlign w:val="bottom"/>
          </w:tcPr>
          <w:p w14:paraId="6FD28590"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632" w:type="pct"/>
            <w:tcBorders>
              <w:top w:val="single" w:sz="4" w:space="0" w:color="auto"/>
              <w:left w:val="nil"/>
              <w:right w:val="nil"/>
            </w:tcBorders>
            <w:noWrap/>
            <w:vAlign w:val="bottom"/>
            <w:hideMark/>
          </w:tcPr>
          <w:p w14:paraId="7A5ADAB9"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w:t>
            </w:r>
          </w:p>
        </w:tc>
        <w:tc>
          <w:tcPr>
            <w:tcW w:w="467" w:type="pct"/>
            <w:tcBorders>
              <w:top w:val="single" w:sz="4" w:space="0" w:color="auto"/>
              <w:left w:val="nil"/>
              <w:right w:val="nil"/>
            </w:tcBorders>
            <w:noWrap/>
            <w:vAlign w:val="bottom"/>
            <w:hideMark/>
          </w:tcPr>
          <w:p w14:paraId="0A85DD54"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w:t>
            </w:r>
          </w:p>
        </w:tc>
      </w:tr>
      <w:tr w:rsidR="00534F4F" w:rsidRPr="007D3FDE" w14:paraId="79E546C7" w14:textId="77777777" w:rsidTr="00D978C6">
        <w:tc>
          <w:tcPr>
            <w:tcW w:w="1154" w:type="pct"/>
            <w:tcBorders>
              <w:left w:val="nil"/>
              <w:bottom w:val="nil"/>
              <w:right w:val="nil"/>
            </w:tcBorders>
            <w:noWrap/>
            <w:vAlign w:val="bottom"/>
            <w:hideMark/>
          </w:tcPr>
          <w:p w14:paraId="2C6B03BE"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554" w:type="pct"/>
            <w:tcBorders>
              <w:left w:val="nil"/>
              <w:right w:val="nil"/>
            </w:tcBorders>
            <w:vAlign w:val="bottom"/>
          </w:tcPr>
          <w:p w14:paraId="207B606C"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left w:val="nil"/>
              <w:bottom w:val="single" w:sz="4" w:space="0" w:color="auto"/>
              <w:right w:val="nil"/>
            </w:tcBorders>
            <w:noWrap/>
            <w:vAlign w:val="bottom"/>
            <w:hideMark/>
          </w:tcPr>
          <w:p w14:paraId="382EE541"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Low</w:t>
            </w:r>
          </w:p>
        </w:tc>
        <w:tc>
          <w:tcPr>
            <w:tcW w:w="516" w:type="pct"/>
            <w:tcBorders>
              <w:left w:val="nil"/>
              <w:bottom w:val="single" w:sz="4" w:space="0" w:color="auto"/>
              <w:right w:val="nil"/>
            </w:tcBorders>
            <w:noWrap/>
            <w:vAlign w:val="bottom"/>
            <w:hideMark/>
          </w:tcPr>
          <w:p w14:paraId="7A1DB62B"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2</w:t>
            </w:r>
          </w:p>
        </w:tc>
        <w:tc>
          <w:tcPr>
            <w:tcW w:w="516" w:type="pct"/>
            <w:tcBorders>
              <w:left w:val="nil"/>
              <w:bottom w:val="single" w:sz="4" w:space="0" w:color="auto"/>
              <w:right w:val="nil"/>
            </w:tcBorders>
            <w:noWrap/>
            <w:vAlign w:val="bottom"/>
            <w:hideMark/>
          </w:tcPr>
          <w:p w14:paraId="60E27B5E"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3</w:t>
            </w:r>
          </w:p>
        </w:tc>
        <w:tc>
          <w:tcPr>
            <w:tcW w:w="526" w:type="pct"/>
            <w:tcBorders>
              <w:left w:val="nil"/>
              <w:bottom w:val="single" w:sz="4" w:space="0" w:color="auto"/>
              <w:right w:val="nil"/>
            </w:tcBorders>
            <w:noWrap/>
            <w:vAlign w:val="bottom"/>
            <w:hideMark/>
          </w:tcPr>
          <w:p w14:paraId="6BA3A6C7"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High</w:t>
            </w:r>
          </w:p>
        </w:tc>
        <w:tc>
          <w:tcPr>
            <w:tcW w:w="119" w:type="pct"/>
            <w:tcBorders>
              <w:left w:val="nil"/>
              <w:bottom w:val="single" w:sz="4" w:space="0" w:color="auto"/>
              <w:right w:val="nil"/>
            </w:tcBorders>
            <w:vAlign w:val="bottom"/>
          </w:tcPr>
          <w:p w14:paraId="00421423"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left w:val="nil"/>
              <w:bottom w:val="single" w:sz="4" w:space="0" w:color="auto"/>
              <w:right w:val="nil"/>
            </w:tcBorders>
            <w:noWrap/>
            <w:vAlign w:val="bottom"/>
            <w:hideMark/>
          </w:tcPr>
          <w:p w14:paraId="020B2F4D"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High – Low</w:t>
            </w:r>
          </w:p>
        </w:tc>
        <w:tc>
          <w:tcPr>
            <w:tcW w:w="467" w:type="pct"/>
            <w:tcBorders>
              <w:left w:val="nil"/>
              <w:bottom w:val="single" w:sz="4" w:space="0" w:color="auto"/>
              <w:right w:val="nil"/>
            </w:tcBorders>
            <w:noWrap/>
            <w:vAlign w:val="bottom"/>
            <w:hideMark/>
          </w:tcPr>
          <w:p w14:paraId="02225360"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i/>
                <w:iCs/>
                <w:color w:val="000000"/>
                <w:sz w:val="20"/>
                <w:szCs w:val="20"/>
                <w:lang w:val="en-GB" w:eastAsia="en-GB"/>
              </w:rPr>
              <w:t>p</w:t>
            </w:r>
            <w:r w:rsidRPr="007D3FDE">
              <w:rPr>
                <w:rFonts w:ascii="Times New Roman" w:eastAsia="Times New Roman" w:hAnsi="Times New Roman" w:cs="Times New Roman"/>
                <w:color w:val="000000"/>
                <w:sz w:val="20"/>
                <w:szCs w:val="20"/>
                <w:lang w:val="en-GB" w:eastAsia="en-GB"/>
              </w:rPr>
              <w:t>-value</w:t>
            </w:r>
          </w:p>
        </w:tc>
      </w:tr>
      <w:tr w:rsidR="00534F4F" w:rsidRPr="007D3FDE" w14:paraId="29D8A9D5" w14:textId="77777777" w:rsidTr="00D978C6">
        <w:tc>
          <w:tcPr>
            <w:tcW w:w="1154" w:type="pct"/>
            <w:tcBorders>
              <w:top w:val="nil"/>
              <w:left w:val="nil"/>
              <w:bottom w:val="nil"/>
              <w:right w:val="nil"/>
            </w:tcBorders>
            <w:noWrap/>
            <w:vAlign w:val="bottom"/>
            <w:hideMark/>
          </w:tcPr>
          <w:p w14:paraId="6BD93418" w14:textId="77777777" w:rsidR="00534F4F" w:rsidRPr="007D3FDE" w:rsidRDefault="00534F4F" w:rsidP="00D978C6">
            <w:pPr>
              <w:spacing w:after="0" w:line="276" w:lineRule="auto"/>
              <w:rPr>
                <w:rFonts w:ascii="Times New Roman" w:eastAsia="Times New Roman" w:hAnsi="Times New Roman" w:cs="Times New Roman"/>
                <w:i/>
                <w:iCs/>
                <w:color w:val="000000"/>
                <w:sz w:val="20"/>
                <w:szCs w:val="20"/>
                <w:u w:val="single"/>
                <w:lang w:val="en-GB" w:eastAsia="en-GB"/>
              </w:rPr>
            </w:pPr>
            <w:r w:rsidRPr="007D3FDE">
              <w:rPr>
                <w:rFonts w:ascii="Times New Roman" w:eastAsia="Times New Roman" w:hAnsi="Times New Roman" w:cs="Times New Roman"/>
                <w:iCs/>
                <w:color w:val="000000"/>
                <w:sz w:val="20"/>
                <w:szCs w:val="20"/>
                <w:u w:val="single"/>
                <w:lang w:eastAsia="en-CA"/>
              </w:rPr>
              <w:t>Price-to-value</w:t>
            </w:r>
          </w:p>
        </w:tc>
        <w:tc>
          <w:tcPr>
            <w:tcW w:w="554" w:type="pct"/>
            <w:tcBorders>
              <w:top w:val="nil"/>
              <w:left w:val="nil"/>
              <w:bottom w:val="single" w:sz="4" w:space="0" w:color="auto"/>
              <w:right w:val="nil"/>
            </w:tcBorders>
            <w:vAlign w:val="bottom"/>
          </w:tcPr>
          <w:p w14:paraId="06B05F41"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Exp. Sign</w:t>
            </w:r>
          </w:p>
        </w:tc>
        <w:tc>
          <w:tcPr>
            <w:tcW w:w="516" w:type="pct"/>
            <w:tcBorders>
              <w:top w:val="single" w:sz="4" w:space="0" w:color="auto"/>
              <w:left w:val="nil"/>
              <w:bottom w:val="nil"/>
              <w:right w:val="nil"/>
            </w:tcBorders>
            <w:noWrap/>
            <w:vAlign w:val="bottom"/>
            <w:hideMark/>
          </w:tcPr>
          <w:p w14:paraId="3742EEB2" w14:textId="77777777" w:rsidR="00534F4F" w:rsidRPr="007D3FDE" w:rsidRDefault="00534F4F" w:rsidP="00D978C6">
            <w:pPr>
              <w:spacing w:after="0" w:line="276" w:lineRule="auto"/>
              <w:rPr>
                <w:rFonts w:ascii="Times New Roman" w:eastAsia="Times New Roman" w:hAnsi="Times New Roman" w:cs="Times New Roman"/>
                <w:i/>
                <w:iCs/>
                <w:color w:val="000000"/>
                <w:sz w:val="20"/>
                <w:szCs w:val="20"/>
                <w:lang w:val="en-GB" w:eastAsia="en-GB"/>
              </w:rPr>
            </w:pPr>
          </w:p>
        </w:tc>
        <w:tc>
          <w:tcPr>
            <w:tcW w:w="516" w:type="pct"/>
            <w:tcBorders>
              <w:top w:val="single" w:sz="4" w:space="0" w:color="auto"/>
              <w:left w:val="nil"/>
              <w:bottom w:val="nil"/>
              <w:right w:val="nil"/>
            </w:tcBorders>
            <w:noWrap/>
            <w:vAlign w:val="bottom"/>
            <w:hideMark/>
          </w:tcPr>
          <w:p w14:paraId="1DCBF157" w14:textId="77777777" w:rsidR="00534F4F" w:rsidRPr="007D3FDE"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516" w:type="pct"/>
            <w:tcBorders>
              <w:top w:val="single" w:sz="4" w:space="0" w:color="auto"/>
              <w:left w:val="nil"/>
              <w:bottom w:val="nil"/>
              <w:right w:val="nil"/>
            </w:tcBorders>
            <w:noWrap/>
            <w:vAlign w:val="bottom"/>
            <w:hideMark/>
          </w:tcPr>
          <w:p w14:paraId="33F665CE" w14:textId="77777777" w:rsidR="00534F4F" w:rsidRPr="007D3FDE"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526" w:type="pct"/>
            <w:tcBorders>
              <w:top w:val="single" w:sz="4" w:space="0" w:color="auto"/>
              <w:left w:val="nil"/>
              <w:bottom w:val="nil"/>
              <w:right w:val="nil"/>
            </w:tcBorders>
            <w:noWrap/>
            <w:vAlign w:val="bottom"/>
            <w:hideMark/>
          </w:tcPr>
          <w:p w14:paraId="0EAC6974" w14:textId="77777777" w:rsidR="00534F4F" w:rsidRPr="007D3FDE"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119" w:type="pct"/>
            <w:tcBorders>
              <w:top w:val="single" w:sz="4" w:space="0" w:color="auto"/>
              <w:left w:val="nil"/>
              <w:bottom w:val="nil"/>
              <w:right w:val="nil"/>
            </w:tcBorders>
            <w:vAlign w:val="bottom"/>
          </w:tcPr>
          <w:p w14:paraId="075643E9" w14:textId="77777777" w:rsidR="00534F4F" w:rsidRPr="007D3FDE"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632" w:type="pct"/>
            <w:tcBorders>
              <w:top w:val="single" w:sz="4" w:space="0" w:color="auto"/>
              <w:left w:val="nil"/>
              <w:bottom w:val="nil"/>
              <w:right w:val="nil"/>
            </w:tcBorders>
            <w:noWrap/>
            <w:vAlign w:val="bottom"/>
            <w:hideMark/>
          </w:tcPr>
          <w:p w14:paraId="13780109" w14:textId="77777777" w:rsidR="00534F4F" w:rsidRPr="007D3FDE" w:rsidRDefault="00534F4F" w:rsidP="00D978C6">
            <w:pPr>
              <w:spacing w:after="0" w:line="276" w:lineRule="auto"/>
              <w:jc w:val="center"/>
              <w:rPr>
                <w:rFonts w:ascii="Times New Roman" w:eastAsia="Times New Roman" w:hAnsi="Times New Roman" w:cs="Times New Roman"/>
                <w:sz w:val="20"/>
                <w:szCs w:val="20"/>
                <w:lang w:val="en-GB" w:eastAsia="en-GB"/>
              </w:rPr>
            </w:pPr>
          </w:p>
        </w:tc>
        <w:tc>
          <w:tcPr>
            <w:tcW w:w="467" w:type="pct"/>
            <w:tcBorders>
              <w:top w:val="single" w:sz="4" w:space="0" w:color="auto"/>
              <w:left w:val="nil"/>
              <w:bottom w:val="nil"/>
              <w:right w:val="nil"/>
            </w:tcBorders>
            <w:noWrap/>
            <w:vAlign w:val="bottom"/>
            <w:hideMark/>
          </w:tcPr>
          <w:p w14:paraId="7DCC835E" w14:textId="77777777" w:rsidR="00534F4F" w:rsidRPr="007D3FDE" w:rsidRDefault="00534F4F" w:rsidP="00D978C6">
            <w:pPr>
              <w:spacing w:after="0" w:line="276" w:lineRule="auto"/>
              <w:rPr>
                <w:rFonts w:ascii="Times New Roman" w:eastAsia="Times New Roman" w:hAnsi="Times New Roman" w:cs="Times New Roman"/>
                <w:sz w:val="20"/>
                <w:szCs w:val="20"/>
                <w:lang w:val="en-GB" w:eastAsia="en-GB"/>
              </w:rPr>
            </w:pPr>
          </w:p>
        </w:tc>
      </w:tr>
      <w:tr w:rsidR="00534F4F" w:rsidRPr="007D3FDE" w14:paraId="7539547D" w14:textId="77777777" w:rsidTr="00D978C6">
        <w:tc>
          <w:tcPr>
            <w:tcW w:w="1154" w:type="pct"/>
            <w:tcBorders>
              <w:top w:val="nil"/>
              <w:left w:val="nil"/>
              <w:bottom w:val="nil"/>
              <w:right w:val="nil"/>
            </w:tcBorders>
            <w:noWrap/>
            <w:vAlign w:val="bottom"/>
            <w:hideMark/>
          </w:tcPr>
          <w:p w14:paraId="77F80D71"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Low</w:t>
            </w:r>
          </w:p>
        </w:tc>
        <w:tc>
          <w:tcPr>
            <w:tcW w:w="554" w:type="pct"/>
            <w:tcBorders>
              <w:top w:val="single" w:sz="4" w:space="0" w:color="auto"/>
              <w:left w:val="nil"/>
              <w:bottom w:val="nil"/>
              <w:right w:val="nil"/>
            </w:tcBorders>
            <w:vAlign w:val="bottom"/>
          </w:tcPr>
          <w:p w14:paraId="0228A9AE"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6D0234FA"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1.264</w:t>
            </w:r>
          </w:p>
        </w:tc>
        <w:tc>
          <w:tcPr>
            <w:tcW w:w="516" w:type="pct"/>
            <w:tcBorders>
              <w:top w:val="nil"/>
              <w:left w:val="nil"/>
              <w:bottom w:val="nil"/>
              <w:right w:val="nil"/>
            </w:tcBorders>
            <w:noWrap/>
            <w:vAlign w:val="bottom"/>
            <w:hideMark/>
          </w:tcPr>
          <w:p w14:paraId="08B7409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1.537</w:t>
            </w:r>
          </w:p>
        </w:tc>
        <w:tc>
          <w:tcPr>
            <w:tcW w:w="516" w:type="pct"/>
            <w:tcBorders>
              <w:top w:val="nil"/>
              <w:left w:val="nil"/>
              <w:bottom w:val="nil"/>
              <w:right w:val="nil"/>
            </w:tcBorders>
            <w:noWrap/>
            <w:vAlign w:val="bottom"/>
            <w:hideMark/>
          </w:tcPr>
          <w:p w14:paraId="79352B9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1.604</w:t>
            </w:r>
          </w:p>
        </w:tc>
        <w:tc>
          <w:tcPr>
            <w:tcW w:w="526" w:type="pct"/>
            <w:tcBorders>
              <w:top w:val="nil"/>
              <w:left w:val="nil"/>
              <w:bottom w:val="nil"/>
              <w:right w:val="nil"/>
            </w:tcBorders>
            <w:noWrap/>
            <w:vAlign w:val="bottom"/>
            <w:hideMark/>
          </w:tcPr>
          <w:p w14:paraId="07D5C75A"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1.558</w:t>
            </w:r>
          </w:p>
        </w:tc>
        <w:tc>
          <w:tcPr>
            <w:tcW w:w="119" w:type="pct"/>
            <w:tcBorders>
              <w:top w:val="nil"/>
              <w:left w:val="nil"/>
              <w:bottom w:val="nil"/>
              <w:right w:val="nil"/>
            </w:tcBorders>
            <w:vAlign w:val="bottom"/>
          </w:tcPr>
          <w:p w14:paraId="2F4D8177"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4B6C8DCB"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0.294</w:t>
            </w:r>
          </w:p>
        </w:tc>
        <w:tc>
          <w:tcPr>
            <w:tcW w:w="467" w:type="pct"/>
            <w:tcBorders>
              <w:top w:val="nil"/>
              <w:left w:val="nil"/>
              <w:bottom w:val="nil"/>
              <w:right w:val="nil"/>
            </w:tcBorders>
            <w:noWrap/>
            <w:vAlign w:val="bottom"/>
            <w:hideMark/>
          </w:tcPr>
          <w:p w14:paraId="1E887D3D"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0.224</w:t>
            </w:r>
            <w:r>
              <w:rPr>
                <w:rFonts w:ascii="Times New Roman" w:eastAsia="Times New Roman" w:hAnsi="Times New Roman" w:cs="Times New Roman"/>
                <w:color w:val="000000"/>
                <w:sz w:val="20"/>
                <w:szCs w:val="20"/>
                <w:lang w:val="en-GB" w:eastAsia="en-GB"/>
              </w:rPr>
              <w:t>)</w:t>
            </w:r>
          </w:p>
        </w:tc>
      </w:tr>
      <w:tr w:rsidR="00534F4F" w:rsidRPr="007D3FDE" w14:paraId="5BC58F1E" w14:textId="77777777" w:rsidTr="00D978C6">
        <w:tc>
          <w:tcPr>
            <w:tcW w:w="1154" w:type="pct"/>
            <w:tcBorders>
              <w:top w:val="nil"/>
              <w:left w:val="nil"/>
              <w:bottom w:val="nil"/>
              <w:right w:val="nil"/>
            </w:tcBorders>
            <w:noWrap/>
            <w:vAlign w:val="bottom"/>
            <w:hideMark/>
          </w:tcPr>
          <w:p w14:paraId="336B3C9E"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2</w:t>
            </w:r>
          </w:p>
        </w:tc>
        <w:tc>
          <w:tcPr>
            <w:tcW w:w="554" w:type="pct"/>
            <w:tcBorders>
              <w:top w:val="nil"/>
              <w:left w:val="nil"/>
              <w:bottom w:val="nil"/>
              <w:right w:val="nil"/>
            </w:tcBorders>
            <w:vAlign w:val="bottom"/>
          </w:tcPr>
          <w:p w14:paraId="340140F5"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2F25BC6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1.257</w:t>
            </w:r>
          </w:p>
        </w:tc>
        <w:tc>
          <w:tcPr>
            <w:tcW w:w="516" w:type="pct"/>
            <w:tcBorders>
              <w:top w:val="nil"/>
              <w:left w:val="nil"/>
              <w:bottom w:val="nil"/>
              <w:right w:val="nil"/>
            </w:tcBorders>
            <w:noWrap/>
            <w:vAlign w:val="bottom"/>
            <w:hideMark/>
          </w:tcPr>
          <w:p w14:paraId="55B90372"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1.281</w:t>
            </w:r>
          </w:p>
        </w:tc>
        <w:tc>
          <w:tcPr>
            <w:tcW w:w="516" w:type="pct"/>
            <w:tcBorders>
              <w:top w:val="nil"/>
              <w:left w:val="nil"/>
              <w:bottom w:val="nil"/>
              <w:right w:val="nil"/>
            </w:tcBorders>
            <w:noWrap/>
            <w:vAlign w:val="bottom"/>
            <w:hideMark/>
          </w:tcPr>
          <w:p w14:paraId="35C61251"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1.342</w:t>
            </w:r>
          </w:p>
        </w:tc>
        <w:tc>
          <w:tcPr>
            <w:tcW w:w="526" w:type="pct"/>
            <w:tcBorders>
              <w:top w:val="nil"/>
              <w:left w:val="nil"/>
              <w:bottom w:val="nil"/>
              <w:right w:val="nil"/>
            </w:tcBorders>
            <w:noWrap/>
            <w:vAlign w:val="bottom"/>
            <w:hideMark/>
          </w:tcPr>
          <w:p w14:paraId="0AB98878"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1.382</w:t>
            </w:r>
          </w:p>
        </w:tc>
        <w:tc>
          <w:tcPr>
            <w:tcW w:w="119" w:type="pct"/>
            <w:tcBorders>
              <w:top w:val="nil"/>
              <w:left w:val="nil"/>
              <w:bottom w:val="nil"/>
              <w:right w:val="nil"/>
            </w:tcBorders>
            <w:vAlign w:val="bottom"/>
          </w:tcPr>
          <w:p w14:paraId="0AB50B4F"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5E7F9383"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0.124</w:t>
            </w:r>
          </w:p>
        </w:tc>
        <w:tc>
          <w:tcPr>
            <w:tcW w:w="467" w:type="pct"/>
            <w:tcBorders>
              <w:top w:val="nil"/>
              <w:left w:val="nil"/>
              <w:bottom w:val="nil"/>
              <w:right w:val="nil"/>
            </w:tcBorders>
            <w:noWrap/>
            <w:vAlign w:val="bottom"/>
            <w:hideMark/>
          </w:tcPr>
          <w:p w14:paraId="5F4B032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0.605</w:t>
            </w:r>
            <w:r>
              <w:rPr>
                <w:rFonts w:ascii="Times New Roman" w:eastAsia="Times New Roman" w:hAnsi="Times New Roman" w:cs="Times New Roman"/>
                <w:color w:val="000000"/>
                <w:sz w:val="20"/>
                <w:szCs w:val="20"/>
                <w:lang w:val="en-GB" w:eastAsia="en-GB"/>
              </w:rPr>
              <w:t>)</w:t>
            </w:r>
          </w:p>
        </w:tc>
      </w:tr>
      <w:tr w:rsidR="00534F4F" w:rsidRPr="007D3FDE" w14:paraId="7DEB95A1" w14:textId="77777777" w:rsidTr="00D978C6">
        <w:tc>
          <w:tcPr>
            <w:tcW w:w="1154" w:type="pct"/>
            <w:tcBorders>
              <w:top w:val="nil"/>
              <w:left w:val="nil"/>
              <w:bottom w:val="nil"/>
              <w:right w:val="nil"/>
            </w:tcBorders>
            <w:noWrap/>
            <w:vAlign w:val="bottom"/>
            <w:hideMark/>
          </w:tcPr>
          <w:p w14:paraId="45104D76"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3</w:t>
            </w:r>
          </w:p>
        </w:tc>
        <w:tc>
          <w:tcPr>
            <w:tcW w:w="554" w:type="pct"/>
            <w:tcBorders>
              <w:top w:val="nil"/>
              <w:left w:val="nil"/>
              <w:bottom w:val="nil"/>
              <w:right w:val="nil"/>
            </w:tcBorders>
            <w:vAlign w:val="bottom"/>
          </w:tcPr>
          <w:p w14:paraId="1D78805C"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32E110C1"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1.152</w:t>
            </w:r>
          </w:p>
        </w:tc>
        <w:tc>
          <w:tcPr>
            <w:tcW w:w="516" w:type="pct"/>
            <w:tcBorders>
              <w:top w:val="nil"/>
              <w:left w:val="nil"/>
              <w:bottom w:val="nil"/>
              <w:right w:val="nil"/>
            </w:tcBorders>
            <w:noWrap/>
            <w:vAlign w:val="bottom"/>
            <w:hideMark/>
          </w:tcPr>
          <w:p w14:paraId="7F4C92F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1.102</w:t>
            </w:r>
          </w:p>
        </w:tc>
        <w:tc>
          <w:tcPr>
            <w:tcW w:w="516" w:type="pct"/>
            <w:tcBorders>
              <w:top w:val="nil"/>
              <w:left w:val="nil"/>
              <w:bottom w:val="nil"/>
              <w:right w:val="nil"/>
            </w:tcBorders>
            <w:noWrap/>
            <w:vAlign w:val="bottom"/>
            <w:hideMark/>
          </w:tcPr>
          <w:p w14:paraId="37AE887D"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1.137</w:t>
            </w:r>
          </w:p>
        </w:tc>
        <w:tc>
          <w:tcPr>
            <w:tcW w:w="526" w:type="pct"/>
            <w:tcBorders>
              <w:top w:val="nil"/>
              <w:left w:val="nil"/>
              <w:bottom w:val="nil"/>
              <w:right w:val="nil"/>
            </w:tcBorders>
            <w:noWrap/>
            <w:vAlign w:val="bottom"/>
            <w:hideMark/>
          </w:tcPr>
          <w:p w14:paraId="3DB6E1FA"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1.084</w:t>
            </w:r>
          </w:p>
        </w:tc>
        <w:tc>
          <w:tcPr>
            <w:tcW w:w="119" w:type="pct"/>
            <w:tcBorders>
              <w:top w:val="nil"/>
              <w:left w:val="nil"/>
              <w:bottom w:val="nil"/>
              <w:right w:val="nil"/>
            </w:tcBorders>
            <w:vAlign w:val="bottom"/>
          </w:tcPr>
          <w:p w14:paraId="2C0800FF"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4A1B13E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-0.068</w:t>
            </w:r>
          </w:p>
        </w:tc>
        <w:tc>
          <w:tcPr>
            <w:tcW w:w="467" w:type="pct"/>
            <w:tcBorders>
              <w:top w:val="nil"/>
              <w:left w:val="nil"/>
              <w:bottom w:val="nil"/>
              <w:right w:val="nil"/>
            </w:tcBorders>
            <w:noWrap/>
            <w:vAlign w:val="bottom"/>
            <w:hideMark/>
          </w:tcPr>
          <w:p w14:paraId="0BD8240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0.776</w:t>
            </w:r>
            <w:r>
              <w:rPr>
                <w:rFonts w:ascii="Times New Roman" w:eastAsia="Times New Roman" w:hAnsi="Times New Roman" w:cs="Times New Roman"/>
                <w:color w:val="000000"/>
                <w:sz w:val="20"/>
                <w:szCs w:val="20"/>
                <w:lang w:val="en-GB" w:eastAsia="en-GB"/>
              </w:rPr>
              <w:t>)</w:t>
            </w:r>
          </w:p>
        </w:tc>
      </w:tr>
      <w:tr w:rsidR="00534F4F" w:rsidRPr="007D3FDE" w14:paraId="345AB3D0" w14:textId="77777777" w:rsidTr="00D978C6">
        <w:tc>
          <w:tcPr>
            <w:tcW w:w="1154" w:type="pct"/>
            <w:tcBorders>
              <w:top w:val="nil"/>
              <w:left w:val="nil"/>
              <w:bottom w:val="nil"/>
              <w:right w:val="nil"/>
            </w:tcBorders>
            <w:noWrap/>
            <w:vAlign w:val="bottom"/>
            <w:hideMark/>
          </w:tcPr>
          <w:p w14:paraId="51D8474F"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High</w:t>
            </w:r>
          </w:p>
        </w:tc>
        <w:tc>
          <w:tcPr>
            <w:tcW w:w="554" w:type="pct"/>
            <w:tcBorders>
              <w:top w:val="nil"/>
              <w:left w:val="nil"/>
              <w:bottom w:val="nil"/>
              <w:right w:val="nil"/>
            </w:tcBorders>
            <w:vAlign w:val="bottom"/>
          </w:tcPr>
          <w:p w14:paraId="71348B6C"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07D5936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1.026</w:t>
            </w:r>
          </w:p>
        </w:tc>
        <w:tc>
          <w:tcPr>
            <w:tcW w:w="516" w:type="pct"/>
            <w:tcBorders>
              <w:top w:val="nil"/>
              <w:left w:val="nil"/>
              <w:bottom w:val="nil"/>
              <w:right w:val="nil"/>
            </w:tcBorders>
            <w:noWrap/>
            <w:vAlign w:val="bottom"/>
            <w:hideMark/>
          </w:tcPr>
          <w:p w14:paraId="27841F33"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0.961</w:t>
            </w:r>
          </w:p>
        </w:tc>
        <w:tc>
          <w:tcPr>
            <w:tcW w:w="516" w:type="pct"/>
            <w:tcBorders>
              <w:top w:val="nil"/>
              <w:left w:val="nil"/>
              <w:bottom w:val="nil"/>
              <w:right w:val="nil"/>
            </w:tcBorders>
            <w:noWrap/>
            <w:vAlign w:val="bottom"/>
            <w:hideMark/>
          </w:tcPr>
          <w:p w14:paraId="12ADA007"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1.016</w:t>
            </w:r>
          </w:p>
        </w:tc>
        <w:tc>
          <w:tcPr>
            <w:tcW w:w="526" w:type="pct"/>
            <w:tcBorders>
              <w:top w:val="nil"/>
              <w:left w:val="nil"/>
              <w:bottom w:val="nil"/>
              <w:right w:val="nil"/>
            </w:tcBorders>
            <w:noWrap/>
            <w:vAlign w:val="bottom"/>
            <w:hideMark/>
          </w:tcPr>
          <w:p w14:paraId="29E0DE5F"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0.722</w:t>
            </w:r>
          </w:p>
        </w:tc>
        <w:tc>
          <w:tcPr>
            <w:tcW w:w="119" w:type="pct"/>
            <w:tcBorders>
              <w:top w:val="nil"/>
              <w:left w:val="nil"/>
              <w:bottom w:val="nil"/>
              <w:right w:val="nil"/>
            </w:tcBorders>
            <w:vAlign w:val="bottom"/>
          </w:tcPr>
          <w:p w14:paraId="32BFB456"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7F76083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-0.304</w:t>
            </w:r>
          </w:p>
        </w:tc>
        <w:tc>
          <w:tcPr>
            <w:tcW w:w="467" w:type="pct"/>
            <w:tcBorders>
              <w:top w:val="nil"/>
              <w:left w:val="nil"/>
              <w:bottom w:val="nil"/>
              <w:right w:val="nil"/>
            </w:tcBorders>
            <w:noWrap/>
            <w:vAlign w:val="bottom"/>
            <w:hideMark/>
          </w:tcPr>
          <w:p w14:paraId="6E259F3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0.215</w:t>
            </w:r>
            <w:r>
              <w:rPr>
                <w:rFonts w:ascii="Times New Roman" w:eastAsia="Times New Roman" w:hAnsi="Times New Roman" w:cs="Times New Roman"/>
                <w:color w:val="000000"/>
                <w:sz w:val="20"/>
                <w:szCs w:val="20"/>
                <w:lang w:val="en-GB" w:eastAsia="en-GB"/>
              </w:rPr>
              <w:t>)</w:t>
            </w:r>
          </w:p>
        </w:tc>
      </w:tr>
      <w:tr w:rsidR="00534F4F" w:rsidRPr="007D3FDE" w14:paraId="26CBBA62" w14:textId="77777777" w:rsidTr="00D978C6">
        <w:tc>
          <w:tcPr>
            <w:tcW w:w="1154" w:type="pct"/>
            <w:tcBorders>
              <w:top w:val="nil"/>
              <w:left w:val="nil"/>
              <w:bottom w:val="nil"/>
              <w:right w:val="nil"/>
            </w:tcBorders>
            <w:noWrap/>
            <w:vAlign w:val="bottom"/>
          </w:tcPr>
          <w:p w14:paraId="16B10583"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p>
        </w:tc>
        <w:tc>
          <w:tcPr>
            <w:tcW w:w="554" w:type="pct"/>
            <w:tcBorders>
              <w:top w:val="nil"/>
              <w:left w:val="nil"/>
              <w:bottom w:val="nil"/>
              <w:right w:val="nil"/>
            </w:tcBorders>
            <w:vAlign w:val="bottom"/>
          </w:tcPr>
          <w:p w14:paraId="202D28FD"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tcPr>
          <w:p w14:paraId="7F8A46CD"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tcPr>
          <w:p w14:paraId="76CB1EF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tcPr>
          <w:p w14:paraId="696F79D6"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26" w:type="pct"/>
            <w:tcBorders>
              <w:top w:val="nil"/>
              <w:left w:val="nil"/>
              <w:bottom w:val="nil"/>
              <w:right w:val="nil"/>
            </w:tcBorders>
            <w:noWrap/>
            <w:vAlign w:val="bottom"/>
          </w:tcPr>
          <w:p w14:paraId="74A2090A"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119" w:type="pct"/>
            <w:tcBorders>
              <w:top w:val="nil"/>
              <w:left w:val="nil"/>
              <w:bottom w:val="nil"/>
              <w:right w:val="nil"/>
            </w:tcBorders>
            <w:vAlign w:val="bottom"/>
          </w:tcPr>
          <w:p w14:paraId="0741BFF8"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tcPr>
          <w:p w14:paraId="006E3FF9"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bottom w:val="nil"/>
              <w:right w:val="nil"/>
            </w:tcBorders>
            <w:noWrap/>
            <w:vAlign w:val="bottom"/>
          </w:tcPr>
          <w:p w14:paraId="2098F3BF"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r>
      <w:tr w:rsidR="00534F4F" w:rsidRPr="007D3FDE" w14:paraId="4559B082" w14:textId="77777777" w:rsidTr="00D978C6">
        <w:tc>
          <w:tcPr>
            <w:tcW w:w="1154" w:type="pct"/>
            <w:tcBorders>
              <w:top w:val="nil"/>
              <w:left w:val="nil"/>
              <w:bottom w:val="nil"/>
              <w:right w:val="nil"/>
            </w:tcBorders>
            <w:noWrap/>
            <w:vAlign w:val="bottom"/>
            <w:hideMark/>
          </w:tcPr>
          <w:p w14:paraId="70BA1854"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 xml:space="preserve">Low – High </w:t>
            </w:r>
          </w:p>
        </w:tc>
        <w:tc>
          <w:tcPr>
            <w:tcW w:w="554" w:type="pct"/>
            <w:tcBorders>
              <w:top w:val="nil"/>
              <w:left w:val="nil"/>
              <w:bottom w:val="nil"/>
              <w:right w:val="nil"/>
            </w:tcBorders>
            <w:vAlign w:val="bottom"/>
          </w:tcPr>
          <w:p w14:paraId="2E444517"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0C1B5B40"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0.238</w:t>
            </w: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10885C3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0.576</w:t>
            </w: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5A45E1F9"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0.588</w:t>
            </w:r>
            <w:r>
              <w:rPr>
                <w:rFonts w:ascii="Times New Roman" w:eastAsia="Times New Roman" w:hAnsi="Times New Roman" w:cs="Times New Roman"/>
                <w:color w:val="000000"/>
                <w:sz w:val="20"/>
                <w:szCs w:val="20"/>
                <w:lang w:val="en-GB" w:eastAsia="en-GB"/>
              </w:rPr>
              <w:t>***</w:t>
            </w:r>
          </w:p>
        </w:tc>
        <w:tc>
          <w:tcPr>
            <w:tcW w:w="526" w:type="pct"/>
            <w:tcBorders>
              <w:top w:val="nil"/>
              <w:left w:val="nil"/>
              <w:bottom w:val="nil"/>
              <w:right w:val="nil"/>
            </w:tcBorders>
            <w:noWrap/>
            <w:vAlign w:val="bottom"/>
            <w:hideMark/>
          </w:tcPr>
          <w:p w14:paraId="45FAF84E"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0.837</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vAlign w:val="bottom"/>
          </w:tcPr>
          <w:p w14:paraId="4814A2ED"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5ABB28BA"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0.598</w:t>
            </w:r>
            <w:r>
              <w:rPr>
                <w:rFonts w:ascii="Times New Roman" w:eastAsia="Times New Roman" w:hAnsi="Times New Roman" w:cs="Times New Roman"/>
                <w:color w:val="000000"/>
                <w:sz w:val="20"/>
                <w:szCs w:val="20"/>
                <w:lang w:val="en-GB" w:eastAsia="en-GB"/>
              </w:rPr>
              <w:t>***</w:t>
            </w:r>
          </w:p>
        </w:tc>
        <w:tc>
          <w:tcPr>
            <w:tcW w:w="467" w:type="pct"/>
            <w:tcBorders>
              <w:top w:val="nil"/>
              <w:left w:val="nil"/>
              <w:bottom w:val="nil"/>
              <w:right w:val="nil"/>
            </w:tcBorders>
            <w:noWrap/>
            <w:vAlign w:val="bottom"/>
            <w:hideMark/>
          </w:tcPr>
          <w:p w14:paraId="59163E1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0.003</w:t>
            </w:r>
            <w:r>
              <w:rPr>
                <w:rFonts w:ascii="Times New Roman" w:eastAsia="Times New Roman" w:hAnsi="Times New Roman" w:cs="Times New Roman"/>
                <w:color w:val="000000"/>
                <w:sz w:val="20"/>
                <w:szCs w:val="20"/>
                <w:lang w:val="en-GB" w:eastAsia="en-GB"/>
              </w:rPr>
              <w:t>)</w:t>
            </w:r>
          </w:p>
        </w:tc>
      </w:tr>
      <w:tr w:rsidR="00534F4F" w:rsidRPr="007D3FDE" w14:paraId="7D63942D" w14:textId="77777777" w:rsidTr="00D978C6">
        <w:tc>
          <w:tcPr>
            <w:tcW w:w="1154" w:type="pct"/>
            <w:tcBorders>
              <w:top w:val="nil"/>
              <w:left w:val="nil"/>
              <w:bottom w:val="nil"/>
              <w:right w:val="nil"/>
            </w:tcBorders>
            <w:noWrap/>
            <w:vAlign w:val="bottom"/>
            <w:hideMark/>
          </w:tcPr>
          <w:p w14:paraId="1CD53A21"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i/>
                <w:iCs/>
                <w:color w:val="000000"/>
                <w:sz w:val="20"/>
                <w:szCs w:val="20"/>
                <w:lang w:val="en-GB" w:eastAsia="en-GB"/>
              </w:rPr>
              <w:t>p</w:t>
            </w:r>
            <w:r w:rsidRPr="007D3FDE">
              <w:rPr>
                <w:rFonts w:ascii="Times New Roman" w:eastAsia="Times New Roman" w:hAnsi="Times New Roman" w:cs="Times New Roman"/>
                <w:color w:val="000000"/>
                <w:sz w:val="20"/>
                <w:szCs w:val="20"/>
                <w:lang w:val="en-GB" w:eastAsia="en-GB"/>
              </w:rPr>
              <w:t>-value</w:t>
            </w:r>
          </w:p>
        </w:tc>
        <w:tc>
          <w:tcPr>
            <w:tcW w:w="554" w:type="pct"/>
            <w:tcBorders>
              <w:top w:val="nil"/>
              <w:left w:val="nil"/>
              <w:bottom w:val="nil"/>
              <w:right w:val="nil"/>
            </w:tcBorders>
            <w:vAlign w:val="bottom"/>
          </w:tcPr>
          <w:p w14:paraId="3B23C1BB"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nil"/>
              <w:right w:val="nil"/>
            </w:tcBorders>
            <w:noWrap/>
            <w:vAlign w:val="bottom"/>
            <w:hideMark/>
          </w:tcPr>
          <w:p w14:paraId="65CBF02F"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0.021</w:t>
            </w: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5BCA1F5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516" w:type="pct"/>
            <w:tcBorders>
              <w:top w:val="nil"/>
              <w:left w:val="nil"/>
              <w:bottom w:val="nil"/>
              <w:right w:val="nil"/>
            </w:tcBorders>
            <w:noWrap/>
            <w:vAlign w:val="bottom"/>
            <w:hideMark/>
          </w:tcPr>
          <w:p w14:paraId="7420B4B3"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0.002</w:t>
            </w:r>
            <w:r>
              <w:rPr>
                <w:rFonts w:ascii="Times New Roman" w:eastAsia="Times New Roman" w:hAnsi="Times New Roman" w:cs="Times New Roman"/>
                <w:color w:val="000000"/>
                <w:sz w:val="20"/>
                <w:szCs w:val="20"/>
                <w:lang w:val="en-GB" w:eastAsia="en-GB"/>
              </w:rPr>
              <w:t>)</w:t>
            </w:r>
          </w:p>
        </w:tc>
        <w:tc>
          <w:tcPr>
            <w:tcW w:w="526" w:type="pct"/>
            <w:tcBorders>
              <w:top w:val="nil"/>
              <w:left w:val="nil"/>
              <w:bottom w:val="nil"/>
              <w:right w:val="nil"/>
            </w:tcBorders>
            <w:noWrap/>
            <w:vAlign w:val="bottom"/>
            <w:hideMark/>
          </w:tcPr>
          <w:p w14:paraId="25C13968"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w:t>
            </w:r>
            <w:r w:rsidRPr="007E2F8F">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119" w:type="pct"/>
            <w:tcBorders>
              <w:top w:val="nil"/>
              <w:left w:val="nil"/>
              <w:bottom w:val="nil"/>
              <w:right w:val="nil"/>
            </w:tcBorders>
            <w:vAlign w:val="bottom"/>
          </w:tcPr>
          <w:p w14:paraId="00C4005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nil"/>
              <w:right w:val="nil"/>
            </w:tcBorders>
            <w:noWrap/>
            <w:vAlign w:val="bottom"/>
            <w:hideMark/>
          </w:tcPr>
          <w:p w14:paraId="7A4E7806"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bottom w:val="nil"/>
              <w:right w:val="nil"/>
            </w:tcBorders>
            <w:noWrap/>
            <w:vAlign w:val="bottom"/>
            <w:hideMark/>
          </w:tcPr>
          <w:p w14:paraId="2F5F7DA3" w14:textId="77777777" w:rsidR="00534F4F" w:rsidRPr="005C7AD4" w:rsidRDefault="00534F4F" w:rsidP="00D978C6">
            <w:pPr>
              <w:spacing w:after="0" w:line="276" w:lineRule="auto"/>
              <w:jc w:val="center"/>
              <w:rPr>
                <w:rFonts w:ascii="Times New Roman" w:eastAsia="Times New Roman" w:hAnsi="Times New Roman" w:cs="Times New Roman"/>
                <w:sz w:val="20"/>
                <w:szCs w:val="20"/>
                <w:lang w:val="en-GB" w:eastAsia="en-GB"/>
              </w:rPr>
            </w:pPr>
          </w:p>
        </w:tc>
      </w:tr>
      <w:tr w:rsidR="00534F4F" w:rsidRPr="007D3FDE" w14:paraId="7A1FECCF" w14:textId="77777777" w:rsidTr="00D978C6">
        <w:tc>
          <w:tcPr>
            <w:tcW w:w="1154" w:type="pct"/>
            <w:tcBorders>
              <w:top w:val="nil"/>
              <w:left w:val="nil"/>
              <w:right w:val="nil"/>
            </w:tcBorders>
            <w:noWrap/>
            <w:vAlign w:val="bottom"/>
            <w:hideMark/>
          </w:tcPr>
          <w:p w14:paraId="70388ADD"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eastAsia="en-CA"/>
              </w:rPr>
              <w:t>Volatility (</w:t>
            </w:r>
            <w:proofErr w:type="spellStart"/>
            <w:r w:rsidRPr="007D3FDE">
              <w:rPr>
                <w:rFonts w:ascii="Times New Roman" w:eastAsia="Times New Roman" w:hAnsi="Times New Roman" w:cs="Times New Roman"/>
                <w:color w:val="000000"/>
                <w:sz w:val="20"/>
                <w:szCs w:val="20"/>
                <w:lang w:eastAsia="en-CA"/>
              </w:rPr>
              <w:t>st.dev</w:t>
            </w:r>
            <w:proofErr w:type="spellEnd"/>
            <w:r w:rsidRPr="007D3FDE">
              <w:rPr>
                <w:rFonts w:ascii="Times New Roman" w:eastAsia="Times New Roman" w:hAnsi="Times New Roman" w:cs="Times New Roman"/>
                <w:color w:val="000000"/>
                <w:sz w:val="20"/>
                <w:szCs w:val="20"/>
                <w:lang w:eastAsia="en-CA"/>
              </w:rPr>
              <w:t>.)</w:t>
            </w:r>
          </w:p>
        </w:tc>
        <w:tc>
          <w:tcPr>
            <w:tcW w:w="554" w:type="pct"/>
            <w:tcBorders>
              <w:top w:val="nil"/>
              <w:left w:val="nil"/>
              <w:right w:val="nil"/>
            </w:tcBorders>
            <w:vAlign w:val="bottom"/>
          </w:tcPr>
          <w:p w14:paraId="44343EB0"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right w:val="nil"/>
            </w:tcBorders>
            <w:noWrap/>
            <w:vAlign w:val="bottom"/>
            <w:hideMark/>
          </w:tcPr>
          <w:p w14:paraId="2355D043"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2.564</w:t>
            </w:r>
          </w:p>
        </w:tc>
        <w:tc>
          <w:tcPr>
            <w:tcW w:w="516" w:type="pct"/>
            <w:tcBorders>
              <w:top w:val="nil"/>
              <w:left w:val="nil"/>
              <w:right w:val="nil"/>
            </w:tcBorders>
            <w:noWrap/>
            <w:vAlign w:val="bottom"/>
            <w:hideMark/>
          </w:tcPr>
          <w:p w14:paraId="2E236A84"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3.475</w:t>
            </w:r>
          </w:p>
        </w:tc>
        <w:tc>
          <w:tcPr>
            <w:tcW w:w="516" w:type="pct"/>
            <w:tcBorders>
              <w:top w:val="nil"/>
              <w:left w:val="nil"/>
              <w:right w:val="nil"/>
            </w:tcBorders>
            <w:noWrap/>
            <w:vAlign w:val="bottom"/>
            <w:hideMark/>
          </w:tcPr>
          <w:p w14:paraId="1FBA0B11"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4.322</w:t>
            </w:r>
          </w:p>
        </w:tc>
        <w:tc>
          <w:tcPr>
            <w:tcW w:w="526" w:type="pct"/>
            <w:tcBorders>
              <w:top w:val="nil"/>
              <w:left w:val="nil"/>
              <w:right w:val="nil"/>
            </w:tcBorders>
            <w:noWrap/>
            <w:vAlign w:val="bottom"/>
            <w:hideMark/>
          </w:tcPr>
          <w:p w14:paraId="3F475F19"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5.041</w:t>
            </w:r>
          </w:p>
        </w:tc>
        <w:tc>
          <w:tcPr>
            <w:tcW w:w="119" w:type="pct"/>
            <w:tcBorders>
              <w:top w:val="nil"/>
              <w:left w:val="nil"/>
              <w:right w:val="nil"/>
            </w:tcBorders>
            <w:vAlign w:val="bottom"/>
          </w:tcPr>
          <w:p w14:paraId="30180658"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right w:val="nil"/>
            </w:tcBorders>
            <w:noWrap/>
            <w:vAlign w:val="bottom"/>
            <w:hideMark/>
          </w:tcPr>
          <w:p w14:paraId="24B823A7"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right w:val="nil"/>
            </w:tcBorders>
            <w:noWrap/>
            <w:vAlign w:val="bottom"/>
            <w:hideMark/>
          </w:tcPr>
          <w:p w14:paraId="473C94A9" w14:textId="77777777" w:rsidR="00534F4F" w:rsidRPr="005C7AD4" w:rsidRDefault="00534F4F" w:rsidP="00D978C6">
            <w:pPr>
              <w:spacing w:after="0" w:line="276" w:lineRule="auto"/>
              <w:rPr>
                <w:rFonts w:ascii="Times New Roman" w:eastAsia="Times New Roman" w:hAnsi="Times New Roman" w:cs="Times New Roman"/>
                <w:sz w:val="20"/>
                <w:szCs w:val="20"/>
                <w:lang w:val="en-GB" w:eastAsia="en-GB"/>
              </w:rPr>
            </w:pPr>
          </w:p>
        </w:tc>
      </w:tr>
      <w:tr w:rsidR="00534F4F" w:rsidRPr="007D3FDE" w14:paraId="74E372C0" w14:textId="77777777" w:rsidTr="00D978C6">
        <w:tc>
          <w:tcPr>
            <w:tcW w:w="1154" w:type="pct"/>
            <w:tcBorders>
              <w:top w:val="nil"/>
              <w:left w:val="nil"/>
              <w:bottom w:val="single" w:sz="4" w:space="0" w:color="auto"/>
              <w:right w:val="nil"/>
            </w:tcBorders>
            <w:noWrap/>
            <w:vAlign w:val="bottom"/>
            <w:hideMark/>
          </w:tcPr>
          <w:p w14:paraId="35CCC41A" w14:textId="77777777" w:rsidR="00534F4F" w:rsidRPr="007D3FDE" w:rsidRDefault="00534F4F" w:rsidP="00D978C6">
            <w:pPr>
              <w:spacing w:after="0" w:line="276" w:lineRule="auto"/>
              <w:rPr>
                <w:rFonts w:ascii="Times New Roman" w:eastAsia="Times New Roman" w:hAnsi="Times New Roman" w:cs="Times New Roman"/>
                <w:color w:val="000000"/>
                <w:sz w:val="20"/>
                <w:szCs w:val="20"/>
                <w:lang w:val="en-GB" w:eastAsia="en-GB"/>
              </w:rPr>
            </w:pPr>
            <w:r w:rsidRPr="007D3FDE">
              <w:rPr>
                <w:rFonts w:ascii="Times New Roman" w:eastAsia="Times New Roman" w:hAnsi="Times New Roman" w:cs="Times New Roman"/>
                <w:color w:val="000000"/>
                <w:sz w:val="20"/>
                <w:szCs w:val="20"/>
                <w:lang w:eastAsia="en-CA"/>
              </w:rPr>
              <w:t>Annualized Sharpe ratio</w:t>
            </w:r>
          </w:p>
        </w:tc>
        <w:tc>
          <w:tcPr>
            <w:tcW w:w="554" w:type="pct"/>
            <w:tcBorders>
              <w:top w:val="nil"/>
              <w:left w:val="nil"/>
              <w:bottom w:val="single" w:sz="4" w:space="0" w:color="auto"/>
              <w:right w:val="nil"/>
            </w:tcBorders>
            <w:vAlign w:val="bottom"/>
          </w:tcPr>
          <w:p w14:paraId="0B8BD983" w14:textId="77777777" w:rsidR="00534F4F" w:rsidRPr="007D3FDE"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516" w:type="pct"/>
            <w:tcBorders>
              <w:top w:val="nil"/>
              <w:left w:val="nil"/>
              <w:bottom w:val="single" w:sz="4" w:space="0" w:color="auto"/>
              <w:right w:val="nil"/>
            </w:tcBorders>
            <w:noWrap/>
            <w:vAlign w:val="bottom"/>
            <w:hideMark/>
          </w:tcPr>
          <w:p w14:paraId="0F2435AF"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0.322</w:t>
            </w:r>
          </w:p>
        </w:tc>
        <w:tc>
          <w:tcPr>
            <w:tcW w:w="516" w:type="pct"/>
            <w:tcBorders>
              <w:top w:val="nil"/>
              <w:left w:val="nil"/>
              <w:bottom w:val="single" w:sz="4" w:space="0" w:color="auto"/>
              <w:right w:val="nil"/>
            </w:tcBorders>
            <w:noWrap/>
            <w:vAlign w:val="bottom"/>
            <w:hideMark/>
          </w:tcPr>
          <w:p w14:paraId="7B2C2BC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0.574</w:t>
            </w:r>
          </w:p>
        </w:tc>
        <w:tc>
          <w:tcPr>
            <w:tcW w:w="516" w:type="pct"/>
            <w:tcBorders>
              <w:top w:val="nil"/>
              <w:left w:val="nil"/>
              <w:bottom w:val="single" w:sz="4" w:space="0" w:color="auto"/>
              <w:right w:val="nil"/>
            </w:tcBorders>
            <w:noWrap/>
            <w:vAlign w:val="bottom"/>
            <w:hideMark/>
          </w:tcPr>
          <w:p w14:paraId="68993E46"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0.471</w:t>
            </w:r>
          </w:p>
        </w:tc>
        <w:tc>
          <w:tcPr>
            <w:tcW w:w="526" w:type="pct"/>
            <w:tcBorders>
              <w:top w:val="nil"/>
              <w:left w:val="nil"/>
              <w:bottom w:val="single" w:sz="4" w:space="0" w:color="auto"/>
              <w:right w:val="nil"/>
            </w:tcBorders>
            <w:noWrap/>
            <w:vAlign w:val="bottom"/>
            <w:hideMark/>
          </w:tcPr>
          <w:p w14:paraId="59F6E55C"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r w:rsidRPr="007E2F8F">
              <w:rPr>
                <w:rFonts w:ascii="Times New Roman" w:eastAsia="Times New Roman" w:hAnsi="Times New Roman" w:cs="Times New Roman"/>
                <w:color w:val="000000"/>
                <w:sz w:val="20"/>
                <w:szCs w:val="20"/>
                <w:lang w:val="en-GB" w:eastAsia="en-GB"/>
              </w:rPr>
              <w:t>0.575</w:t>
            </w:r>
          </w:p>
        </w:tc>
        <w:tc>
          <w:tcPr>
            <w:tcW w:w="119" w:type="pct"/>
            <w:tcBorders>
              <w:top w:val="nil"/>
              <w:left w:val="nil"/>
              <w:bottom w:val="single" w:sz="4" w:space="0" w:color="auto"/>
              <w:right w:val="nil"/>
            </w:tcBorders>
            <w:vAlign w:val="bottom"/>
          </w:tcPr>
          <w:p w14:paraId="6FC9E3C5"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632" w:type="pct"/>
            <w:tcBorders>
              <w:top w:val="nil"/>
              <w:left w:val="nil"/>
              <w:bottom w:val="single" w:sz="4" w:space="0" w:color="auto"/>
              <w:right w:val="nil"/>
            </w:tcBorders>
            <w:noWrap/>
            <w:vAlign w:val="bottom"/>
            <w:hideMark/>
          </w:tcPr>
          <w:p w14:paraId="2F33E53E" w14:textId="77777777" w:rsidR="00534F4F" w:rsidRPr="005C7AD4" w:rsidRDefault="00534F4F" w:rsidP="00D978C6">
            <w:pPr>
              <w:spacing w:after="0" w:line="276" w:lineRule="auto"/>
              <w:jc w:val="center"/>
              <w:rPr>
                <w:rFonts w:ascii="Times New Roman" w:eastAsia="Times New Roman" w:hAnsi="Times New Roman" w:cs="Times New Roman"/>
                <w:color w:val="000000"/>
                <w:sz w:val="20"/>
                <w:szCs w:val="20"/>
                <w:lang w:val="en-GB" w:eastAsia="en-GB"/>
              </w:rPr>
            </w:pPr>
          </w:p>
        </w:tc>
        <w:tc>
          <w:tcPr>
            <w:tcW w:w="467" w:type="pct"/>
            <w:tcBorders>
              <w:top w:val="nil"/>
              <w:left w:val="nil"/>
              <w:bottom w:val="single" w:sz="4" w:space="0" w:color="auto"/>
              <w:right w:val="nil"/>
            </w:tcBorders>
            <w:noWrap/>
            <w:vAlign w:val="bottom"/>
            <w:hideMark/>
          </w:tcPr>
          <w:p w14:paraId="74EE4BEB" w14:textId="77777777" w:rsidR="00534F4F" w:rsidRPr="005C7AD4" w:rsidRDefault="00534F4F" w:rsidP="00D978C6">
            <w:pPr>
              <w:spacing w:after="0" w:line="276" w:lineRule="auto"/>
              <w:rPr>
                <w:rFonts w:ascii="Times New Roman" w:eastAsia="Times New Roman" w:hAnsi="Times New Roman" w:cs="Times New Roman"/>
                <w:sz w:val="20"/>
                <w:szCs w:val="20"/>
                <w:lang w:val="en-GB" w:eastAsia="en-GB"/>
              </w:rPr>
            </w:pPr>
          </w:p>
        </w:tc>
      </w:tr>
    </w:tbl>
    <w:p w14:paraId="54B61DAB" w14:textId="77777777" w:rsidR="00534F4F" w:rsidRDefault="00534F4F" w:rsidP="00534F4F">
      <w:pPr>
        <w:spacing w:line="240" w:lineRule="auto"/>
        <w:jc w:val="both"/>
        <w:rPr>
          <w:rFonts w:ascii="Times New Roman" w:hAnsi="Times New Roman" w:cs="Times New Roman"/>
          <w:sz w:val="20"/>
          <w:szCs w:val="20"/>
        </w:rPr>
      </w:pPr>
    </w:p>
    <w:p w14:paraId="699D14F1" w14:textId="77777777" w:rsidR="00534F4F" w:rsidRDefault="00534F4F" w:rsidP="00534F4F">
      <w:pPr>
        <w:spacing w:line="240" w:lineRule="auto"/>
        <w:jc w:val="both"/>
        <w:rPr>
          <w:rFonts w:ascii="Times New Roman" w:hAnsi="Times New Roman" w:cs="Times New Roman"/>
          <w:sz w:val="20"/>
          <w:szCs w:val="20"/>
        </w:rPr>
      </w:pPr>
    </w:p>
    <w:p w14:paraId="3DCF2037" w14:textId="77777777" w:rsidR="000D3E3E" w:rsidRDefault="000D3E3E" w:rsidP="00F2388E">
      <w:pPr>
        <w:spacing w:line="240" w:lineRule="auto"/>
        <w:jc w:val="both"/>
        <w:rPr>
          <w:rFonts w:ascii="Times New Roman" w:hAnsi="Times New Roman" w:cs="Times New Roman"/>
          <w:sz w:val="20"/>
          <w:szCs w:val="20"/>
        </w:rPr>
      </w:pPr>
    </w:p>
    <w:p w14:paraId="718077E6" w14:textId="77777777" w:rsidR="001B5F12" w:rsidRDefault="001B5F12" w:rsidP="00F2388E">
      <w:pPr>
        <w:spacing w:line="240" w:lineRule="auto"/>
        <w:jc w:val="both"/>
        <w:rPr>
          <w:rFonts w:ascii="Times New Roman" w:hAnsi="Times New Roman" w:cs="Times New Roman"/>
          <w:sz w:val="20"/>
          <w:szCs w:val="20"/>
        </w:rPr>
      </w:pPr>
    </w:p>
    <w:p w14:paraId="62D97A7C" w14:textId="77777777" w:rsidR="000D3E3E" w:rsidRDefault="000D3E3E" w:rsidP="00F2388E">
      <w:pPr>
        <w:spacing w:line="240" w:lineRule="auto"/>
        <w:jc w:val="both"/>
        <w:rPr>
          <w:rFonts w:ascii="Times New Roman" w:hAnsi="Times New Roman" w:cs="Times New Roman"/>
          <w:sz w:val="20"/>
          <w:szCs w:val="20"/>
        </w:rPr>
      </w:pPr>
    </w:p>
    <w:p w14:paraId="2DD726BC" w14:textId="77777777" w:rsidR="006E3806" w:rsidRDefault="006E3806" w:rsidP="00F2388E">
      <w:pPr>
        <w:spacing w:line="240" w:lineRule="auto"/>
        <w:jc w:val="both"/>
        <w:rPr>
          <w:rFonts w:ascii="Times New Roman" w:hAnsi="Times New Roman" w:cs="Times New Roman"/>
          <w:sz w:val="20"/>
          <w:szCs w:val="20"/>
        </w:rPr>
      </w:pPr>
    </w:p>
    <w:p w14:paraId="64C4A19F" w14:textId="77777777" w:rsidR="00A80138" w:rsidRDefault="00A80138" w:rsidP="00F2388E">
      <w:pPr>
        <w:spacing w:line="240" w:lineRule="auto"/>
        <w:jc w:val="both"/>
        <w:rPr>
          <w:rFonts w:ascii="Times New Roman" w:hAnsi="Times New Roman" w:cs="Times New Roman"/>
          <w:sz w:val="20"/>
          <w:szCs w:val="20"/>
        </w:rPr>
      </w:pPr>
    </w:p>
    <w:p w14:paraId="51F110D8" w14:textId="42A6A49E" w:rsidR="00175D55" w:rsidRPr="005A60C4" w:rsidRDefault="00175D55" w:rsidP="00EE77CA">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w:t>
      </w:r>
      <w:r w:rsidR="00EE77CA">
        <w:rPr>
          <w:rFonts w:ascii="Times New Roman" w:hAnsi="Times New Roman" w:cs="Times New Roman"/>
          <w:b/>
          <w:sz w:val="20"/>
          <w:szCs w:val="20"/>
        </w:rPr>
        <w:t>A</w:t>
      </w:r>
      <w:r w:rsidR="00EE77CA" w:rsidRPr="005A60C4">
        <w:rPr>
          <w:rFonts w:ascii="Times New Roman" w:hAnsi="Times New Roman" w:cs="Times New Roman"/>
          <w:b/>
          <w:sz w:val="20"/>
          <w:szCs w:val="20"/>
        </w:rPr>
        <w:t>BLE</w:t>
      </w:r>
      <w:r w:rsidRPr="005A60C4">
        <w:rPr>
          <w:rFonts w:ascii="Times New Roman" w:hAnsi="Times New Roman" w:cs="Times New Roman"/>
          <w:b/>
          <w:sz w:val="20"/>
          <w:szCs w:val="20"/>
        </w:rPr>
        <w:t xml:space="preserve"> </w:t>
      </w:r>
      <w:r w:rsidR="00031898">
        <w:rPr>
          <w:rFonts w:ascii="Times New Roman" w:hAnsi="Times New Roman" w:cs="Times New Roman"/>
          <w:b/>
          <w:sz w:val="20"/>
          <w:szCs w:val="20"/>
        </w:rPr>
        <w:t>7</w:t>
      </w:r>
    </w:p>
    <w:p w14:paraId="28200E61" w14:textId="7E31FE38" w:rsidR="00175D55" w:rsidRPr="00EE77CA" w:rsidRDefault="00175D55" w:rsidP="00EE77CA">
      <w:pPr>
        <w:jc w:val="center"/>
        <w:rPr>
          <w:rFonts w:ascii="Times New Roman" w:hAnsi="Times New Roman" w:cs="Times New Roman"/>
          <w:b/>
          <w:bCs/>
          <w:sz w:val="20"/>
          <w:szCs w:val="20"/>
        </w:rPr>
      </w:pPr>
      <w:r w:rsidRPr="00EE77CA">
        <w:rPr>
          <w:rFonts w:ascii="Times New Roman" w:hAnsi="Times New Roman" w:cs="Times New Roman"/>
          <w:b/>
          <w:bCs/>
          <w:sz w:val="20"/>
          <w:szCs w:val="20"/>
        </w:rPr>
        <w:t xml:space="preserve">Timing </w:t>
      </w:r>
      <w:r w:rsidR="00EE77CA">
        <w:rPr>
          <w:rFonts w:ascii="Times New Roman" w:hAnsi="Times New Roman" w:cs="Times New Roman"/>
          <w:b/>
          <w:bCs/>
          <w:sz w:val="20"/>
          <w:szCs w:val="20"/>
        </w:rPr>
        <w:t>R</w:t>
      </w:r>
      <w:r w:rsidRPr="00EE77CA">
        <w:rPr>
          <w:rFonts w:ascii="Times New Roman" w:hAnsi="Times New Roman" w:cs="Times New Roman"/>
          <w:b/>
          <w:bCs/>
          <w:sz w:val="20"/>
          <w:szCs w:val="20"/>
        </w:rPr>
        <w:t xml:space="preserve">eturns with </w:t>
      </w:r>
      <w:r w:rsidR="00EE77CA">
        <w:rPr>
          <w:rFonts w:ascii="Times New Roman" w:hAnsi="Times New Roman" w:cs="Times New Roman"/>
          <w:b/>
          <w:bCs/>
          <w:sz w:val="20"/>
          <w:szCs w:val="20"/>
        </w:rPr>
        <w:t>I</w:t>
      </w:r>
      <w:r w:rsidRPr="00EE77CA">
        <w:rPr>
          <w:rFonts w:ascii="Times New Roman" w:hAnsi="Times New Roman" w:cs="Times New Roman"/>
          <w:b/>
          <w:bCs/>
          <w:sz w:val="20"/>
          <w:szCs w:val="20"/>
        </w:rPr>
        <w:t xml:space="preserve">nvestor </w:t>
      </w:r>
      <w:r w:rsidR="00EE77CA">
        <w:rPr>
          <w:rFonts w:ascii="Times New Roman" w:hAnsi="Times New Roman" w:cs="Times New Roman"/>
          <w:b/>
          <w:bCs/>
          <w:sz w:val="20"/>
          <w:szCs w:val="20"/>
        </w:rPr>
        <w:t>S</w:t>
      </w:r>
      <w:r w:rsidRPr="00EE77CA">
        <w:rPr>
          <w:rFonts w:ascii="Times New Roman" w:hAnsi="Times New Roman" w:cs="Times New Roman"/>
          <w:b/>
          <w:bCs/>
          <w:sz w:val="20"/>
          <w:szCs w:val="20"/>
        </w:rPr>
        <w:t>entiment</w:t>
      </w:r>
    </w:p>
    <w:p w14:paraId="70D465E5" w14:textId="49EC2BF2" w:rsidR="00461A7C" w:rsidRDefault="00F20B6C" w:rsidP="00B03A96">
      <w:pPr>
        <w:spacing w:after="0"/>
        <w:jc w:val="both"/>
        <w:rPr>
          <w:rFonts w:ascii="Times New Roman" w:hAnsi="Times New Roman" w:cs="Times New Roman"/>
          <w:sz w:val="20"/>
          <w:szCs w:val="20"/>
        </w:rPr>
      </w:pPr>
      <w:r>
        <w:rPr>
          <w:rFonts w:ascii="Times New Roman" w:hAnsi="Times New Roman" w:cs="Times New Roman"/>
          <w:sz w:val="20"/>
          <w:szCs w:val="20"/>
        </w:rPr>
        <w:t>This table reports average monthly returns of portfolios formed on the basis of price-to-value, conditional on valuation uncertainty</w:t>
      </w:r>
      <w:r w:rsidR="001F2EFE">
        <w:rPr>
          <w:rFonts w:ascii="Times New Roman" w:hAnsi="Times New Roman" w:cs="Times New Roman"/>
          <w:sz w:val="20"/>
          <w:szCs w:val="20"/>
        </w:rPr>
        <w:t xml:space="preserve">, with </w:t>
      </w:r>
      <w:r w:rsidR="00063490">
        <w:rPr>
          <w:rFonts w:ascii="Times New Roman" w:hAnsi="Times New Roman" w:cs="Times New Roman"/>
          <w:sz w:val="20"/>
          <w:szCs w:val="20"/>
        </w:rPr>
        <w:t>the sample</w:t>
      </w:r>
      <w:r w:rsidR="001F2EFE">
        <w:rPr>
          <w:rFonts w:ascii="Times New Roman" w:hAnsi="Times New Roman" w:cs="Times New Roman"/>
          <w:sz w:val="20"/>
          <w:szCs w:val="20"/>
        </w:rPr>
        <w:t xml:space="preserve"> split into three </w:t>
      </w:r>
      <w:r w:rsidR="00063490">
        <w:rPr>
          <w:rFonts w:ascii="Times New Roman" w:hAnsi="Times New Roman" w:cs="Times New Roman"/>
          <w:sz w:val="20"/>
          <w:szCs w:val="20"/>
        </w:rPr>
        <w:t>periods</w:t>
      </w:r>
      <w:r w:rsidR="001F2EFE">
        <w:rPr>
          <w:rFonts w:ascii="Times New Roman" w:hAnsi="Times New Roman" w:cs="Times New Roman"/>
          <w:sz w:val="20"/>
          <w:szCs w:val="20"/>
        </w:rPr>
        <w:t xml:space="preserve"> according to</w:t>
      </w:r>
      <w:r w:rsidR="00063490">
        <w:rPr>
          <w:rFonts w:ascii="Times New Roman" w:hAnsi="Times New Roman" w:cs="Times New Roman"/>
          <w:sz w:val="20"/>
          <w:szCs w:val="20"/>
        </w:rPr>
        <w:t xml:space="preserve"> prior month</w:t>
      </w:r>
      <w:r w:rsidR="001F2EFE">
        <w:rPr>
          <w:rFonts w:ascii="Times New Roman" w:hAnsi="Times New Roman" w:cs="Times New Roman"/>
          <w:sz w:val="20"/>
          <w:szCs w:val="20"/>
        </w:rPr>
        <w:t xml:space="preserve"> investor sentiment</w:t>
      </w:r>
      <w:r>
        <w:rPr>
          <w:rFonts w:ascii="Times New Roman" w:hAnsi="Times New Roman" w:cs="Times New Roman"/>
          <w:sz w:val="20"/>
          <w:szCs w:val="20"/>
        </w:rPr>
        <w:t>.</w:t>
      </w:r>
      <w:r w:rsidR="005A6D63">
        <w:rPr>
          <w:rFonts w:ascii="Times New Roman" w:hAnsi="Times New Roman" w:cs="Times New Roman"/>
          <w:sz w:val="20"/>
          <w:szCs w:val="20"/>
        </w:rPr>
        <w:t xml:space="preserve"> Only the bottom </w:t>
      </w:r>
      <w:r w:rsidR="00BE4AC9">
        <w:rPr>
          <w:rFonts w:ascii="Times New Roman" w:hAnsi="Times New Roman" w:cs="Times New Roman"/>
          <w:sz w:val="20"/>
          <w:szCs w:val="20"/>
        </w:rPr>
        <w:t xml:space="preserve">quartile </w:t>
      </w:r>
      <w:r w:rsidR="005A6D63">
        <w:rPr>
          <w:rFonts w:ascii="Times New Roman" w:hAnsi="Times New Roman" w:cs="Times New Roman"/>
          <w:sz w:val="20"/>
          <w:szCs w:val="20"/>
        </w:rPr>
        <w:t>(</w:t>
      </w:r>
      <w:r w:rsidR="006B4027">
        <w:rPr>
          <w:rFonts w:ascii="Times New Roman" w:hAnsi="Times New Roman" w:cs="Times New Roman"/>
          <w:sz w:val="20"/>
          <w:szCs w:val="20"/>
        </w:rPr>
        <w:t>low</w:t>
      </w:r>
      <w:r w:rsidR="005A6D63">
        <w:rPr>
          <w:rFonts w:ascii="Times New Roman" w:hAnsi="Times New Roman" w:cs="Times New Roman"/>
          <w:sz w:val="20"/>
          <w:szCs w:val="20"/>
        </w:rPr>
        <w:t>) and top</w:t>
      </w:r>
      <w:r w:rsidR="00BE4AC9">
        <w:rPr>
          <w:rFonts w:ascii="Times New Roman" w:hAnsi="Times New Roman" w:cs="Times New Roman"/>
          <w:sz w:val="20"/>
          <w:szCs w:val="20"/>
        </w:rPr>
        <w:t xml:space="preserve"> quartile</w:t>
      </w:r>
      <w:r w:rsidR="005A6D63">
        <w:rPr>
          <w:rFonts w:ascii="Times New Roman" w:hAnsi="Times New Roman" w:cs="Times New Roman"/>
          <w:sz w:val="20"/>
          <w:szCs w:val="20"/>
        </w:rPr>
        <w:t xml:space="preserve"> (</w:t>
      </w:r>
      <w:r w:rsidR="006B4027">
        <w:rPr>
          <w:rFonts w:ascii="Times New Roman" w:hAnsi="Times New Roman" w:cs="Times New Roman"/>
          <w:sz w:val="20"/>
          <w:szCs w:val="20"/>
        </w:rPr>
        <w:t>high</w:t>
      </w:r>
      <w:r w:rsidR="005A6D63">
        <w:rPr>
          <w:rFonts w:ascii="Times New Roman" w:hAnsi="Times New Roman" w:cs="Times New Roman"/>
          <w:sz w:val="20"/>
          <w:szCs w:val="20"/>
        </w:rPr>
        <w:t xml:space="preserve">) of price-to-value, as well as the </w:t>
      </w:r>
      <w:r w:rsidR="0004263F">
        <w:rPr>
          <w:rFonts w:ascii="Times New Roman" w:hAnsi="Times New Roman" w:cs="Times New Roman"/>
          <w:sz w:val="20"/>
          <w:szCs w:val="20"/>
        </w:rPr>
        <w:t>low</w:t>
      </w:r>
      <w:r w:rsidR="005A6D63">
        <w:rPr>
          <w:rFonts w:ascii="Times New Roman" w:hAnsi="Times New Roman" w:cs="Times New Roman"/>
          <w:sz w:val="20"/>
          <w:szCs w:val="20"/>
        </w:rPr>
        <w:t>-</w:t>
      </w:r>
      <w:r w:rsidR="0004263F">
        <w:rPr>
          <w:rFonts w:ascii="Times New Roman" w:hAnsi="Times New Roman" w:cs="Times New Roman"/>
          <w:sz w:val="20"/>
          <w:szCs w:val="20"/>
        </w:rPr>
        <w:t>high</w:t>
      </w:r>
      <w:r w:rsidR="005A6D63">
        <w:rPr>
          <w:rFonts w:ascii="Times New Roman" w:hAnsi="Times New Roman" w:cs="Times New Roman"/>
          <w:sz w:val="20"/>
          <w:szCs w:val="20"/>
        </w:rPr>
        <w:t xml:space="preserve"> (hedge) portfolios are reported.</w:t>
      </w:r>
      <w:r w:rsidR="00063490">
        <w:rPr>
          <w:rFonts w:ascii="Times New Roman" w:hAnsi="Times New Roman" w:cs="Times New Roman"/>
          <w:sz w:val="20"/>
          <w:szCs w:val="20"/>
        </w:rPr>
        <w:t xml:space="preserve"> Investor sentiment is the ort</w:t>
      </w:r>
      <w:r w:rsidR="00E33357">
        <w:rPr>
          <w:rFonts w:ascii="Times New Roman" w:hAnsi="Times New Roman" w:cs="Times New Roman"/>
          <w:sz w:val="20"/>
          <w:szCs w:val="20"/>
        </w:rPr>
        <w:t>h</w:t>
      </w:r>
      <w:r w:rsidR="00063490">
        <w:rPr>
          <w:rFonts w:ascii="Times New Roman" w:hAnsi="Times New Roman" w:cs="Times New Roman"/>
          <w:sz w:val="20"/>
          <w:szCs w:val="20"/>
        </w:rPr>
        <w:t>ogonalized sentiment index from Baker and Wurgler (2006)</w:t>
      </w:r>
      <w:r w:rsidR="00882F37">
        <w:rPr>
          <w:rFonts w:ascii="Times New Roman" w:hAnsi="Times New Roman" w:cs="Times New Roman"/>
          <w:sz w:val="20"/>
          <w:szCs w:val="20"/>
        </w:rPr>
        <w:t xml:space="preserve"> (</w:t>
      </w:r>
      <w:r w:rsidR="006B4027">
        <w:rPr>
          <w:rFonts w:ascii="Times New Roman" w:eastAsia="Times New Roman" w:hAnsi="Times New Roman" w:cs="Times New Roman"/>
          <w:color w:val="000000"/>
          <w:sz w:val="20"/>
          <w:szCs w:val="20"/>
          <w:lang w:eastAsia="en-CA"/>
        </w:rPr>
        <w:t>SENT</w:t>
      </w:r>
      <w:r w:rsidR="00882F37" w:rsidRPr="005C07AD">
        <w:rPr>
          <w:rFonts w:ascii="Times New Roman" w:hAnsi="Times New Roman" w:cs="Times New Roman"/>
          <w:sz w:val="20"/>
          <w:szCs w:val="20"/>
        </w:rPr>
        <w:t>┴</w:t>
      </w:r>
      <w:r w:rsidR="00882F37">
        <w:rPr>
          <w:rFonts w:ascii="Times New Roman" w:hAnsi="Times New Roman" w:cs="Times New Roman"/>
          <w:sz w:val="20"/>
          <w:szCs w:val="20"/>
        </w:rPr>
        <w:t>)</w:t>
      </w:r>
      <w:r w:rsidR="00063490">
        <w:rPr>
          <w:rFonts w:ascii="Times New Roman" w:hAnsi="Times New Roman" w:cs="Times New Roman"/>
          <w:sz w:val="20"/>
          <w:szCs w:val="20"/>
        </w:rPr>
        <w:t xml:space="preserve">. </w:t>
      </w:r>
      <w:r w:rsidR="00AE6779">
        <w:rPr>
          <w:rFonts w:ascii="Times New Roman" w:hAnsi="Times New Roman" w:cs="Times New Roman"/>
          <w:sz w:val="20"/>
          <w:szCs w:val="20"/>
        </w:rPr>
        <w:t xml:space="preserve">Portfolio sorts are formed </w:t>
      </w:r>
      <w:r w:rsidR="00AE6779">
        <w:rPr>
          <w:rFonts w:ascii="Times New Roman" w:hAnsi="Times New Roman" w:cs="Times New Roman"/>
          <w:sz w:val="20"/>
          <w:szCs w:val="20"/>
          <w:lang w:val="en-US"/>
        </w:rPr>
        <w:t>sequentially</w:t>
      </w:r>
      <w:r w:rsidR="00AE6779">
        <w:rPr>
          <w:rFonts w:ascii="Times New Roman" w:hAnsi="Times New Roman" w:cs="Times New Roman"/>
          <w:sz w:val="20"/>
          <w:szCs w:val="20"/>
        </w:rPr>
        <w:t xml:space="preserve"> – first on valuation uncertainty and then on price-to-value – every June 30. </w:t>
      </w:r>
      <w:r w:rsidR="00063490">
        <w:rPr>
          <w:rFonts w:ascii="Times New Roman" w:hAnsi="Times New Roman" w:cs="Times New Roman"/>
          <w:sz w:val="20"/>
          <w:szCs w:val="20"/>
        </w:rPr>
        <w:t xml:space="preserve"> </w:t>
      </w:r>
      <w:r>
        <w:rPr>
          <w:rFonts w:ascii="Times New Roman" w:hAnsi="Times New Roman" w:cs="Times New Roman"/>
          <w:sz w:val="20"/>
          <w:szCs w:val="20"/>
        </w:rPr>
        <w:t xml:space="preserve">The universe excludes </w:t>
      </w:r>
      <w:proofErr w:type="spellStart"/>
      <w:r>
        <w:rPr>
          <w:rFonts w:ascii="Times New Roman" w:hAnsi="Times New Roman" w:cs="Times New Roman"/>
          <w:sz w:val="20"/>
          <w:szCs w:val="20"/>
        </w:rPr>
        <w:t>megacaps</w:t>
      </w:r>
      <w:proofErr w:type="spellEnd"/>
      <w:r>
        <w:rPr>
          <w:rFonts w:ascii="Times New Roman" w:hAnsi="Times New Roman" w:cs="Times New Roman"/>
          <w:sz w:val="20"/>
          <w:szCs w:val="20"/>
        </w:rPr>
        <w:t>, defined as stocks with market capitalizations above the 75</w:t>
      </w:r>
      <w:r w:rsidRPr="00855357">
        <w:rPr>
          <w:rFonts w:ascii="Times New Roman" w:hAnsi="Times New Roman" w:cs="Times New Roman"/>
          <w:sz w:val="20"/>
          <w:szCs w:val="20"/>
          <w:vertAlign w:val="superscript"/>
        </w:rPr>
        <w:t>th</w:t>
      </w:r>
      <w:r>
        <w:rPr>
          <w:rFonts w:ascii="Times New Roman" w:hAnsi="Times New Roman" w:cs="Times New Roman"/>
          <w:sz w:val="20"/>
          <w:szCs w:val="20"/>
        </w:rPr>
        <w:t xml:space="preserve"> percentile of market capitalization of NYSE firms. The sample period runs from July 1975 to June 20</w:t>
      </w:r>
      <w:r w:rsidR="008134D2">
        <w:rPr>
          <w:rFonts w:ascii="Times New Roman" w:hAnsi="Times New Roman" w:cs="Times New Roman"/>
          <w:sz w:val="20"/>
          <w:szCs w:val="20"/>
        </w:rPr>
        <w:t>22</w:t>
      </w:r>
      <w:r w:rsidR="001C0630">
        <w:rPr>
          <w:rFonts w:ascii="Times New Roman" w:hAnsi="Times New Roman" w:cs="Times New Roman"/>
          <w:sz w:val="20"/>
          <w:szCs w:val="20"/>
        </w:rPr>
        <w:t xml:space="preserve"> (5</w:t>
      </w:r>
      <w:r w:rsidR="003E0B93">
        <w:rPr>
          <w:rFonts w:ascii="Times New Roman" w:hAnsi="Times New Roman" w:cs="Times New Roman"/>
          <w:sz w:val="20"/>
          <w:szCs w:val="20"/>
        </w:rPr>
        <w:t>64</w:t>
      </w:r>
      <w:r w:rsidR="001C0630">
        <w:rPr>
          <w:rFonts w:ascii="Times New Roman" w:hAnsi="Times New Roman" w:cs="Times New Roman"/>
          <w:sz w:val="20"/>
          <w:szCs w:val="20"/>
        </w:rPr>
        <w:t xml:space="preserve"> months)</w:t>
      </w:r>
      <w:r>
        <w:rPr>
          <w:rFonts w:ascii="Times New Roman" w:hAnsi="Times New Roman" w:cs="Times New Roman"/>
          <w:sz w:val="20"/>
          <w:szCs w:val="20"/>
        </w:rPr>
        <w:t>. Portfolio returns are prior month gross return weighted (RW) in Panel A and value weighted (VW) in Panel B.</w:t>
      </w:r>
      <w:r w:rsidR="00CA5D9F">
        <w:rPr>
          <w:rFonts w:ascii="Times New Roman" w:hAnsi="Times New Roman" w:cs="Times New Roman"/>
          <w:sz w:val="20"/>
          <w:szCs w:val="20"/>
        </w:rPr>
        <w:t xml:space="preserve"> </w:t>
      </w:r>
      <w:r w:rsidR="00C14D6A" w:rsidRPr="0010756C">
        <w:rPr>
          <w:rFonts w:ascii="Times New Roman" w:hAnsi="Times New Roman" w:cs="Times New Roman"/>
          <w:i/>
          <w:sz w:val="20"/>
          <w:szCs w:val="20"/>
        </w:rPr>
        <w:t>p</w:t>
      </w:r>
      <w:r w:rsidR="00C14D6A">
        <w:rPr>
          <w:rFonts w:ascii="Times New Roman" w:hAnsi="Times New Roman" w:cs="Times New Roman"/>
          <w:sz w:val="20"/>
          <w:szCs w:val="20"/>
        </w:rPr>
        <w:t xml:space="preserve">-values in parentheses correspond to Newey-West standard errors with 3 lags. </w:t>
      </w:r>
      <w:r w:rsidR="00CA5D9F">
        <w:rPr>
          <w:rFonts w:ascii="Times New Roman" w:hAnsi="Times New Roman" w:cs="Times New Roman"/>
          <w:sz w:val="20"/>
          <w:szCs w:val="20"/>
        </w:rPr>
        <w:t>Detailed variable definitions are provided in the Appendix.</w:t>
      </w:r>
      <w:r w:rsidR="00491366">
        <w:rPr>
          <w:rFonts w:ascii="Times New Roman" w:hAnsi="Times New Roman" w:cs="Times New Roman"/>
          <w:sz w:val="20"/>
          <w:szCs w:val="20"/>
        </w:rPr>
        <w:t xml:space="preserve"> Symbols ***, **, and * indicate statistical significance at the 1%, 5%, and 10% levels, respectively.</w:t>
      </w:r>
    </w:p>
    <w:p w14:paraId="1F55E70C" w14:textId="77777777" w:rsidR="00F20B6C" w:rsidRDefault="00F20B6C" w:rsidP="00175D55">
      <w:pPr>
        <w:spacing w:after="0" w:line="240" w:lineRule="auto"/>
        <w:rPr>
          <w:rFonts w:ascii="Times New Roman" w:hAnsi="Times New Roman" w:cs="Times New Roman"/>
          <w:sz w:val="20"/>
          <w:szCs w:val="20"/>
        </w:rPr>
      </w:pPr>
    </w:p>
    <w:p w14:paraId="16F8E713" w14:textId="77777777" w:rsidR="00DE5335" w:rsidRPr="00461A7C" w:rsidRDefault="00DE5335" w:rsidP="00DE5335">
      <w:pPr>
        <w:spacing w:line="240" w:lineRule="auto"/>
        <w:jc w:val="both"/>
        <w:rPr>
          <w:rFonts w:ascii="Times New Roman" w:hAnsi="Times New Roman" w:cs="Times New Roman"/>
          <w:sz w:val="20"/>
          <w:szCs w:val="20"/>
        </w:rPr>
      </w:pPr>
      <w:r w:rsidRPr="00461A7C">
        <w:rPr>
          <w:rFonts w:ascii="Times New Roman" w:hAnsi="Times New Roman" w:cs="Times New Roman"/>
          <w:sz w:val="20"/>
          <w:szCs w:val="20"/>
        </w:rPr>
        <w:t>Panel A: RW portfolios</w:t>
      </w:r>
    </w:p>
    <w:tbl>
      <w:tblPr>
        <w:tblW w:w="4993" w:type="pct"/>
        <w:tblLayout w:type="fixed"/>
        <w:tblLook w:val="04A0" w:firstRow="1" w:lastRow="0" w:firstColumn="1" w:lastColumn="0" w:noHBand="0" w:noVBand="1"/>
      </w:tblPr>
      <w:tblGrid>
        <w:gridCol w:w="707"/>
        <w:gridCol w:w="1811"/>
        <w:gridCol w:w="1026"/>
        <w:gridCol w:w="1133"/>
        <w:gridCol w:w="1135"/>
        <w:gridCol w:w="639"/>
        <w:gridCol w:w="1062"/>
        <w:gridCol w:w="851"/>
        <w:gridCol w:w="983"/>
      </w:tblGrid>
      <w:tr w:rsidR="006B4027" w:rsidRPr="0058784A" w14:paraId="4200E6DA" w14:textId="77777777" w:rsidTr="006B4027">
        <w:trPr>
          <w:trHeight w:val="255"/>
        </w:trPr>
        <w:tc>
          <w:tcPr>
            <w:tcW w:w="378" w:type="pct"/>
            <w:tcBorders>
              <w:top w:val="single" w:sz="4" w:space="0" w:color="auto"/>
              <w:left w:val="nil"/>
              <w:bottom w:val="single" w:sz="4" w:space="0" w:color="auto"/>
              <w:right w:val="nil"/>
            </w:tcBorders>
            <w:noWrap/>
            <w:vAlign w:val="bottom"/>
            <w:hideMark/>
          </w:tcPr>
          <w:p w14:paraId="65C574E7"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hAnsi="Times New Roman" w:cs="Times New Roman"/>
                <w:sz w:val="20"/>
                <w:szCs w:val="20"/>
              </w:rPr>
              <w:t>VU</w:t>
            </w:r>
          </w:p>
        </w:tc>
        <w:tc>
          <w:tcPr>
            <w:tcW w:w="969" w:type="pct"/>
            <w:tcBorders>
              <w:top w:val="single" w:sz="4" w:space="0" w:color="auto"/>
              <w:left w:val="nil"/>
              <w:bottom w:val="single" w:sz="4" w:space="0" w:color="auto"/>
              <w:right w:val="nil"/>
            </w:tcBorders>
            <w:noWrap/>
            <w:vAlign w:val="bottom"/>
            <w:hideMark/>
          </w:tcPr>
          <w:p w14:paraId="6322BA2D" w14:textId="77777777"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 xml:space="preserve"> </w:t>
            </w:r>
          </w:p>
        </w:tc>
        <w:tc>
          <w:tcPr>
            <w:tcW w:w="549" w:type="pct"/>
            <w:tcBorders>
              <w:top w:val="single" w:sz="4" w:space="0" w:color="auto"/>
              <w:left w:val="nil"/>
              <w:bottom w:val="single" w:sz="4" w:space="0" w:color="auto"/>
              <w:right w:val="nil"/>
            </w:tcBorders>
            <w:vAlign w:val="bottom"/>
            <w:hideMark/>
          </w:tcPr>
          <w:p w14:paraId="76082E49" w14:textId="77777777" w:rsidR="006B40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 xml:space="preserve">Low </w:t>
            </w:r>
          </w:p>
          <w:p w14:paraId="464D3EA4" w14:textId="2FE031D9"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w:t>
            </w:r>
            <w:r w:rsidR="006B4027">
              <w:rPr>
                <w:rFonts w:ascii="Times New Roman" w:eastAsia="Times New Roman" w:hAnsi="Times New Roman" w:cs="Times New Roman"/>
                <w:color w:val="000000"/>
                <w:sz w:val="20"/>
                <w:szCs w:val="20"/>
                <w:lang w:eastAsia="en-CA"/>
              </w:rPr>
              <w:t>ENT</w:t>
            </w:r>
            <w:r w:rsidRPr="005C07AD">
              <w:rPr>
                <w:rFonts w:ascii="Times New Roman" w:hAnsi="Times New Roman" w:cs="Times New Roman"/>
                <w:sz w:val="20"/>
                <w:szCs w:val="20"/>
              </w:rPr>
              <w:t>┴</w:t>
            </w:r>
          </w:p>
        </w:tc>
        <w:tc>
          <w:tcPr>
            <w:tcW w:w="606" w:type="pct"/>
            <w:tcBorders>
              <w:top w:val="single" w:sz="4" w:space="0" w:color="auto"/>
              <w:left w:val="nil"/>
              <w:bottom w:val="single" w:sz="4" w:space="0" w:color="auto"/>
              <w:right w:val="nil"/>
            </w:tcBorders>
            <w:vAlign w:val="bottom"/>
            <w:hideMark/>
          </w:tcPr>
          <w:p w14:paraId="1C6901CE" w14:textId="5FB82371"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 xml:space="preserve">Medium </w:t>
            </w:r>
            <w:r w:rsidR="006B4027">
              <w:rPr>
                <w:rFonts w:ascii="Times New Roman" w:eastAsia="Times New Roman" w:hAnsi="Times New Roman" w:cs="Times New Roman"/>
                <w:color w:val="000000"/>
                <w:sz w:val="20"/>
                <w:szCs w:val="20"/>
                <w:lang w:eastAsia="en-CA"/>
              </w:rPr>
              <w:t>SENT</w:t>
            </w:r>
            <w:r w:rsidRPr="005C07AD">
              <w:rPr>
                <w:rFonts w:ascii="Times New Roman" w:hAnsi="Times New Roman" w:cs="Times New Roman"/>
                <w:sz w:val="20"/>
                <w:szCs w:val="20"/>
              </w:rPr>
              <w:t>┴</w:t>
            </w:r>
          </w:p>
        </w:tc>
        <w:tc>
          <w:tcPr>
            <w:tcW w:w="607" w:type="pct"/>
            <w:tcBorders>
              <w:top w:val="single" w:sz="4" w:space="0" w:color="auto"/>
              <w:left w:val="nil"/>
              <w:bottom w:val="single" w:sz="4" w:space="0" w:color="auto"/>
              <w:right w:val="nil"/>
            </w:tcBorders>
            <w:vAlign w:val="bottom"/>
            <w:hideMark/>
          </w:tcPr>
          <w:p w14:paraId="037708B7" w14:textId="3634874F"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 xml:space="preserve">High </w:t>
            </w:r>
            <w:r w:rsidR="006B4027">
              <w:rPr>
                <w:rFonts w:ascii="Times New Roman" w:eastAsia="Times New Roman" w:hAnsi="Times New Roman" w:cs="Times New Roman"/>
                <w:color w:val="000000"/>
                <w:sz w:val="20"/>
                <w:szCs w:val="20"/>
                <w:lang w:eastAsia="en-CA"/>
              </w:rPr>
              <w:t>SENT</w:t>
            </w:r>
            <w:r w:rsidRPr="005C07AD">
              <w:rPr>
                <w:rFonts w:ascii="Times New Roman" w:hAnsi="Times New Roman" w:cs="Times New Roman"/>
                <w:sz w:val="20"/>
                <w:szCs w:val="20"/>
              </w:rPr>
              <w:t>┴</w:t>
            </w:r>
          </w:p>
        </w:tc>
        <w:tc>
          <w:tcPr>
            <w:tcW w:w="342" w:type="pct"/>
            <w:tcBorders>
              <w:top w:val="single" w:sz="4" w:space="0" w:color="auto"/>
              <w:left w:val="nil"/>
              <w:bottom w:val="single" w:sz="4" w:space="0" w:color="auto"/>
              <w:right w:val="nil"/>
            </w:tcBorders>
            <w:vAlign w:val="bottom"/>
          </w:tcPr>
          <w:p w14:paraId="089615E6" w14:textId="77777777"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xml:space="preserve">Exp. </w:t>
            </w:r>
            <w:r w:rsidRPr="004C71DA">
              <w:rPr>
                <w:rFonts w:ascii="Times New Roman" w:eastAsia="Times New Roman" w:hAnsi="Times New Roman" w:cs="Times New Roman"/>
                <w:color w:val="000000"/>
                <w:sz w:val="20"/>
                <w:szCs w:val="20"/>
                <w:lang w:eastAsia="en-CA"/>
              </w:rPr>
              <w:t>Sign</w:t>
            </w:r>
          </w:p>
        </w:tc>
        <w:tc>
          <w:tcPr>
            <w:tcW w:w="568" w:type="pct"/>
            <w:tcBorders>
              <w:top w:val="single" w:sz="4" w:space="0" w:color="auto"/>
              <w:left w:val="nil"/>
              <w:bottom w:val="single" w:sz="4" w:space="0" w:color="auto"/>
              <w:right w:val="nil"/>
            </w:tcBorders>
            <w:noWrap/>
            <w:vAlign w:val="bottom"/>
            <w:hideMark/>
          </w:tcPr>
          <w:p w14:paraId="00D2BBA0" w14:textId="77777777"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 xml:space="preserve">High – Low </w:t>
            </w:r>
          </w:p>
        </w:tc>
        <w:tc>
          <w:tcPr>
            <w:tcW w:w="455" w:type="pct"/>
            <w:tcBorders>
              <w:top w:val="single" w:sz="4" w:space="0" w:color="auto"/>
              <w:left w:val="nil"/>
              <w:bottom w:val="single" w:sz="4" w:space="0" w:color="auto"/>
              <w:right w:val="nil"/>
            </w:tcBorders>
            <w:noWrap/>
            <w:vAlign w:val="bottom"/>
            <w:hideMark/>
          </w:tcPr>
          <w:p w14:paraId="2F749CE7" w14:textId="77777777"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i/>
                <w:iCs/>
                <w:color w:val="000000"/>
                <w:sz w:val="20"/>
                <w:szCs w:val="20"/>
                <w:lang w:eastAsia="en-CA"/>
              </w:rPr>
              <w:t>t</w:t>
            </w:r>
            <w:r w:rsidRPr="0058784A">
              <w:rPr>
                <w:rFonts w:ascii="Times New Roman" w:eastAsia="Times New Roman" w:hAnsi="Times New Roman" w:cs="Times New Roman"/>
                <w:color w:val="000000"/>
                <w:sz w:val="20"/>
                <w:szCs w:val="20"/>
                <w:lang w:eastAsia="en-CA"/>
              </w:rPr>
              <w:t>-stat</w:t>
            </w:r>
          </w:p>
        </w:tc>
        <w:tc>
          <w:tcPr>
            <w:tcW w:w="527" w:type="pct"/>
            <w:tcBorders>
              <w:top w:val="single" w:sz="4" w:space="0" w:color="auto"/>
              <w:left w:val="nil"/>
              <w:bottom w:val="single" w:sz="4" w:space="0" w:color="auto"/>
              <w:right w:val="nil"/>
            </w:tcBorders>
            <w:noWrap/>
            <w:vAlign w:val="bottom"/>
            <w:hideMark/>
          </w:tcPr>
          <w:p w14:paraId="27B4111A" w14:textId="77777777" w:rsidR="00DE5335" w:rsidRPr="0058784A"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i/>
                <w:iCs/>
                <w:color w:val="000000"/>
                <w:sz w:val="20"/>
                <w:szCs w:val="20"/>
                <w:lang w:eastAsia="en-CA"/>
              </w:rPr>
              <w:t>p</w:t>
            </w:r>
            <w:r w:rsidRPr="0058784A">
              <w:rPr>
                <w:rFonts w:ascii="Times New Roman" w:eastAsia="Times New Roman" w:hAnsi="Times New Roman" w:cs="Times New Roman"/>
                <w:color w:val="000000"/>
                <w:sz w:val="20"/>
                <w:szCs w:val="20"/>
                <w:lang w:eastAsia="en-CA"/>
              </w:rPr>
              <w:t>-value</w:t>
            </w:r>
          </w:p>
        </w:tc>
      </w:tr>
      <w:tr w:rsidR="006B4027" w:rsidRPr="0058784A" w14:paraId="11B2C1D4" w14:textId="77777777" w:rsidTr="006B4027">
        <w:trPr>
          <w:trHeight w:val="465"/>
        </w:trPr>
        <w:tc>
          <w:tcPr>
            <w:tcW w:w="378" w:type="pct"/>
            <w:tcBorders>
              <w:top w:val="nil"/>
              <w:left w:val="nil"/>
              <w:bottom w:val="nil"/>
              <w:right w:val="nil"/>
            </w:tcBorders>
            <w:noWrap/>
            <w:vAlign w:val="bottom"/>
            <w:hideMark/>
          </w:tcPr>
          <w:p w14:paraId="37A51791"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5385FA14" w14:textId="20844ACF"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Lo</w:t>
            </w:r>
            <w:r w:rsidR="00B40136">
              <w:rPr>
                <w:rFonts w:ascii="Times New Roman" w:eastAsia="Times New Roman" w:hAnsi="Times New Roman" w:cs="Times New Roman"/>
                <w:color w:val="000000"/>
                <w:sz w:val="20"/>
                <w:szCs w:val="20"/>
                <w:lang w:eastAsia="en-CA"/>
              </w:rPr>
              <w:t>w price-to-value</w:t>
            </w:r>
          </w:p>
        </w:tc>
        <w:tc>
          <w:tcPr>
            <w:tcW w:w="549" w:type="pct"/>
            <w:tcBorders>
              <w:top w:val="nil"/>
              <w:left w:val="nil"/>
              <w:bottom w:val="nil"/>
              <w:right w:val="nil"/>
            </w:tcBorders>
            <w:noWrap/>
            <w:vAlign w:val="bottom"/>
            <w:hideMark/>
          </w:tcPr>
          <w:p w14:paraId="55D7BA64" w14:textId="450FC6A3"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1.874</w:t>
            </w:r>
            <w:r w:rsidR="002B2C07">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50166219"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0.686</w:t>
            </w:r>
          </w:p>
        </w:tc>
        <w:tc>
          <w:tcPr>
            <w:tcW w:w="607" w:type="pct"/>
            <w:tcBorders>
              <w:top w:val="nil"/>
              <w:left w:val="nil"/>
              <w:bottom w:val="nil"/>
              <w:right w:val="nil"/>
            </w:tcBorders>
            <w:noWrap/>
            <w:vAlign w:val="bottom"/>
            <w:hideMark/>
          </w:tcPr>
          <w:p w14:paraId="05BE35C6" w14:textId="4CCE6A3F"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1.220</w:t>
            </w:r>
            <w:r w:rsidR="002B2C07">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6D21947D"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68" w:type="pct"/>
            <w:tcBorders>
              <w:top w:val="nil"/>
              <w:left w:val="nil"/>
              <w:bottom w:val="nil"/>
              <w:right w:val="nil"/>
            </w:tcBorders>
            <w:noWrap/>
            <w:vAlign w:val="bottom"/>
            <w:hideMark/>
          </w:tcPr>
          <w:p w14:paraId="3C4A7C04"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-0.654</w:t>
            </w:r>
          </w:p>
        </w:tc>
        <w:tc>
          <w:tcPr>
            <w:tcW w:w="455" w:type="pct"/>
            <w:tcBorders>
              <w:top w:val="nil"/>
              <w:left w:val="nil"/>
              <w:bottom w:val="nil"/>
              <w:right w:val="nil"/>
            </w:tcBorders>
            <w:noWrap/>
            <w:vAlign w:val="bottom"/>
            <w:hideMark/>
          </w:tcPr>
          <w:p w14:paraId="108481F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-1.045</w:t>
            </w:r>
          </w:p>
        </w:tc>
        <w:tc>
          <w:tcPr>
            <w:tcW w:w="527" w:type="pct"/>
            <w:tcBorders>
              <w:top w:val="nil"/>
              <w:left w:val="nil"/>
              <w:bottom w:val="nil"/>
              <w:right w:val="nil"/>
            </w:tcBorders>
            <w:noWrap/>
            <w:vAlign w:val="bottom"/>
            <w:hideMark/>
          </w:tcPr>
          <w:p w14:paraId="467BAD43"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0.296</w:t>
            </w:r>
            <w:r w:rsidRPr="000F4A5F">
              <w:rPr>
                <w:rFonts w:ascii="Times New Roman" w:eastAsia="Times New Roman" w:hAnsi="Times New Roman" w:cs="Times New Roman"/>
                <w:color w:val="000000"/>
                <w:sz w:val="20"/>
                <w:szCs w:val="20"/>
                <w:lang w:val="en-GB" w:eastAsia="en-GB"/>
              </w:rPr>
              <w:t>)</w:t>
            </w:r>
          </w:p>
        </w:tc>
      </w:tr>
      <w:tr w:rsidR="006B4027" w:rsidRPr="0058784A" w14:paraId="726E9B64" w14:textId="77777777" w:rsidTr="006B4027">
        <w:trPr>
          <w:trHeight w:val="255"/>
        </w:trPr>
        <w:tc>
          <w:tcPr>
            <w:tcW w:w="378" w:type="pct"/>
            <w:tcBorders>
              <w:top w:val="nil"/>
              <w:left w:val="nil"/>
              <w:bottom w:val="nil"/>
              <w:right w:val="nil"/>
            </w:tcBorders>
            <w:noWrap/>
            <w:vAlign w:val="bottom"/>
            <w:hideMark/>
          </w:tcPr>
          <w:p w14:paraId="11C2975E"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7135B136"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49" w:type="pct"/>
            <w:tcBorders>
              <w:top w:val="nil"/>
              <w:left w:val="nil"/>
              <w:bottom w:val="nil"/>
              <w:right w:val="nil"/>
            </w:tcBorders>
            <w:noWrap/>
            <w:vAlign w:val="bottom"/>
            <w:hideMark/>
          </w:tcPr>
          <w:p w14:paraId="33DC4A1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0.000</w:t>
            </w:r>
            <w:r w:rsidRPr="000F4A5F">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25126C4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0.135</w:t>
            </w:r>
            <w:r w:rsidRPr="000F4A5F">
              <w:rPr>
                <w:rFonts w:ascii="Times New Roman" w:eastAsia="Times New Roman" w:hAnsi="Times New Roman" w:cs="Times New Roman"/>
                <w:color w:val="000000"/>
                <w:sz w:val="20"/>
                <w:szCs w:val="20"/>
                <w:lang w:val="en-GB" w:eastAsia="en-GB"/>
              </w:rPr>
              <w:t>)</w:t>
            </w:r>
          </w:p>
        </w:tc>
        <w:tc>
          <w:tcPr>
            <w:tcW w:w="607" w:type="pct"/>
            <w:tcBorders>
              <w:top w:val="nil"/>
              <w:left w:val="nil"/>
              <w:bottom w:val="nil"/>
              <w:right w:val="nil"/>
            </w:tcBorders>
            <w:noWrap/>
            <w:vAlign w:val="bottom"/>
            <w:hideMark/>
          </w:tcPr>
          <w:p w14:paraId="4ED0D48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0.001</w:t>
            </w:r>
            <w:r w:rsidRPr="000F4A5F">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3C763F19"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68" w:type="pct"/>
            <w:tcBorders>
              <w:top w:val="nil"/>
              <w:left w:val="nil"/>
              <w:bottom w:val="nil"/>
              <w:right w:val="nil"/>
            </w:tcBorders>
            <w:noWrap/>
            <w:vAlign w:val="bottom"/>
            <w:hideMark/>
          </w:tcPr>
          <w:p w14:paraId="1F5F65D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55" w:type="pct"/>
            <w:tcBorders>
              <w:top w:val="nil"/>
              <w:left w:val="nil"/>
              <w:bottom w:val="nil"/>
              <w:right w:val="nil"/>
            </w:tcBorders>
            <w:noWrap/>
            <w:vAlign w:val="bottom"/>
            <w:hideMark/>
          </w:tcPr>
          <w:p w14:paraId="29D1E48F" w14:textId="77777777" w:rsidR="00DE5335" w:rsidRPr="000F4A5F" w:rsidRDefault="00DE5335" w:rsidP="00D978C6">
            <w:pPr>
              <w:spacing w:after="0" w:line="240" w:lineRule="auto"/>
              <w:jc w:val="center"/>
              <w:rPr>
                <w:rFonts w:ascii="Times New Roman" w:eastAsia="Times New Roman" w:hAnsi="Times New Roman" w:cs="Times New Roman"/>
                <w:sz w:val="20"/>
                <w:szCs w:val="20"/>
                <w:lang w:eastAsia="en-CA"/>
              </w:rPr>
            </w:pPr>
          </w:p>
        </w:tc>
        <w:tc>
          <w:tcPr>
            <w:tcW w:w="527" w:type="pct"/>
            <w:tcBorders>
              <w:top w:val="nil"/>
              <w:left w:val="nil"/>
              <w:bottom w:val="nil"/>
              <w:right w:val="nil"/>
            </w:tcBorders>
            <w:noWrap/>
            <w:vAlign w:val="bottom"/>
            <w:hideMark/>
          </w:tcPr>
          <w:p w14:paraId="743A0F6C"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r>
      <w:tr w:rsidR="006B4027" w:rsidRPr="0058784A" w14:paraId="2A123E79" w14:textId="77777777" w:rsidTr="006B4027">
        <w:trPr>
          <w:trHeight w:val="255"/>
        </w:trPr>
        <w:tc>
          <w:tcPr>
            <w:tcW w:w="378" w:type="pct"/>
            <w:tcBorders>
              <w:top w:val="nil"/>
              <w:left w:val="nil"/>
              <w:bottom w:val="nil"/>
              <w:right w:val="nil"/>
            </w:tcBorders>
            <w:noWrap/>
            <w:vAlign w:val="bottom"/>
            <w:hideMark/>
          </w:tcPr>
          <w:p w14:paraId="184C4098"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Low</w:t>
            </w:r>
          </w:p>
        </w:tc>
        <w:tc>
          <w:tcPr>
            <w:tcW w:w="969" w:type="pct"/>
            <w:tcBorders>
              <w:top w:val="nil"/>
              <w:left w:val="nil"/>
              <w:bottom w:val="nil"/>
              <w:right w:val="nil"/>
            </w:tcBorders>
            <w:noWrap/>
            <w:vAlign w:val="bottom"/>
            <w:hideMark/>
          </w:tcPr>
          <w:p w14:paraId="4056C509" w14:textId="0E36BC3F" w:rsidR="00DE5335" w:rsidRPr="0058784A" w:rsidRDefault="00B40136" w:rsidP="00D978C6">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High price-to-value</w:t>
            </w:r>
          </w:p>
        </w:tc>
        <w:tc>
          <w:tcPr>
            <w:tcW w:w="549" w:type="pct"/>
            <w:tcBorders>
              <w:top w:val="nil"/>
              <w:left w:val="nil"/>
              <w:bottom w:val="nil"/>
              <w:right w:val="nil"/>
            </w:tcBorders>
            <w:noWrap/>
            <w:vAlign w:val="bottom"/>
            <w:hideMark/>
          </w:tcPr>
          <w:p w14:paraId="5BD1BE7D" w14:textId="69BA637F"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1.394</w:t>
            </w:r>
            <w:r w:rsidR="002B2C07">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1885A18C" w14:textId="22B314BF"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0.805</w:t>
            </w:r>
            <w:r w:rsidR="002B2C07">
              <w:rPr>
                <w:rFonts w:ascii="Times New Roman" w:eastAsia="Times New Roman" w:hAnsi="Times New Roman" w:cs="Times New Roman"/>
                <w:color w:val="000000"/>
                <w:sz w:val="20"/>
                <w:szCs w:val="20"/>
                <w:lang w:val="en-GB" w:eastAsia="en-GB"/>
              </w:rPr>
              <w:t>**</w:t>
            </w:r>
          </w:p>
        </w:tc>
        <w:tc>
          <w:tcPr>
            <w:tcW w:w="607" w:type="pct"/>
            <w:tcBorders>
              <w:top w:val="nil"/>
              <w:left w:val="nil"/>
              <w:bottom w:val="nil"/>
              <w:right w:val="nil"/>
            </w:tcBorders>
            <w:noWrap/>
            <w:vAlign w:val="bottom"/>
            <w:hideMark/>
          </w:tcPr>
          <w:p w14:paraId="59932D0F" w14:textId="25CED3B2"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0.632</w:t>
            </w:r>
            <w:r w:rsidR="002B2C07">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7E3470F0"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68" w:type="pct"/>
            <w:tcBorders>
              <w:top w:val="nil"/>
              <w:left w:val="nil"/>
              <w:bottom w:val="nil"/>
              <w:right w:val="nil"/>
            </w:tcBorders>
            <w:noWrap/>
            <w:vAlign w:val="bottom"/>
            <w:hideMark/>
          </w:tcPr>
          <w:p w14:paraId="3CDD94E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-0.762</w:t>
            </w:r>
          </w:p>
        </w:tc>
        <w:tc>
          <w:tcPr>
            <w:tcW w:w="455" w:type="pct"/>
            <w:tcBorders>
              <w:top w:val="nil"/>
              <w:left w:val="nil"/>
              <w:bottom w:val="nil"/>
              <w:right w:val="nil"/>
            </w:tcBorders>
            <w:noWrap/>
            <w:vAlign w:val="bottom"/>
            <w:hideMark/>
          </w:tcPr>
          <w:p w14:paraId="1BA578F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-1.394</w:t>
            </w:r>
          </w:p>
        </w:tc>
        <w:tc>
          <w:tcPr>
            <w:tcW w:w="527" w:type="pct"/>
            <w:tcBorders>
              <w:top w:val="nil"/>
              <w:left w:val="nil"/>
              <w:bottom w:val="nil"/>
              <w:right w:val="nil"/>
            </w:tcBorders>
            <w:noWrap/>
            <w:vAlign w:val="bottom"/>
            <w:hideMark/>
          </w:tcPr>
          <w:p w14:paraId="361DA366"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0.164</w:t>
            </w:r>
            <w:r w:rsidRPr="000F4A5F">
              <w:rPr>
                <w:rFonts w:ascii="Times New Roman" w:eastAsia="Times New Roman" w:hAnsi="Times New Roman" w:cs="Times New Roman"/>
                <w:color w:val="000000"/>
                <w:sz w:val="20"/>
                <w:szCs w:val="20"/>
                <w:lang w:val="en-GB" w:eastAsia="en-GB"/>
              </w:rPr>
              <w:t>)</w:t>
            </w:r>
          </w:p>
        </w:tc>
      </w:tr>
      <w:tr w:rsidR="006B4027" w:rsidRPr="0058784A" w14:paraId="110D4885" w14:textId="77777777" w:rsidTr="006B4027">
        <w:trPr>
          <w:trHeight w:val="255"/>
        </w:trPr>
        <w:tc>
          <w:tcPr>
            <w:tcW w:w="378" w:type="pct"/>
            <w:tcBorders>
              <w:top w:val="nil"/>
              <w:left w:val="nil"/>
              <w:bottom w:val="nil"/>
              <w:right w:val="nil"/>
            </w:tcBorders>
            <w:noWrap/>
            <w:vAlign w:val="bottom"/>
            <w:hideMark/>
          </w:tcPr>
          <w:p w14:paraId="18F36733" w14:textId="30137604"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4CCACEB1"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49" w:type="pct"/>
            <w:tcBorders>
              <w:top w:val="nil"/>
              <w:left w:val="nil"/>
              <w:bottom w:val="nil"/>
              <w:right w:val="nil"/>
            </w:tcBorders>
            <w:noWrap/>
            <w:vAlign w:val="bottom"/>
            <w:hideMark/>
          </w:tcPr>
          <w:p w14:paraId="1B683ADD"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0.001</w:t>
            </w:r>
            <w:r w:rsidRPr="000F4A5F">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08A6EC9B"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0.047</w:t>
            </w:r>
            <w:r w:rsidRPr="000F4A5F">
              <w:rPr>
                <w:rFonts w:ascii="Times New Roman" w:eastAsia="Times New Roman" w:hAnsi="Times New Roman" w:cs="Times New Roman"/>
                <w:color w:val="000000"/>
                <w:sz w:val="20"/>
                <w:szCs w:val="20"/>
                <w:lang w:val="en-GB" w:eastAsia="en-GB"/>
              </w:rPr>
              <w:t>)</w:t>
            </w:r>
          </w:p>
        </w:tc>
        <w:tc>
          <w:tcPr>
            <w:tcW w:w="607" w:type="pct"/>
            <w:tcBorders>
              <w:top w:val="nil"/>
              <w:left w:val="nil"/>
              <w:bottom w:val="nil"/>
              <w:right w:val="nil"/>
            </w:tcBorders>
            <w:noWrap/>
            <w:vAlign w:val="bottom"/>
            <w:hideMark/>
          </w:tcPr>
          <w:p w14:paraId="06CFB241"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0.085</w:t>
            </w:r>
            <w:r w:rsidRPr="000F4A5F">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68F62713"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68" w:type="pct"/>
            <w:tcBorders>
              <w:top w:val="nil"/>
              <w:left w:val="nil"/>
              <w:bottom w:val="nil"/>
              <w:right w:val="nil"/>
            </w:tcBorders>
            <w:noWrap/>
            <w:vAlign w:val="bottom"/>
            <w:hideMark/>
          </w:tcPr>
          <w:p w14:paraId="4645FE56"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55" w:type="pct"/>
            <w:tcBorders>
              <w:top w:val="nil"/>
              <w:left w:val="nil"/>
              <w:bottom w:val="nil"/>
              <w:right w:val="nil"/>
            </w:tcBorders>
            <w:noWrap/>
            <w:vAlign w:val="bottom"/>
            <w:hideMark/>
          </w:tcPr>
          <w:p w14:paraId="063AFB71" w14:textId="77777777" w:rsidR="00DE5335" w:rsidRPr="000F4A5F" w:rsidRDefault="00DE5335" w:rsidP="00D978C6">
            <w:pPr>
              <w:spacing w:after="0" w:line="240" w:lineRule="auto"/>
              <w:jc w:val="center"/>
              <w:rPr>
                <w:rFonts w:ascii="Times New Roman" w:eastAsia="Times New Roman" w:hAnsi="Times New Roman" w:cs="Times New Roman"/>
                <w:sz w:val="20"/>
                <w:szCs w:val="20"/>
                <w:lang w:eastAsia="en-CA"/>
              </w:rPr>
            </w:pPr>
          </w:p>
        </w:tc>
        <w:tc>
          <w:tcPr>
            <w:tcW w:w="527" w:type="pct"/>
            <w:tcBorders>
              <w:top w:val="nil"/>
              <w:left w:val="nil"/>
              <w:bottom w:val="nil"/>
              <w:right w:val="nil"/>
            </w:tcBorders>
            <w:noWrap/>
            <w:vAlign w:val="bottom"/>
            <w:hideMark/>
          </w:tcPr>
          <w:p w14:paraId="1FCCDB7F"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r>
      <w:tr w:rsidR="006B4027" w:rsidRPr="0058784A" w14:paraId="3784300F" w14:textId="77777777" w:rsidTr="006B4027">
        <w:trPr>
          <w:trHeight w:val="255"/>
        </w:trPr>
        <w:tc>
          <w:tcPr>
            <w:tcW w:w="378" w:type="pct"/>
            <w:tcBorders>
              <w:top w:val="nil"/>
              <w:left w:val="nil"/>
              <w:bottom w:val="nil"/>
              <w:right w:val="nil"/>
            </w:tcBorders>
            <w:noWrap/>
            <w:vAlign w:val="bottom"/>
            <w:hideMark/>
          </w:tcPr>
          <w:p w14:paraId="45A3BE54"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35C97635" w14:textId="64E07694" w:rsidR="00DE5335" w:rsidRPr="0058784A" w:rsidRDefault="006B4027" w:rsidP="00D978C6">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Low–High</w:t>
            </w:r>
          </w:p>
        </w:tc>
        <w:tc>
          <w:tcPr>
            <w:tcW w:w="549" w:type="pct"/>
            <w:tcBorders>
              <w:top w:val="nil"/>
              <w:left w:val="nil"/>
              <w:bottom w:val="nil"/>
              <w:right w:val="nil"/>
            </w:tcBorders>
            <w:noWrap/>
            <w:vAlign w:val="bottom"/>
            <w:hideMark/>
          </w:tcPr>
          <w:p w14:paraId="0CC892FE" w14:textId="30C91062"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0.480</w:t>
            </w:r>
            <w:r w:rsidR="002B2C07">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05BBD58C"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-0.119</w:t>
            </w:r>
          </w:p>
        </w:tc>
        <w:tc>
          <w:tcPr>
            <w:tcW w:w="607" w:type="pct"/>
            <w:tcBorders>
              <w:top w:val="nil"/>
              <w:left w:val="nil"/>
              <w:bottom w:val="nil"/>
              <w:right w:val="nil"/>
            </w:tcBorders>
            <w:noWrap/>
            <w:vAlign w:val="bottom"/>
            <w:hideMark/>
          </w:tcPr>
          <w:p w14:paraId="11FC02FA" w14:textId="7381FE10"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0.588</w:t>
            </w:r>
            <w:r w:rsidR="002B2C07">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0C0ADD4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68" w:type="pct"/>
            <w:tcBorders>
              <w:top w:val="nil"/>
              <w:left w:val="nil"/>
              <w:bottom w:val="nil"/>
              <w:right w:val="nil"/>
            </w:tcBorders>
            <w:noWrap/>
            <w:vAlign w:val="bottom"/>
            <w:hideMark/>
          </w:tcPr>
          <w:p w14:paraId="17D6D571"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0.109</w:t>
            </w:r>
          </w:p>
        </w:tc>
        <w:tc>
          <w:tcPr>
            <w:tcW w:w="455" w:type="pct"/>
            <w:tcBorders>
              <w:top w:val="nil"/>
              <w:left w:val="nil"/>
              <w:bottom w:val="nil"/>
              <w:right w:val="nil"/>
            </w:tcBorders>
            <w:noWrap/>
            <w:vAlign w:val="bottom"/>
            <w:hideMark/>
          </w:tcPr>
          <w:p w14:paraId="27C706D3"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0.422</w:t>
            </w:r>
          </w:p>
        </w:tc>
        <w:tc>
          <w:tcPr>
            <w:tcW w:w="527" w:type="pct"/>
            <w:tcBorders>
              <w:top w:val="nil"/>
              <w:left w:val="nil"/>
              <w:bottom w:val="nil"/>
              <w:right w:val="nil"/>
            </w:tcBorders>
            <w:noWrap/>
            <w:vAlign w:val="bottom"/>
            <w:hideMark/>
          </w:tcPr>
          <w:p w14:paraId="195D9E07"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0.673</w:t>
            </w:r>
            <w:r w:rsidRPr="000F4A5F">
              <w:rPr>
                <w:rFonts w:ascii="Times New Roman" w:eastAsia="Times New Roman" w:hAnsi="Times New Roman" w:cs="Times New Roman"/>
                <w:color w:val="000000"/>
                <w:sz w:val="20"/>
                <w:szCs w:val="20"/>
                <w:lang w:val="en-GB" w:eastAsia="en-GB"/>
              </w:rPr>
              <w:t>)</w:t>
            </w:r>
          </w:p>
        </w:tc>
      </w:tr>
      <w:tr w:rsidR="006B4027" w:rsidRPr="0058784A" w14:paraId="052C7BB2" w14:textId="77777777" w:rsidTr="006B4027">
        <w:trPr>
          <w:trHeight w:val="255"/>
        </w:trPr>
        <w:tc>
          <w:tcPr>
            <w:tcW w:w="378" w:type="pct"/>
            <w:tcBorders>
              <w:top w:val="nil"/>
              <w:left w:val="nil"/>
              <w:bottom w:val="nil"/>
              <w:right w:val="nil"/>
            </w:tcBorders>
            <w:noWrap/>
            <w:vAlign w:val="bottom"/>
            <w:hideMark/>
          </w:tcPr>
          <w:p w14:paraId="65348E28"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2C3E8526"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49" w:type="pct"/>
            <w:tcBorders>
              <w:top w:val="nil"/>
              <w:left w:val="nil"/>
              <w:bottom w:val="nil"/>
              <w:right w:val="nil"/>
            </w:tcBorders>
            <w:noWrap/>
            <w:vAlign w:val="bottom"/>
            <w:hideMark/>
          </w:tcPr>
          <w:p w14:paraId="7586DCD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0.011</w:t>
            </w:r>
            <w:r w:rsidRPr="000F4A5F">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51D41739"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0.495</w:t>
            </w:r>
            <w:r w:rsidRPr="000F4A5F">
              <w:rPr>
                <w:rFonts w:ascii="Times New Roman" w:eastAsia="Times New Roman" w:hAnsi="Times New Roman" w:cs="Times New Roman"/>
                <w:color w:val="000000"/>
                <w:sz w:val="20"/>
                <w:szCs w:val="20"/>
                <w:lang w:val="en-GB" w:eastAsia="en-GB"/>
              </w:rPr>
              <w:t>)</w:t>
            </w:r>
          </w:p>
        </w:tc>
        <w:tc>
          <w:tcPr>
            <w:tcW w:w="607" w:type="pct"/>
            <w:tcBorders>
              <w:top w:val="nil"/>
              <w:left w:val="nil"/>
              <w:bottom w:val="nil"/>
              <w:right w:val="nil"/>
            </w:tcBorders>
            <w:noWrap/>
            <w:vAlign w:val="bottom"/>
            <w:hideMark/>
          </w:tcPr>
          <w:p w14:paraId="508BD92C"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0.001</w:t>
            </w:r>
            <w:r w:rsidRPr="000F4A5F">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2017434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68" w:type="pct"/>
            <w:tcBorders>
              <w:top w:val="nil"/>
              <w:left w:val="nil"/>
              <w:bottom w:val="nil"/>
              <w:right w:val="nil"/>
            </w:tcBorders>
            <w:noWrap/>
            <w:vAlign w:val="bottom"/>
            <w:hideMark/>
          </w:tcPr>
          <w:p w14:paraId="377DC467"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55" w:type="pct"/>
            <w:tcBorders>
              <w:top w:val="nil"/>
              <w:left w:val="nil"/>
              <w:bottom w:val="nil"/>
              <w:right w:val="nil"/>
            </w:tcBorders>
            <w:noWrap/>
            <w:vAlign w:val="bottom"/>
            <w:hideMark/>
          </w:tcPr>
          <w:p w14:paraId="6EE47EAE" w14:textId="77777777" w:rsidR="00DE5335" w:rsidRPr="000F4A5F" w:rsidRDefault="00DE5335" w:rsidP="00D978C6">
            <w:pPr>
              <w:spacing w:after="0" w:line="240" w:lineRule="auto"/>
              <w:jc w:val="center"/>
              <w:rPr>
                <w:rFonts w:ascii="Times New Roman" w:eastAsia="Times New Roman" w:hAnsi="Times New Roman" w:cs="Times New Roman"/>
                <w:sz w:val="20"/>
                <w:szCs w:val="20"/>
                <w:lang w:eastAsia="en-CA"/>
              </w:rPr>
            </w:pPr>
          </w:p>
        </w:tc>
        <w:tc>
          <w:tcPr>
            <w:tcW w:w="527" w:type="pct"/>
            <w:tcBorders>
              <w:top w:val="nil"/>
              <w:left w:val="nil"/>
              <w:bottom w:val="nil"/>
              <w:right w:val="nil"/>
            </w:tcBorders>
            <w:noWrap/>
            <w:vAlign w:val="bottom"/>
            <w:hideMark/>
          </w:tcPr>
          <w:p w14:paraId="4EDCBC31"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r>
      <w:tr w:rsidR="006B4027" w:rsidRPr="0058784A" w14:paraId="532AA06C" w14:textId="77777777" w:rsidTr="006B4027">
        <w:trPr>
          <w:trHeight w:val="411"/>
        </w:trPr>
        <w:tc>
          <w:tcPr>
            <w:tcW w:w="378" w:type="pct"/>
            <w:tcBorders>
              <w:bottom w:val="nil"/>
              <w:right w:val="nil"/>
            </w:tcBorders>
            <w:noWrap/>
            <w:vAlign w:val="bottom"/>
            <w:hideMark/>
          </w:tcPr>
          <w:p w14:paraId="1692119E"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left w:val="nil"/>
              <w:bottom w:val="nil"/>
              <w:right w:val="nil"/>
            </w:tcBorders>
            <w:noWrap/>
            <w:vAlign w:val="bottom"/>
            <w:hideMark/>
          </w:tcPr>
          <w:p w14:paraId="7CBA857B" w14:textId="123206BA" w:rsidR="00DE5335" w:rsidRPr="0058784A" w:rsidRDefault="00B40136"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Lo</w:t>
            </w:r>
            <w:r>
              <w:rPr>
                <w:rFonts w:ascii="Times New Roman" w:eastAsia="Times New Roman" w:hAnsi="Times New Roman" w:cs="Times New Roman"/>
                <w:color w:val="000000"/>
                <w:sz w:val="20"/>
                <w:szCs w:val="20"/>
                <w:lang w:eastAsia="en-CA"/>
              </w:rPr>
              <w:t>w price-to-value</w:t>
            </w:r>
          </w:p>
        </w:tc>
        <w:tc>
          <w:tcPr>
            <w:tcW w:w="549" w:type="pct"/>
            <w:tcBorders>
              <w:left w:val="nil"/>
              <w:bottom w:val="nil"/>
              <w:right w:val="nil"/>
            </w:tcBorders>
            <w:noWrap/>
            <w:vAlign w:val="bottom"/>
            <w:hideMark/>
          </w:tcPr>
          <w:p w14:paraId="1A9FAA89" w14:textId="30D7270D"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2.705</w:t>
            </w:r>
            <w:r w:rsidR="002B2C07">
              <w:rPr>
                <w:rFonts w:ascii="Times New Roman" w:eastAsia="Times New Roman" w:hAnsi="Times New Roman" w:cs="Times New Roman"/>
                <w:color w:val="000000"/>
                <w:sz w:val="20"/>
                <w:szCs w:val="20"/>
                <w:lang w:val="en-GB" w:eastAsia="en-GB"/>
              </w:rPr>
              <w:t>***</w:t>
            </w:r>
          </w:p>
        </w:tc>
        <w:tc>
          <w:tcPr>
            <w:tcW w:w="606" w:type="pct"/>
            <w:tcBorders>
              <w:left w:val="nil"/>
              <w:bottom w:val="nil"/>
              <w:right w:val="nil"/>
            </w:tcBorders>
            <w:noWrap/>
            <w:vAlign w:val="bottom"/>
            <w:hideMark/>
          </w:tcPr>
          <w:p w14:paraId="7A5DFE24" w14:textId="69837801"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1.265</w:t>
            </w:r>
            <w:r w:rsidR="002B2C07">
              <w:rPr>
                <w:rFonts w:ascii="Times New Roman" w:eastAsia="Times New Roman" w:hAnsi="Times New Roman" w:cs="Times New Roman"/>
                <w:color w:val="000000"/>
                <w:sz w:val="20"/>
                <w:szCs w:val="20"/>
                <w:lang w:val="en-GB" w:eastAsia="en-GB"/>
              </w:rPr>
              <w:t>**</w:t>
            </w:r>
          </w:p>
        </w:tc>
        <w:tc>
          <w:tcPr>
            <w:tcW w:w="607" w:type="pct"/>
            <w:tcBorders>
              <w:left w:val="nil"/>
              <w:bottom w:val="nil"/>
              <w:right w:val="nil"/>
            </w:tcBorders>
            <w:noWrap/>
            <w:vAlign w:val="bottom"/>
            <w:hideMark/>
          </w:tcPr>
          <w:p w14:paraId="02EBAA03"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0.712</w:t>
            </w:r>
          </w:p>
        </w:tc>
        <w:tc>
          <w:tcPr>
            <w:tcW w:w="342" w:type="pct"/>
            <w:tcBorders>
              <w:left w:val="nil"/>
              <w:bottom w:val="nil"/>
              <w:right w:val="nil"/>
            </w:tcBorders>
            <w:vAlign w:val="bottom"/>
          </w:tcPr>
          <w:p w14:paraId="25E5DD2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r w:rsidRPr="000F4A5F">
              <w:rPr>
                <w:rFonts w:ascii="Times New Roman" w:eastAsia="Times New Roman" w:hAnsi="Times New Roman" w:cs="Times New Roman"/>
                <w:color w:val="000000"/>
                <w:sz w:val="20"/>
                <w:szCs w:val="20"/>
                <w:lang w:val="en-GB" w:eastAsia="en-GB"/>
              </w:rPr>
              <w:t>(–)</w:t>
            </w:r>
          </w:p>
        </w:tc>
        <w:tc>
          <w:tcPr>
            <w:tcW w:w="568" w:type="pct"/>
            <w:tcBorders>
              <w:left w:val="nil"/>
              <w:bottom w:val="nil"/>
              <w:right w:val="nil"/>
            </w:tcBorders>
            <w:noWrap/>
            <w:vAlign w:val="bottom"/>
            <w:hideMark/>
          </w:tcPr>
          <w:p w14:paraId="7E62E801"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-1.993</w:t>
            </w:r>
            <w:r w:rsidRPr="000F4A5F">
              <w:rPr>
                <w:rFonts w:ascii="Times New Roman" w:eastAsia="Times New Roman" w:hAnsi="Times New Roman" w:cs="Times New Roman"/>
                <w:color w:val="000000"/>
                <w:sz w:val="20"/>
                <w:szCs w:val="20"/>
                <w:lang w:val="en-GB" w:eastAsia="en-GB"/>
              </w:rPr>
              <w:t>**</w:t>
            </w:r>
          </w:p>
        </w:tc>
        <w:tc>
          <w:tcPr>
            <w:tcW w:w="455" w:type="pct"/>
            <w:tcBorders>
              <w:left w:val="nil"/>
              <w:bottom w:val="nil"/>
              <w:right w:val="nil"/>
            </w:tcBorders>
            <w:noWrap/>
            <w:vAlign w:val="bottom"/>
            <w:hideMark/>
          </w:tcPr>
          <w:p w14:paraId="336B6B5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-2.242</w:t>
            </w:r>
          </w:p>
        </w:tc>
        <w:tc>
          <w:tcPr>
            <w:tcW w:w="527" w:type="pct"/>
            <w:tcBorders>
              <w:left w:val="nil"/>
              <w:bottom w:val="nil"/>
            </w:tcBorders>
            <w:noWrap/>
            <w:vAlign w:val="bottom"/>
            <w:hideMark/>
          </w:tcPr>
          <w:p w14:paraId="3B01E7E9"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0.025</w:t>
            </w:r>
            <w:r w:rsidRPr="000F4A5F">
              <w:rPr>
                <w:rFonts w:ascii="Times New Roman" w:eastAsia="Times New Roman" w:hAnsi="Times New Roman" w:cs="Times New Roman"/>
                <w:color w:val="000000"/>
                <w:sz w:val="20"/>
                <w:szCs w:val="20"/>
                <w:lang w:val="en-GB" w:eastAsia="en-GB"/>
              </w:rPr>
              <w:t>)</w:t>
            </w:r>
          </w:p>
        </w:tc>
      </w:tr>
      <w:tr w:rsidR="006B4027" w:rsidRPr="0058784A" w14:paraId="0C072D78" w14:textId="77777777" w:rsidTr="006B4027">
        <w:trPr>
          <w:trHeight w:val="255"/>
        </w:trPr>
        <w:tc>
          <w:tcPr>
            <w:tcW w:w="378" w:type="pct"/>
            <w:tcBorders>
              <w:top w:val="nil"/>
              <w:bottom w:val="nil"/>
              <w:right w:val="nil"/>
            </w:tcBorders>
            <w:noWrap/>
            <w:vAlign w:val="bottom"/>
            <w:hideMark/>
          </w:tcPr>
          <w:p w14:paraId="255933B7"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6A21BD35"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49" w:type="pct"/>
            <w:tcBorders>
              <w:top w:val="nil"/>
              <w:left w:val="nil"/>
              <w:bottom w:val="nil"/>
              <w:right w:val="nil"/>
            </w:tcBorders>
            <w:noWrap/>
            <w:vAlign w:val="bottom"/>
            <w:hideMark/>
          </w:tcPr>
          <w:p w14:paraId="2B649044"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0.000</w:t>
            </w:r>
            <w:r w:rsidRPr="000F4A5F">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4BFF5DC3"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0.032</w:t>
            </w:r>
            <w:r w:rsidRPr="000F4A5F">
              <w:rPr>
                <w:rFonts w:ascii="Times New Roman" w:eastAsia="Times New Roman" w:hAnsi="Times New Roman" w:cs="Times New Roman"/>
                <w:color w:val="000000"/>
                <w:sz w:val="20"/>
                <w:szCs w:val="20"/>
                <w:lang w:val="en-GB" w:eastAsia="en-GB"/>
              </w:rPr>
              <w:t>)</w:t>
            </w:r>
          </w:p>
        </w:tc>
        <w:tc>
          <w:tcPr>
            <w:tcW w:w="607" w:type="pct"/>
            <w:tcBorders>
              <w:top w:val="nil"/>
              <w:left w:val="nil"/>
              <w:bottom w:val="nil"/>
              <w:right w:val="nil"/>
            </w:tcBorders>
            <w:noWrap/>
            <w:vAlign w:val="bottom"/>
            <w:hideMark/>
          </w:tcPr>
          <w:p w14:paraId="1EBCF29C"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0.203</w:t>
            </w:r>
            <w:r w:rsidRPr="000F4A5F">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51B40C4F"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68" w:type="pct"/>
            <w:tcBorders>
              <w:top w:val="nil"/>
              <w:left w:val="nil"/>
              <w:bottom w:val="nil"/>
              <w:right w:val="nil"/>
            </w:tcBorders>
            <w:noWrap/>
            <w:vAlign w:val="bottom"/>
            <w:hideMark/>
          </w:tcPr>
          <w:p w14:paraId="0349110A"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55" w:type="pct"/>
            <w:tcBorders>
              <w:top w:val="nil"/>
              <w:left w:val="nil"/>
              <w:bottom w:val="nil"/>
              <w:right w:val="nil"/>
            </w:tcBorders>
            <w:noWrap/>
            <w:vAlign w:val="bottom"/>
            <w:hideMark/>
          </w:tcPr>
          <w:p w14:paraId="251F540C" w14:textId="77777777" w:rsidR="00DE5335" w:rsidRPr="000F4A5F" w:rsidRDefault="00DE5335" w:rsidP="00D978C6">
            <w:pPr>
              <w:spacing w:after="0" w:line="240" w:lineRule="auto"/>
              <w:jc w:val="center"/>
              <w:rPr>
                <w:rFonts w:ascii="Times New Roman" w:eastAsia="Times New Roman" w:hAnsi="Times New Roman" w:cs="Times New Roman"/>
                <w:sz w:val="20"/>
                <w:szCs w:val="20"/>
                <w:lang w:eastAsia="en-CA"/>
              </w:rPr>
            </w:pPr>
          </w:p>
        </w:tc>
        <w:tc>
          <w:tcPr>
            <w:tcW w:w="527" w:type="pct"/>
            <w:tcBorders>
              <w:top w:val="nil"/>
              <w:left w:val="nil"/>
              <w:bottom w:val="nil"/>
            </w:tcBorders>
            <w:noWrap/>
            <w:vAlign w:val="bottom"/>
            <w:hideMark/>
          </w:tcPr>
          <w:p w14:paraId="3DE818AB"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 </w:t>
            </w:r>
          </w:p>
        </w:tc>
      </w:tr>
      <w:tr w:rsidR="006B4027" w:rsidRPr="0058784A" w14:paraId="740A6E5D" w14:textId="77777777" w:rsidTr="006B4027">
        <w:trPr>
          <w:trHeight w:val="255"/>
        </w:trPr>
        <w:tc>
          <w:tcPr>
            <w:tcW w:w="378" w:type="pct"/>
            <w:tcBorders>
              <w:top w:val="nil"/>
              <w:bottom w:val="nil"/>
              <w:right w:val="nil"/>
            </w:tcBorders>
            <w:noWrap/>
            <w:vAlign w:val="bottom"/>
            <w:hideMark/>
          </w:tcPr>
          <w:p w14:paraId="0A6803CD"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High</w:t>
            </w:r>
          </w:p>
        </w:tc>
        <w:tc>
          <w:tcPr>
            <w:tcW w:w="969" w:type="pct"/>
            <w:tcBorders>
              <w:top w:val="nil"/>
              <w:left w:val="nil"/>
              <w:bottom w:val="nil"/>
              <w:right w:val="nil"/>
            </w:tcBorders>
            <w:noWrap/>
            <w:vAlign w:val="bottom"/>
            <w:hideMark/>
          </w:tcPr>
          <w:p w14:paraId="53669395" w14:textId="2438C3D2" w:rsidR="00DE5335" w:rsidRPr="0058784A" w:rsidRDefault="00B40136" w:rsidP="00D978C6">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High price-to-value</w:t>
            </w:r>
          </w:p>
        </w:tc>
        <w:tc>
          <w:tcPr>
            <w:tcW w:w="549" w:type="pct"/>
            <w:tcBorders>
              <w:top w:val="nil"/>
              <w:left w:val="nil"/>
              <w:bottom w:val="nil"/>
              <w:right w:val="nil"/>
            </w:tcBorders>
            <w:noWrap/>
            <w:vAlign w:val="bottom"/>
            <w:hideMark/>
          </w:tcPr>
          <w:p w14:paraId="2138993E" w14:textId="23B49BBB"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1.788</w:t>
            </w:r>
            <w:r w:rsidR="002B2C07">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135B9866"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0.632</w:t>
            </w:r>
          </w:p>
        </w:tc>
        <w:tc>
          <w:tcPr>
            <w:tcW w:w="607" w:type="pct"/>
            <w:tcBorders>
              <w:top w:val="nil"/>
              <w:left w:val="nil"/>
              <w:bottom w:val="nil"/>
              <w:right w:val="nil"/>
            </w:tcBorders>
            <w:noWrap/>
            <w:vAlign w:val="bottom"/>
            <w:hideMark/>
          </w:tcPr>
          <w:p w14:paraId="3BF22F5C" w14:textId="0C186D99"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-1.313</w:t>
            </w:r>
            <w:r w:rsidR="002B2C07">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550FC000"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r w:rsidRPr="000F4A5F">
              <w:rPr>
                <w:rFonts w:ascii="Times New Roman" w:eastAsia="Times New Roman" w:hAnsi="Times New Roman" w:cs="Times New Roman"/>
                <w:color w:val="000000"/>
                <w:sz w:val="20"/>
                <w:szCs w:val="20"/>
                <w:lang w:val="en-GB" w:eastAsia="en-GB"/>
              </w:rPr>
              <w:t>(–)</w:t>
            </w:r>
          </w:p>
        </w:tc>
        <w:tc>
          <w:tcPr>
            <w:tcW w:w="568" w:type="pct"/>
            <w:tcBorders>
              <w:top w:val="nil"/>
              <w:left w:val="nil"/>
              <w:bottom w:val="nil"/>
              <w:right w:val="nil"/>
            </w:tcBorders>
            <w:noWrap/>
            <w:vAlign w:val="bottom"/>
            <w:hideMark/>
          </w:tcPr>
          <w:p w14:paraId="5845A933"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-3.102</w:t>
            </w:r>
            <w:r w:rsidRPr="000F4A5F">
              <w:rPr>
                <w:rFonts w:ascii="Times New Roman" w:eastAsia="Times New Roman" w:hAnsi="Times New Roman" w:cs="Times New Roman"/>
                <w:color w:val="000000"/>
                <w:sz w:val="20"/>
                <w:szCs w:val="20"/>
                <w:lang w:val="en-GB" w:eastAsia="en-GB"/>
              </w:rPr>
              <w:t>***</w:t>
            </w:r>
          </w:p>
        </w:tc>
        <w:tc>
          <w:tcPr>
            <w:tcW w:w="455" w:type="pct"/>
            <w:tcBorders>
              <w:top w:val="nil"/>
              <w:left w:val="nil"/>
              <w:bottom w:val="nil"/>
              <w:right w:val="nil"/>
            </w:tcBorders>
            <w:noWrap/>
            <w:vAlign w:val="bottom"/>
            <w:hideMark/>
          </w:tcPr>
          <w:p w14:paraId="0378E445"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-3.834</w:t>
            </w:r>
          </w:p>
        </w:tc>
        <w:tc>
          <w:tcPr>
            <w:tcW w:w="527" w:type="pct"/>
            <w:tcBorders>
              <w:top w:val="nil"/>
              <w:left w:val="nil"/>
              <w:bottom w:val="nil"/>
            </w:tcBorders>
            <w:noWrap/>
            <w:vAlign w:val="bottom"/>
            <w:hideMark/>
          </w:tcPr>
          <w:p w14:paraId="4FD9DD45"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0.000</w:t>
            </w:r>
            <w:r w:rsidRPr="000F4A5F">
              <w:rPr>
                <w:rFonts w:ascii="Times New Roman" w:eastAsia="Times New Roman" w:hAnsi="Times New Roman" w:cs="Times New Roman"/>
                <w:color w:val="000000"/>
                <w:sz w:val="20"/>
                <w:szCs w:val="20"/>
                <w:lang w:val="en-GB" w:eastAsia="en-GB"/>
              </w:rPr>
              <w:t>)</w:t>
            </w:r>
          </w:p>
        </w:tc>
      </w:tr>
      <w:tr w:rsidR="006B4027" w:rsidRPr="0058784A" w14:paraId="0B82F80D" w14:textId="77777777" w:rsidTr="006B4027">
        <w:trPr>
          <w:trHeight w:val="255"/>
        </w:trPr>
        <w:tc>
          <w:tcPr>
            <w:tcW w:w="378" w:type="pct"/>
            <w:tcBorders>
              <w:top w:val="nil"/>
              <w:bottom w:val="nil"/>
              <w:right w:val="nil"/>
            </w:tcBorders>
            <w:noWrap/>
            <w:vAlign w:val="bottom"/>
            <w:hideMark/>
          </w:tcPr>
          <w:p w14:paraId="4F38DEDE" w14:textId="7F1D0B0B"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nil"/>
              <w:right w:val="nil"/>
            </w:tcBorders>
            <w:noWrap/>
            <w:vAlign w:val="bottom"/>
            <w:hideMark/>
          </w:tcPr>
          <w:p w14:paraId="53CAD8DE"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49" w:type="pct"/>
            <w:tcBorders>
              <w:top w:val="nil"/>
              <w:left w:val="nil"/>
              <w:bottom w:val="nil"/>
              <w:right w:val="nil"/>
            </w:tcBorders>
            <w:noWrap/>
            <w:vAlign w:val="bottom"/>
            <w:hideMark/>
          </w:tcPr>
          <w:p w14:paraId="27EE9DE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0.002</w:t>
            </w:r>
            <w:r w:rsidRPr="000F4A5F">
              <w:rPr>
                <w:rFonts w:ascii="Times New Roman" w:eastAsia="Times New Roman" w:hAnsi="Times New Roman" w:cs="Times New Roman"/>
                <w:color w:val="000000"/>
                <w:sz w:val="20"/>
                <w:szCs w:val="20"/>
                <w:lang w:val="en-GB" w:eastAsia="en-GB"/>
              </w:rPr>
              <w:t>)</w:t>
            </w:r>
          </w:p>
        </w:tc>
        <w:tc>
          <w:tcPr>
            <w:tcW w:w="606" w:type="pct"/>
            <w:tcBorders>
              <w:top w:val="nil"/>
              <w:left w:val="nil"/>
              <w:bottom w:val="nil"/>
              <w:right w:val="nil"/>
            </w:tcBorders>
            <w:noWrap/>
            <w:vAlign w:val="bottom"/>
            <w:hideMark/>
          </w:tcPr>
          <w:p w14:paraId="082C9E4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0.264</w:t>
            </w:r>
            <w:r w:rsidRPr="000F4A5F">
              <w:rPr>
                <w:rFonts w:ascii="Times New Roman" w:eastAsia="Times New Roman" w:hAnsi="Times New Roman" w:cs="Times New Roman"/>
                <w:color w:val="000000"/>
                <w:sz w:val="20"/>
                <w:szCs w:val="20"/>
                <w:lang w:val="en-GB" w:eastAsia="en-GB"/>
              </w:rPr>
              <w:t>)</w:t>
            </w:r>
          </w:p>
        </w:tc>
        <w:tc>
          <w:tcPr>
            <w:tcW w:w="607" w:type="pct"/>
            <w:tcBorders>
              <w:top w:val="nil"/>
              <w:left w:val="nil"/>
              <w:bottom w:val="nil"/>
              <w:right w:val="nil"/>
            </w:tcBorders>
            <w:noWrap/>
            <w:vAlign w:val="bottom"/>
            <w:hideMark/>
          </w:tcPr>
          <w:p w14:paraId="32C0F13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0.028</w:t>
            </w:r>
            <w:r w:rsidRPr="000F4A5F">
              <w:rPr>
                <w:rFonts w:ascii="Times New Roman" w:eastAsia="Times New Roman" w:hAnsi="Times New Roman" w:cs="Times New Roman"/>
                <w:color w:val="000000"/>
                <w:sz w:val="20"/>
                <w:szCs w:val="20"/>
                <w:lang w:val="en-GB" w:eastAsia="en-GB"/>
              </w:rPr>
              <w:t>)</w:t>
            </w:r>
          </w:p>
        </w:tc>
        <w:tc>
          <w:tcPr>
            <w:tcW w:w="342" w:type="pct"/>
            <w:tcBorders>
              <w:top w:val="nil"/>
              <w:left w:val="nil"/>
              <w:bottom w:val="nil"/>
              <w:right w:val="nil"/>
            </w:tcBorders>
            <w:vAlign w:val="bottom"/>
          </w:tcPr>
          <w:p w14:paraId="2EF1D81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68" w:type="pct"/>
            <w:tcBorders>
              <w:top w:val="nil"/>
              <w:left w:val="nil"/>
              <w:bottom w:val="nil"/>
              <w:right w:val="nil"/>
            </w:tcBorders>
            <w:noWrap/>
            <w:vAlign w:val="bottom"/>
            <w:hideMark/>
          </w:tcPr>
          <w:p w14:paraId="0EFCBF4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55" w:type="pct"/>
            <w:tcBorders>
              <w:top w:val="nil"/>
              <w:left w:val="nil"/>
              <w:bottom w:val="nil"/>
              <w:right w:val="nil"/>
            </w:tcBorders>
            <w:noWrap/>
            <w:vAlign w:val="bottom"/>
            <w:hideMark/>
          </w:tcPr>
          <w:p w14:paraId="1142F278" w14:textId="77777777" w:rsidR="00DE5335" w:rsidRPr="000F4A5F" w:rsidRDefault="00DE5335" w:rsidP="00D978C6">
            <w:pPr>
              <w:spacing w:after="0" w:line="240" w:lineRule="auto"/>
              <w:jc w:val="center"/>
              <w:rPr>
                <w:rFonts w:ascii="Times New Roman" w:eastAsia="Times New Roman" w:hAnsi="Times New Roman" w:cs="Times New Roman"/>
                <w:sz w:val="20"/>
                <w:szCs w:val="20"/>
                <w:lang w:eastAsia="en-CA"/>
              </w:rPr>
            </w:pPr>
          </w:p>
        </w:tc>
        <w:tc>
          <w:tcPr>
            <w:tcW w:w="527" w:type="pct"/>
            <w:tcBorders>
              <w:top w:val="nil"/>
              <w:left w:val="nil"/>
              <w:bottom w:val="nil"/>
            </w:tcBorders>
            <w:noWrap/>
            <w:vAlign w:val="bottom"/>
            <w:hideMark/>
          </w:tcPr>
          <w:p w14:paraId="505C99B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 </w:t>
            </w:r>
          </w:p>
        </w:tc>
      </w:tr>
      <w:tr w:rsidR="006B4027" w:rsidRPr="0058784A" w14:paraId="218443C0" w14:textId="77777777" w:rsidTr="006B4027">
        <w:trPr>
          <w:trHeight w:val="255"/>
        </w:trPr>
        <w:tc>
          <w:tcPr>
            <w:tcW w:w="378" w:type="pct"/>
            <w:tcBorders>
              <w:top w:val="nil"/>
              <w:right w:val="nil"/>
            </w:tcBorders>
            <w:noWrap/>
            <w:vAlign w:val="bottom"/>
            <w:hideMark/>
          </w:tcPr>
          <w:p w14:paraId="3A72BF06"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right w:val="nil"/>
            </w:tcBorders>
            <w:noWrap/>
            <w:vAlign w:val="bottom"/>
            <w:hideMark/>
          </w:tcPr>
          <w:p w14:paraId="5F171AC6" w14:textId="30BD163F" w:rsidR="00DE5335" w:rsidRPr="0058784A" w:rsidRDefault="006B4027" w:rsidP="00D978C6">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Low–High</w:t>
            </w:r>
          </w:p>
        </w:tc>
        <w:tc>
          <w:tcPr>
            <w:tcW w:w="549" w:type="pct"/>
            <w:tcBorders>
              <w:top w:val="nil"/>
              <w:left w:val="nil"/>
              <w:right w:val="nil"/>
            </w:tcBorders>
            <w:noWrap/>
            <w:vAlign w:val="bottom"/>
            <w:hideMark/>
          </w:tcPr>
          <w:p w14:paraId="146B16B8" w14:textId="19EBCFB8"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0.917</w:t>
            </w:r>
            <w:r w:rsidR="002B2C07">
              <w:rPr>
                <w:rFonts w:ascii="Times New Roman" w:eastAsia="Times New Roman" w:hAnsi="Times New Roman" w:cs="Times New Roman"/>
                <w:color w:val="000000"/>
                <w:sz w:val="20"/>
                <w:szCs w:val="20"/>
                <w:lang w:val="en-GB" w:eastAsia="en-GB"/>
              </w:rPr>
              <w:t>***</w:t>
            </w:r>
          </w:p>
        </w:tc>
        <w:tc>
          <w:tcPr>
            <w:tcW w:w="606" w:type="pct"/>
            <w:tcBorders>
              <w:top w:val="nil"/>
              <w:left w:val="nil"/>
              <w:right w:val="nil"/>
            </w:tcBorders>
            <w:noWrap/>
            <w:vAlign w:val="bottom"/>
            <w:hideMark/>
          </w:tcPr>
          <w:p w14:paraId="6B533CD3" w14:textId="56E8E705"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0.633</w:t>
            </w:r>
            <w:r w:rsidR="002B2C07">
              <w:rPr>
                <w:rFonts w:ascii="Times New Roman" w:eastAsia="Times New Roman" w:hAnsi="Times New Roman" w:cs="Times New Roman"/>
                <w:color w:val="000000"/>
                <w:sz w:val="20"/>
                <w:szCs w:val="20"/>
                <w:lang w:val="en-GB" w:eastAsia="en-GB"/>
              </w:rPr>
              <w:t>**</w:t>
            </w:r>
          </w:p>
        </w:tc>
        <w:tc>
          <w:tcPr>
            <w:tcW w:w="607" w:type="pct"/>
            <w:tcBorders>
              <w:top w:val="nil"/>
              <w:left w:val="nil"/>
              <w:right w:val="nil"/>
            </w:tcBorders>
            <w:noWrap/>
            <w:vAlign w:val="bottom"/>
            <w:hideMark/>
          </w:tcPr>
          <w:p w14:paraId="73515C64" w14:textId="64F0C294"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2.025</w:t>
            </w:r>
            <w:r w:rsidR="002B2C07">
              <w:rPr>
                <w:rFonts w:ascii="Times New Roman" w:eastAsia="Times New Roman" w:hAnsi="Times New Roman" w:cs="Times New Roman"/>
                <w:color w:val="000000"/>
                <w:sz w:val="20"/>
                <w:szCs w:val="20"/>
                <w:lang w:val="en-GB" w:eastAsia="en-GB"/>
              </w:rPr>
              <w:t>***</w:t>
            </w:r>
          </w:p>
        </w:tc>
        <w:tc>
          <w:tcPr>
            <w:tcW w:w="342" w:type="pct"/>
            <w:tcBorders>
              <w:top w:val="nil"/>
              <w:left w:val="nil"/>
              <w:right w:val="nil"/>
            </w:tcBorders>
            <w:vAlign w:val="bottom"/>
          </w:tcPr>
          <w:p w14:paraId="13525E58"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68" w:type="pct"/>
            <w:tcBorders>
              <w:top w:val="nil"/>
              <w:left w:val="nil"/>
              <w:right w:val="nil"/>
            </w:tcBorders>
            <w:noWrap/>
            <w:vAlign w:val="bottom"/>
            <w:hideMark/>
          </w:tcPr>
          <w:p w14:paraId="59FA0CBD"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1.108</w:t>
            </w:r>
            <w:r w:rsidRPr="000F4A5F">
              <w:rPr>
                <w:rFonts w:ascii="Times New Roman" w:eastAsia="Times New Roman" w:hAnsi="Times New Roman" w:cs="Times New Roman"/>
                <w:color w:val="000000"/>
                <w:sz w:val="20"/>
                <w:szCs w:val="20"/>
                <w:lang w:val="en-GB" w:eastAsia="en-GB"/>
              </w:rPr>
              <w:t>***</w:t>
            </w:r>
          </w:p>
        </w:tc>
        <w:tc>
          <w:tcPr>
            <w:tcW w:w="455" w:type="pct"/>
            <w:tcBorders>
              <w:top w:val="nil"/>
              <w:left w:val="nil"/>
              <w:right w:val="nil"/>
            </w:tcBorders>
            <w:noWrap/>
            <w:vAlign w:val="bottom"/>
            <w:hideMark/>
          </w:tcPr>
          <w:p w14:paraId="68C7A665"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A37CD1">
              <w:rPr>
                <w:rFonts w:ascii="Times New Roman" w:eastAsia="Times New Roman" w:hAnsi="Times New Roman" w:cs="Times New Roman"/>
                <w:color w:val="000000"/>
                <w:sz w:val="20"/>
                <w:szCs w:val="20"/>
                <w:lang w:val="en-GB" w:eastAsia="en-GB"/>
              </w:rPr>
              <w:t>2.687</w:t>
            </w:r>
          </w:p>
        </w:tc>
        <w:tc>
          <w:tcPr>
            <w:tcW w:w="527" w:type="pct"/>
            <w:tcBorders>
              <w:top w:val="nil"/>
              <w:left w:val="nil"/>
            </w:tcBorders>
            <w:noWrap/>
            <w:vAlign w:val="bottom"/>
            <w:hideMark/>
          </w:tcPr>
          <w:p w14:paraId="4E475492"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0.007</w:t>
            </w:r>
            <w:r w:rsidRPr="000F4A5F">
              <w:rPr>
                <w:rFonts w:ascii="Times New Roman" w:eastAsia="Times New Roman" w:hAnsi="Times New Roman" w:cs="Times New Roman"/>
                <w:color w:val="000000"/>
                <w:sz w:val="20"/>
                <w:szCs w:val="20"/>
                <w:lang w:val="en-GB" w:eastAsia="en-GB"/>
              </w:rPr>
              <w:t>)</w:t>
            </w:r>
          </w:p>
        </w:tc>
      </w:tr>
      <w:tr w:rsidR="006B4027" w:rsidRPr="0058784A" w14:paraId="44324185" w14:textId="77777777" w:rsidTr="006B4027">
        <w:trPr>
          <w:trHeight w:val="270"/>
        </w:trPr>
        <w:tc>
          <w:tcPr>
            <w:tcW w:w="378" w:type="pct"/>
            <w:tcBorders>
              <w:top w:val="nil"/>
              <w:bottom w:val="single" w:sz="4" w:space="0" w:color="auto"/>
              <w:right w:val="nil"/>
            </w:tcBorders>
            <w:noWrap/>
            <w:vAlign w:val="bottom"/>
            <w:hideMark/>
          </w:tcPr>
          <w:p w14:paraId="6A27E700"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69" w:type="pct"/>
            <w:tcBorders>
              <w:top w:val="nil"/>
              <w:left w:val="nil"/>
              <w:bottom w:val="single" w:sz="4" w:space="0" w:color="auto"/>
              <w:right w:val="nil"/>
            </w:tcBorders>
            <w:noWrap/>
            <w:vAlign w:val="bottom"/>
            <w:hideMark/>
          </w:tcPr>
          <w:p w14:paraId="17D5EB6E" w14:textId="77777777" w:rsidR="00DE5335" w:rsidRPr="0058784A" w:rsidRDefault="00DE5335"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 </w:t>
            </w:r>
          </w:p>
        </w:tc>
        <w:tc>
          <w:tcPr>
            <w:tcW w:w="549" w:type="pct"/>
            <w:tcBorders>
              <w:top w:val="nil"/>
              <w:left w:val="nil"/>
              <w:bottom w:val="single" w:sz="4" w:space="0" w:color="auto"/>
              <w:right w:val="nil"/>
            </w:tcBorders>
            <w:noWrap/>
            <w:vAlign w:val="bottom"/>
            <w:hideMark/>
          </w:tcPr>
          <w:p w14:paraId="04B59B2E"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0.006</w:t>
            </w:r>
            <w:r w:rsidRPr="000F4A5F">
              <w:rPr>
                <w:rFonts w:ascii="Times New Roman" w:eastAsia="Times New Roman" w:hAnsi="Times New Roman" w:cs="Times New Roman"/>
                <w:color w:val="000000"/>
                <w:sz w:val="20"/>
                <w:szCs w:val="20"/>
                <w:lang w:val="en-GB" w:eastAsia="en-GB"/>
              </w:rPr>
              <w:t>)</w:t>
            </w:r>
          </w:p>
        </w:tc>
        <w:tc>
          <w:tcPr>
            <w:tcW w:w="606" w:type="pct"/>
            <w:tcBorders>
              <w:top w:val="nil"/>
              <w:left w:val="nil"/>
              <w:bottom w:val="single" w:sz="4" w:space="0" w:color="auto"/>
              <w:right w:val="nil"/>
            </w:tcBorders>
            <w:noWrap/>
            <w:vAlign w:val="bottom"/>
            <w:hideMark/>
          </w:tcPr>
          <w:p w14:paraId="460EDA60"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0.011</w:t>
            </w:r>
            <w:r w:rsidRPr="000F4A5F">
              <w:rPr>
                <w:rFonts w:ascii="Times New Roman" w:eastAsia="Times New Roman" w:hAnsi="Times New Roman" w:cs="Times New Roman"/>
                <w:color w:val="000000"/>
                <w:sz w:val="20"/>
                <w:szCs w:val="20"/>
                <w:lang w:val="en-GB" w:eastAsia="en-GB"/>
              </w:rPr>
              <w:t>)</w:t>
            </w:r>
          </w:p>
        </w:tc>
        <w:tc>
          <w:tcPr>
            <w:tcW w:w="607" w:type="pct"/>
            <w:tcBorders>
              <w:top w:val="nil"/>
              <w:left w:val="nil"/>
              <w:bottom w:val="single" w:sz="4" w:space="0" w:color="auto"/>
              <w:right w:val="nil"/>
            </w:tcBorders>
            <w:noWrap/>
            <w:vAlign w:val="bottom"/>
            <w:hideMark/>
          </w:tcPr>
          <w:p w14:paraId="42DC6439"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w:t>
            </w:r>
            <w:r w:rsidRPr="00A37CD1">
              <w:rPr>
                <w:rFonts w:ascii="Times New Roman" w:eastAsia="Times New Roman" w:hAnsi="Times New Roman" w:cs="Times New Roman"/>
                <w:color w:val="000000"/>
                <w:sz w:val="20"/>
                <w:szCs w:val="20"/>
                <w:lang w:val="en-GB" w:eastAsia="en-GB"/>
              </w:rPr>
              <w:t>0.000</w:t>
            </w:r>
            <w:r w:rsidRPr="000F4A5F">
              <w:rPr>
                <w:rFonts w:ascii="Times New Roman" w:eastAsia="Times New Roman" w:hAnsi="Times New Roman" w:cs="Times New Roman"/>
                <w:color w:val="000000"/>
                <w:sz w:val="20"/>
                <w:szCs w:val="20"/>
                <w:lang w:val="en-GB" w:eastAsia="en-GB"/>
              </w:rPr>
              <w:t>)</w:t>
            </w:r>
          </w:p>
        </w:tc>
        <w:tc>
          <w:tcPr>
            <w:tcW w:w="342" w:type="pct"/>
            <w:tcBorders>
              <w:top w:val="nil"/>
              <w:left w:val="nil"/>
              <w:bottom w:val="single" w:sz="4" w:space="0" w:color="auto"/>
              <w:right w:val="nil"/>
            </w:tcBorders>
            <w:vAlign w:val="bottom"/>
          </w:tcPr>
          <w:p w14:paraId="1BFDC643" w14:textId="77777777" w:rsidR="00DE5335" w:rsidRPr="000F4A5F" w:rsidRDefault="00DE5335" w:rsidP="00D978C6">
            <w:pPr>
              <w:spacing w:after="0" w:line="240" w:lineRule="auto"/>
              <w:rPr>
                <w:rFonts w:ascii="Times New Roman" w:eastAsia="Times New Roman" w:hAnsi="Times New Roman" w:cs="Times New Roman"/>
                <w:color w:val="000000"/>
                <w:sz w:val="20"/>
                <w:szCs w:val="20"/>
                <w:lang w:val="en-GB" w:eastAsia="en-GB"/>
              </w:rPr>
            </w:pPr>
          </w:p>
        </w:tc>
        <w:tc>
          <w:tcPr>
            <w:tcW w:w="568" w:type="pct"/>
            <w:tcBorders>
              <w:top w:val="nil"/>
              <w:left w:val="nil"/>
              <w:bottom w:val="single" w:sz="4" w:space="0" w:color="auto"/>
              <w:right w:val="nil"/>
            </w:tcBorders>
            <w:noWrap/>
            <w:vAlign w:val="bottom"/>
            <w:hideMark/>
          </w:tcPr>
          <w:p w14:paraId="71ABACDD" w14:textId="77777777" w:rsidR="00DE5335" w:rsidRPr="000F4A5F" w:rsidRDefault="00DE5335" w:rsidP="00D978C6">
            <w:pPr>
              <w:spacing w:after="0" w:line="240" w:lineRule="auto"/>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 </w:t>
            </w:r>
          </w:p>
        </w:tc>
        <w:tc>
          <w:tcPr>
            <w:tcW w:w="455" w:type="pct"/>
            <w:tcBorders>
              <w:top w:val="nil"/>
              <w:left w:val="nil"/>
              <w:bottom w:val="single" w:sz="4" w:space="0" w:color="auto"/>
              <w:right w:val="nil"/>
            </w:tcBorders>
            <w:noWrap/>
            <w:vAlign w:val="bottom"/>
            <w:hideMark/>
          </w:tcPr>
          <w:p w14:paraId="621380C9" w14:textId="77777777" w:rsidR="00DE5335" w:rsidRPr="000F4A5F" w:rsidRDefault="00DE5335" w:rsidP="00D978C6">
            <w:pPr>
              <w:spacing w:after="0" w:line="240" w:lineRule="auto"/>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 </w:t>
            </w:r>
          </w:p>
        </w:tc>
        <w:tc>
          <w:tcPr>
            <w:tcW w:w="527" w:type="pct"/>
            <w:tcBorders>
              <w:top w:val="nil"/>
              <w:left w:val="nil"/>
              <w:bottom w:val="single" w:sz="4" w:space="0" w:color="auto"/>
            </w:tcBorders>
            <w:noWrap/>
            <w:vAlign w:val="bottom"/>
            <w:hideMark/>
          </w:tcPr>
          <w:p w14:paraId="21408B71" w14:textId="77777777" w:rsidR="00DE5335" w:rsidRPr="000F4A5F"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0F4A5F">
              <w:rPr>
                <w:rFonts w:ascii="Times New Roman" w:eastAsia="Times New Roman" w:hAnsi="Times New Roman" w:cs="Times New Roman"/>
                <w:color w:val="000000"/>
                <w:sz w:val="20"/>
                <w:szCs w:val="20"/>
                <w:lang w:val="en-GB" w:eastAsia="en-GB"/>
              </w:rPr>
              <w:t> </w:t>
            </w:r>
          </w:p>
        </w:tc>
      </w:tr>
    </w:tbl>
    <w:p w14:paraId="5708727E" w14:textId="77777777" w:rsidR="00DE5335" w:rsidRDefault="00DE5335" w:rsidP="00DE5335">
      <w:pPr>
        <w:spacing w:after="0" w:line="240" w:lineRule="auto"/>
        <w:jc w:val="both"/>
        <w:rPr>
          <w:rFonts w:ascii="Times New Roman" w:hAnsi="Times New Roman" w:cs="Times New Roman"/>
          <w:sz w:val="20"/>
          <w:szCs w:val="20"/>
        </w:rPr>
      </w:pPr>
    </w:p>
    <w:p w14:paraId="7A1D2A2E" w14:textId="77777777" w:rsidR="00DE5335" w:rsidRPr="00461A7C" w:rsidRDefault="00DE5335" w:rsidP="00DE5335">
      <w:pPr>
        <w:rPr>
          <w:rFonts w:ascii="Times New Roman" w:hAnsi="Times New Roman" w:cs="Times New Roman"/>
          <w:sz w:val="20"/>
          <w:szCs w:val="20"/>
        </w:rPr>
      </w:pPr>
      <w:r>
        <w:rPr>
          <w:rFonts w:ascii="Times New Roman" w:hAnsi="Times New Roman" w:cs="Times New Roman"/>
          <w:sz w:val="20"/>
          <w:szCs w:val="20"/>
        </w:rPr>
        <w:t>Panel B: V</w:t>
      </w:r>
      <w:r w:rsidRPr="00461A7C">
        <w:rPr>
          <w:rFonts w:ascii="Times New Roman" w:hAnsi="Times New Roman" w:cs="Times New Roman"/>
          <w:sz w:val="20"/>
          <w:szCs w:val="20"/>
        </w:rPr>
        <w:t>W portfolios</w:t>
      </w:r>
    </w:p>
    <w:tbl>
      <w:tblPr>
        <w:tblW w:w="5000" w:type="pct"/>
        <w:tblLayout w:type="fixed"/>
        <w:tblLook w:val="04A0" w:firstRow="1" w:lastRow="0" w:firstColumn="1" w:lastColumn="0" w:noHBand="0" w:noVBand="1"/>
      </w:tblPr>
      <w:tblGrid>
        <w:gridCol w:w="701"/>
        <w:gridCol w:w="1846"/>
        <w:gridCol w:w="983"/>
        <w:gridCol w:w="1129"/>
        <w:gridCol w:w="1127"/>
        <w:gridCol w:w="681"/>
        <w:gridCol w:w="1084"/>
        <w:gridCol w:w="841"/>
        <w:gridCol w:w="968"/>
      </w:tblGrid>
      <w:tr w:rsidR="006B4027" w:rsidRPr="00383B27" w14:paraId="1D1FBA47" w14:textId="77777777" w:rsidTr="006B4027">
        <w:trPr>
          <w:trHeight w:val="255"/>
        </w:trPr>
        <w:tc>
          <w:tcPr>
            <w:tcW w:w="375" w:type="pct"/>
            <w:tcBorders>
              <w:top w:val="single" w:sz="4" w:space="0" w:color="auto"/>
              <w:left w:val="nil"/>
              <w:bottom w:val="single" w:sz="4" w:space="0" w:color="auto"/>
              <w:right w:val="nil"/>
            </w:tcBorders>
            <w:noWrap/>
            <w:vAlign w:val="bottom"/>
            <w:hideMark/>
          </w:tcPr>
          <w:p w14:paraId="4BE821D1"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hAnsi="Times New Roman" w:cs="Times New Roman"/>
                <w:sz w:val="20"/>
                <w:szCs w:val="20"/>
              </w:rPr>
              <w:t>VU</w:t>
            </w:r>
          </w:p>
        </w:tc>
        <w:tc>
          <w:tcPr>
            <w:tcW w:w="986" w:type="pct"/>
            <w:tcBorders>
              <w:top w:val="single" w:sz="4" w:space="0" w:color="auto"/>
              <w:left w:val="nil"/>
              <w:bottom w:val="single" w:sz="4" w:space="0" w:color="auto"/>
              <w:right w:val="nil"/>
            </w:tcBorders>
            <w:noWrap/>
            <w:vAlign w:val="bottom"/>
            <w:hideMark/>
          </w:tcPr>
          <w:p w14:paraId="2366398D"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 xml:space="preserve"> </w:t>
            </w:r>
          </w:p>
        </w:tc>
        <w:tc>
          <w:tcPr>
            <w:tcW w:w="525" w:type="pct"/>
            <w:tcBorders>
              <w:top w:val="single" w:sz="4" w:space="0" w:color="auto"/>
              <w:left w:val="nil"/>
              <w:bottom w:val="single" w:sz="4" w:space="0" w:color="auto"/>
              <w:right w:val="nil"/>
            </w:tcBorders>
            <w:vAlign w:val="bottom"/>
            <w:hideMark/>
          </w:tcPr>
          <w:p w14:paraId="74C4E33F" w14:textId="77777777" w:rsidR="006B40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 xml:space="preserve">Low </w:t>
            </w:r>
          </w:p>
          <w:p w14:paraId="23BA9BE8" w14:textId="516D877B" w:rsidR="00DE5335" w:rsidRPr="00383B27" w:rsidRDefault="006B4027"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S</w:t>
            </w:r>
            <w:r>
              <w:rPr>
                <w:rFonts w:ascii="Times New Roman" w:eastAsia="Times New Roman" w:hAnsi="Times New Roman" w:cs="Times New Roman"/>
                <w:color w:val="000000"/>
                <w:sz w:val="20"/>
                <w:szCs w:val="20"/>
                <w:lang w:eastAsia="en-CA"/>
              </w:rPr>
              <w:t>ENT</w:t>
            </w:r>
            <w:r w:rsidR="00DE5335" w:rsidRPr="00383B27">
              <w:rPr>
                <w:rFonts w:ascii="Times New Roman" w:hAnsi="Times New Roman" w:cs="Times New Roman"/>
                <w:sz w:val="20"/>
                <w:szCs w:val="20"/>
              </w:rPr>
              <w:t>┴</w:t>
            </w:r>
          </w:p>
        </w:tc>
        <w:tc>
          <w:tcPr>
            <w:tcW w:w="603" w:type="pct"/>
            <w:tcBorders>
              <w:top w:val="single" w:sz="4" w:space="0" w:color="auto"/>
              <w:left w:val="nil"/>
              <w:bottom w:val="single" w:sz="4" w:space="0" w:color="auto"/>
              <w:right w:val="nil"/>
            </w:tcBorders>
            <w:vAlign w:val="bottom"/>
            <w:hideMark/>
          </w:tcPr>
          <w:p w14:paraId="48FBEA46" w14:textId="71F363EE"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 xml:space="preserve">Medium </w:t>
            </w:r>
            <w:r w:rsidR="006B4027" w:rsidRPr="00383B27">
              <w:rPr>
                <w:rFonts w:ascii="Times New Roman" w:eastAsia="Times New Roman" w:hAnsi="Times New Roman" w:cs="Times New Roman"/>
                <w:color w:val="000000"/>
                <w:sz w:val="20"/>
                <w:szCs w:val="20"/>
                <w:lang w:eastAsia="en-CA"/>
              </w:rPr>
              <w:t>S</w:t>
            </w:r>
            <w:r w:rsidR="006B4027">
              <w:rPr>
                <w:rFonts w:ascii="Times New Roman" w:eastAsia="Times New Roman" w:hAnsi="Times New Roman" w:cs="Times New Roman"/>
                <w:color w:val="000000"/>
                <w:sz w:val="20"/>
                <w:szCs w:val="20"/>
                <w:lang w:eastAsia="en-CA"/>
              </w:rPr>
              <w:t>ENT</w:t>
            </w:r>
            <w:r w:rsidRPr="00383B27">
              <w:rPr>
                <w:rFonts w:ascii="Times New Roman" w:hAnsi="Times New Roman" w:cs="Times New Roman"/>
                <w:sz w:val="20"/>
                <w:szCs w:val="20"/>
              </w:rPr>
              <w:t>┴</w:t>
            </w:r>
          </w:p>
        </w:tc>
        <w:tc>
          <w:tcPr>
            <w:tcW w:w="602" w:type="pct"/>
            <w:tcBorders>
              <w:top w:val="single" w:sz="4" w:space="0" w:color="auto"/>
              <w:left w:val="nil"/>
              <w:bottom w:val="single" w:sz="4" w:space="0" w:color="auto"/>
              <w:right w:val="nil"/>
            </w:tcBorders>
            <w:vAlign w:val="bottom"/>
            <w:hideMark/>
          </w:tcPr>
          <w:p w14:paraId="035754DA" w14:textId="214D9108"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High S</w:t>
            </w:r>
            <w:r w:rsidR="006B4027">
              <w:rPr>
                <w:rFonts w:ascii="Times New Roman" w:eastAsia="Times New Roman" w:hAnsi="Times New Roman" w:cs="Times New Roman"/>
                <w:color w:val="000000"/>
                <w:sz w:val="20"/>
                <w:szCs w:val="20"/>
                <w:lang w:eastAsia="en-CA"/>
              </w:rPr>
              <w:t>ENT</w:t>
            </w:r>
            <w:r w:rsidRPr="00383B27">
              <w:rPr>
                <w:rFonts w:ascii="Times New Roman" w:hAnsi="Times New Roman" w:cs="Times New Roman"/>
                <w:sz w:val="20"/>
                <w:szCs w:val="20"/>
              </w:rPr>
              <w:t>┴</w:t>
            </w:r>
          </w:p>
        </w:tc>
        <w:tc>
          <w:tcPr>
            <w:tcW w:w="364" w:type="pct"/>
            <w:tcBorders>
              <w:top w:val="single" w:sz="4" w:space="0" w:color="auto"/>
              <w:left w:val="nil"/>
              <w:bottom w:val="single" w:sz="4" w:space="0" w:color="auto"/>
              <w:right w:val="nil"/>
            </w:tcBorders>
            <w:vAlign w:val="bottom"/>
          </w:tcPr>
          <w:p w14:paraId="485EE55E"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Exp. Sign</w:t>
            </w:r>
          </w:p>
        </w:tc>
        <w:tc>
          <w:tcPr>
            <w:tcW w:w="579" w:type="pct"/>
            <w:tcBorders>
              <w:top w:val="single" w:sz="4" w:space="0" w:color="auto"/>
              <w:left w:val="nil"/>
              <w:bottom w:val="single" w:sz="4" w:space="0" w:color="auto"/>
              <w:right w:val="nil"/>
            </w:tcBorders>
            <w:noWrap/>
            <w:vAlign w:val="bottom"/>
            <w:hideMark/>
          </w:tcPr>
          <w:p w14:paraId="7B922D7F"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 xml:space="preserve">High – Low </w:t>
            </w:r>
          </w:p>
        </w:tc>
        <w:tc>
          <w:tcPr>
            <w:tcW w:w="449" w:type="pct"/>
            <w:tcBorders>
              <w:top w:val="single" w:sz="4" w:space="0" w:color="auto"/>
              <w:left w:val="nil"/>
              <w:bottom w:val="single" w:sz="4" w:space="0" w:color="auto"/>
              <w:right w:val="nil"/>
            </w:tcBorders>
            <w:noWrap/>
            <w:vAlign w:val="bottom"/>
            <w:hideMark/>
          </w:tcPr>
          <w:p w14:paraId="31E865FC"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i/>
                <w:iCs/>
                <w:color w:val="000000"/>
                <w:sz w:val="20"/>
                <w:szCs w:val="20"/>
                <w:lang w:eastAsia="en-CA"/>
              </w:rPr>
              <w:t>t</w:t>
            </w:r>
            <w:r w:rsidRPr="00383B27">
              <w:rPr>
                <w:rFonts w:ascii="Times New Roman" w:eastAsia="Times New Roman" w:hAnsi="Times New Roman" w:cs="Times New Roman"/>
                <w:color w:val="000000"/>
                <w:sz w:val="20"/>
                <w:szCs w:val="20"/>
                <w:lang w:eastAsia="en-CA"/>
              </w:rPr>
              <w:t>-stat</w:t>
            </w:r>
          </w:p>
        </w:tc>
        <w:tc>
          <w:tcPr>
            <w:tcW w:w="518" w:type="pct"/>
            <w:tcBorders>
              <w:top w:val="single" w:sz="4" w:space="0" w:color="auto"/>
              <w:left w:val="nil"/>
              <w:bottom w:val="single" w:sz="4" w:space="0" w:color="auto"/>
              <w:right w:val="nil"/>
            </w:tcBorders>
            <w:noWrap/>
            <w:vAlign w:val="bottom"/>
            <w:hideMark/>
          </w:tcPr>
          <w:p w14:paraId="3B9D5056"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i/>
                <w:iCs/>
                <w:color w:val="000000"/>
                <w:sz w:val="20"/>
                <w:szCs w:val="20"/>
                <w:lang w:eastAsia="en-CA"/>
              </w:rPr>
              <w:t>p</w:t>
            </w:r>
            <w:r w:rsidRPr="00383B27">
              <w:rPr>
                <w:rFonts w:ascii="Times New Roman" w:eastAsia="Times New Roman" w:hAnsi="Times New Roman" w:cs="Times New Roman"/>
                <w:color w:val="000000"/>
                <w:sz w:val="20"/>
                <w:szCs w:val="20"/>
                <w:lang w:eastAsia="en-CA"/>
              </w:rPr>
              <w:t>-value</w:t>
            </w:r>
          </w:p>
        </w:tc>
      </w:tr>
      <w:tr w:rsidR="006B4027" w:rsidRPr="00383B27" w14:paraId="54DA2344" w14:textId="77777777" w:rsidTr="006B4027">
        <w:trPr>
          <w:trHeight w:val="429"/>
        </w:trPr>
        <w:tc>
          <w:tcPr>
            <w:tcW w:w="375" w:type="pct"/>
            <w:tcBorders>
              <w:top w:val="nil"/>
              <w:left w:val="nil"/>
              <w:bottom w:val="nil"/>
              <w:right w:val="nil"/>
            </w:tcBorders>
            <w:noWrap/>
            <w:vAlign w:val="bottom"/>
            <w:hideMark/>
          </w:tcPr>
          <w:p w14:paraId="6539F0C2"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7AD640CD" w14:textId="37C1A537" w:rsidR="00DE5335" w:rsidRPr="00383B27" w:rsidRDefault="00B40136"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Lo</w:t>
            </w:r>
            <w:r>
              <w:rPr>
                <w:rFonts w:ascii="Times New Roman" w:eastAsia="Times New Roman" w:hAnsi="Times New Roman" w:cs="Times New Roman"/>
                <w:color w:val="000000"/>
                <w:sz w:val="20"/>
                <w:szCs w:val="20"/>
                <w:lang w:eastAsia="en-CA"/>
              </w:rPr>
              <w:t>w price-to-value</w:t>
            </w:r>
          </w:p>
        </w:tc>
        <w:tc>
          <w:tcPr>
            <w:tcW w:w="525" w:type="pct"/>
            <w:tcBorders>
              <w:top w:val="nil"/>
              <w:left w:val="nil"/>
              <w:bottom w:val="nil"/>
              <w:right w:val="nil"/>
            </w:tcBorders>
            <w:noWrap/>
            <w:vAlign w:val="bottom"/>
            <w:hideMark/>
          </w:tcPr>
          <w:p w14:paraId="0881021F" w14:textId="6F5EBE84"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1.686</w:t>
            </w:r>
            <w:r w:rsidR="002B2C07">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583B064C" w14:textId="20BFC83D"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0.807</w:t>
            </w:r>
            <w:r w:rsidR="002B2C07">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6B6D83CC" w14:textId="1966C284"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1.237</w:t>
            </w:r>
            <w:r w:rsidR="002B2C07">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6366226B"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79" w:type="pct"/>
            <w:tcBorders>
              <w:top w:val="nil"/>
              <w:left w:val="nil"/>
              <w:bottom w:val="nil"/>
              <w:right w:val="nil"/>
            </w:tcBorders>
            <w:noWrap/>
            <w:vAlign w:val="bottom"/>
            <w:hideMark/>
          </w:tcPr>
          <w:p w14:paraId="60433FB5"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-0.448</w:t>
            </w:r>
          </w:p>
        </w:tc>
        <w:tc>
          <w:tcPr>
            <w:tcW w:w="449" w:type="pct"/>
            <w:tcBorders>
              <w:top w:val="nil"/>
              <w:left w:val="nil"/>
              <w:bottom w:val="nil"/>
              <w:right w:val="nil"/>
            </w:tcBorders>
            <w:noWrap/>
            <w:vAlign w:val="bottom"/>
            <w:hideMark/>
          </w:tcPr>
          <w:p w14:paraId="0EEFDE9F"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-0.783</w:t>
            </w:r>
          </w:p>
        </w:tc>
        <w:tc>
          <w:tcPr>
            <w:tcW w:w="518" w:type="pct"/>
            <w:tcBorders>
              <w:top w:val="nil"/>
              <w:left w:val="nil"/>
              <w:bottom w:val="nil"/>
              <w:right w:val="nil"/>
            </w:tcBorders>
            <w:noWrap/>
            <w:vAlign w:val="bottom"/>
            <w:hideMark/>
          </w:tcPr>
          <w:p w14:paraId="233C2167"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0.434</w:t>
            </w:r>
            <w:r>
              <w:rPr>
                <w:rFonts w:ascii="Times New Roman" w:eastAsia="Times New Roman" w:hAnsi="Times New Roman" w:cs="Times New Roman"/>
                <w:color w:val="000000"/>
                <w:sz w:val="20"/>
                <w:szCs w:val="20"/>
                <w:lang w:val="en-GB" w:eastAsia="en-GB"/>
              </w:rPr>
              <w:t>)</w:t>
            </w:r>
          </w:p>
        </w:tc>
      </w:tr>
      <w:tr w:rsidR="006B4027" w:rsidRPr="00383B27" w14:paraId="3382FB5E" w14:textId="77777777" w:rsidTr="006B4027">
        <w:trPr>
          <w:trHeight w:val="255"/>
        </w:trPr>
        <w:tc>
          <w:tcPr>
            <w:tcW w:w="375" w:type="pct"/>
            <w:tcBorders>
              <w:top w:val="nil"/>
              <w:left w:val="nil"/>
              <w:bottom w:val="nil"/>
              <w:right w:val="nil"/>
            </w:tcBorders>
            <w:noWrap/>
            <w:vAlign w:val="bottom"/>
            <w:hideMark/>
          </w:tcPr>
          <w:p w14:paraId="4F87C00B"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25DF45C2"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25" w:type="pct"/>
            <w:tcBorders>
              <w:top w:val="nil"/>
              <w:left w:val="nil"/>
              <w:bottom w:val="nil"/>
              <w:right w:val="nil"/>
            </w:tcBorders>
            <w:noWrap/>
            <w:vAlign w:val="bottom"/>
            <w:hideMark/>
          </w:tcPr>
          <w:p w14:paraId="0183DC34"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3AA35743"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0.073</w:t>
            </w:r>
            <w:r>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27576ACD"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0.001</w:t>
            </w:r>
            <w:r>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5FA90806"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79" w:type="pct"/>
            <w:tcBorders>
              <w:top w:val="nil"/>
              <w:left w:val="nil"/>
              <w:bottom w:val="nil"/>
              <w:right w:val="nil"/>
            </w:tcBorders>
            <w:noWrap/>
            <w:vAlign w:val="bottom"/>
            <w:hideMark/>
          </w:tcPr>
          <w:p w14:paraId="72A5A7F1"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49" w:type="pct"/>
            <w:tcBorders>
              <w:top w:val="nil"/>
              <w:left w:val="nil"/>
              <w:bottom w:val="nil"/>
              <w:right w:val="nil"/>
            </w:tcBorders>
            <w:noWrap/>
            <w:vAlign w:val="bottom"/>
            <w:hideMark/>
          </w:tcPr>
          <w:p w14:paraId="5828B99E"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c>
          <w:tcPr>
            <w:tcW w:w="518" w:type="pct"/>
            <w:tcBorders>
              <w:top w:val="nil"/>
              <w:left w:val="nil"/>
              <w:bottom w:val="nil"/>
              <w:right w:val="nil"/>
            </w:tcBorders>
            <w:noWrap/>
            <w:vAlign w:val="bottom"/>
            <w:hideMark/>
          </w:tcPr>
          <w:p w14:paraId="2D65BFFC"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r>
      <w:tr w:rsidR="006B4027" w:rsidRPr="00383B27" w14:paraId="14142109" w14:textId="77777777" w:rsidTr="006B4027">
        <w:trPr>
          <w:trHeight w:val="255"/>
        </w:trPr>
        <w:tc>
          <w:tcPr>
            <w:tcW w:w="375" w:type="pct"/>
            <w:tcBorders>
              <w:top w:val="nil"/>
              <w:left w:val="nil"/>
              <w:bottom w:val="nil"/>
              <w:right w:val="nil"/>
            </w:tcBorders>
            <w:noWrap/>
            <w:vAlign w:val="bottom"/>
            <w:hideMark/>
          </w:tcPr>
          <w:p w14:paraId="42F2104D"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Low</w:t>
            </w:r>
          </w:p>
        </w:tc>
        <w:tc>
          <w:tcPr>
            <w:tcW w:w="986" w:type="pct"/>
            <w:tcBorders>
              <w:top w:val="nil"/>
              <w:left w:val="nil"/>
              <w:bottom w:val="nil"/>
              <w:right w:val="nil"/>
            </w:tcBorders>
            <w:noWrap/>
            <w:vAlign w:val="bottom"/>
            <w:hideMark/>
          </w:tcPr>
          <w:p w14:paraId="5B683AEE" w14:textId="1AEC097F" w:rsidR="00DE5335" w:rsidRPr="00383B27" w:rsidRDefault="00B40136" w:rsidP="00D978C6">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High price-to-value</w:t>
            </w:r>
          </w:p>
        </w:tc>
        <w:tc>
          <w:tcPr>
            <w:tcW w:w="525" w:type="pct"/>
            <w:tcBorders>
              <w:top w:val="nil"/>
              <w:left w:val="nil"/>
              <w:bottom w:val="nil"/>
              <w:right w:val="nil"/>
            </w:tcBorders>
            <w:noWrap/>
            <w:vAlign w:val="bottom"/>
            <w:hideMark/>
          </w:tcPr>
          <w:p w14:paraId="48A997F3" w14:textId="3C07FE5B"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1.329</w:t>
            </w:r>
            <w:r w:rsidR="002B2C07">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2D3716CD" w14:textId="776519E5"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0.861</w:t>
            </w:r>
            <w:r w:rsidR="002B2C07">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357281ED" w14:textId="5E11DD26"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0.842</w:t>
            </w:r>
            <w:r w:rsidR="002B2C07">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04EF3792"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79" w:type="pct"/>
            <w:tcBorders>
              <w:top w:val="nil"/>
              <w:left w:val="nil"/>
              <w:bottom w:val="nil"/>
              <w:right w:val="nil"/>
            </w:tcBorders>
            <w:noWrap/>
            <w:vAlign w:val="bottom"/>
            <w:hideMark/>
          </w:tcPr>
          <w:p w14:paraId="683380AD"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-0.487</w:t>
            </w:r>
          </w:p>
        </w:tc>
        <w:tc>
          <w:tcPr>
            <w:tcW w:w="449" w:type="pct"/>
            <w:tcBorders>
              <w:top w:val="nil"/>
              <w:left w:val="nil"/>
              <w:bottom w:val="nil"/>
              <w:right w:val="nil"/>
            </w:tcBorders>
            <w:noWrap/>
            <w:vAlign w:val="bottom"/>
            <w:hideMark/>
          </w:tcPr>
          <w:p w14:paraId="1ADC663C"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-0.928</w:t>
            </w:r>
          </w:p>
        </w:tc>
        <w:tc>
          <w:tcPr>
            <w:tcW w:w="518" w:type="pct"/>
            <w:tcBorders>
              <w:top w:val="nil"/>
              <w:left w:val="nil"/>
              <w:bottom w:val="nil"/>
              <w:right w:val="nil"/>
            </w:tcBorders>
            <w:noWrap/>
            <w:vAlign w:val="bottom"/>
            <w:hideMark/>
          </w:tcPr>
          <w:p w14:paraId="144AC92B"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0.354</w:t>
            </w:r>
            <w:r>
              <w:rPr>
                <w:rFonts w:ascii="Times New Roman" w:eastAsia="Times New Roman" w:hAnsi="Times New Roman" w:cs="Times New Roman"/>
                <w:color w:val="000000"/>
                <w:sz w:val="20"/>
                <w:szCs w:val="20"/>
                <w:lang w:val="en-GB" w:eastAsia="en-GB"/>
              </w:rPr>
              <w:t>)</w:t>
            </w:r>
          </w:p>
        </w:tc>
      </w:tr>
      <w:tr w:rsidR="006B4027" w:rsidRPr="00383B27" w14:paraId="32A846A1" w14:textId="77777777" w:rsidTr="006B4027">
        <w:trPr>
          <w:trHeight w:val="255"/>
        </w:trPr>
        <w:tc>
          <w:tcPr>
            <w:tcW w:w="375" w:type="pct"/>
            <w:tcBorders>
              <w:top w:val="nil"/>
              <w:left w:val="nil"/>
              <w:bottom w:val="nil"/>
              <w:right w:val="nil"/>
            </w:tcBorders>
            <w:noWrap/>
            <w:vAlign w:val="bottom"/>
            <w:hideMark/>
          </w:tcPr>
          <w:p w14:paraId="63440267"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431D02BC"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25" w:type="pct"/>
            <w:tcBorders>
              <w:top w:val="nil"/>
              <w:left w:val="nil"/>
              <w:bottom w:val="nil"/>
              <w:right w:val="nil"/>
            </w:tcBorders>
            <w:noWrap/>
            <w:vAlign w:val="bottom"/>
            <w:hideMark/>
          </w:tcPr>
          <w:p w14:paraId="4AFEAD8E"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0.001</w:t>
            </w:r>
            <w:r>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2754F076"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0.023</w:t>
            </w:r>
            <w:r>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0099AA79"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0.019</w:t>
            </w:r>
            <w:r>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222DA200"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79" w:type="pct"/>
            <w:tcBorders>
              <w:top w:val="nil"/>
              <w:left w:val="nil"/>
              <w:bottom w:val="nil"/>
              <w:right w:val="nil"/>
            </w:tcBorders>
            <w:noWrap/>
            <w:vAlign w:val="bottom"/>
            <w:hideMark/>
          </w:tcPr>
          <w:p w14:paraId="4BAC9CC3"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49" w:type="pct"/>
            <w:tcBorders>
              <w:top w:val="nil"/>
              <w:left w:val="nil"/>
              <w:bottom w:val="nil"/>
              <w:right w:val="nil"/>
            </w:tcBorders>
            <w:noWrap/>
            <w:vAlign w:val="bottom"/>
            <w:hideMark/>
          </w:tcPr>
          <w:p w14:paraId="3806C41D"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c>
          <w:tcPr>
            <w:tcW w:w="518" w:type="pct"/>
            <w:tcBorders>
              <w:top w:val="nil"/>
              <w:left w:val="nil"/>
              <w:bottom w:val="nil"/>
              <w:right w:val="nil"/>
            </w:tcBorders>
            <w:noWrap/>
            <w:vAlign w:val="bottom"/>
            <w:hideMark/>
          </w:tcPr>
          <w:p w14:paraId="769E5177"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r>
      <w:tr w:rsidR="006B4027" w:rsidRPr="00383B27" w14:paraId="72D4861A" w14:textId="77777777" w:rsidTr="006B4027">
        <w:trPr>
          <w:trHeight w:val="255"/>
        </w:trPr>
        <w:tc>
          <w:tcPr>
            <w:tcW w:w="375" w:type="pct"/>
            <w:tcBorders>
              <w:top w:val="nil"/>
              <w:left w:val="nil"/>
              <w:bottom w:val="nil"/>
              <w:right w:val="nil"/>
            </w:tcBorders>
            <w:noWrap/>
            <w:vAlign w:val="bottom"/>
            <w:hideMark/>
          </w:tcPr>
          <w:p w14:paraId="7CAA66D3"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3037B2C6"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Hedge</w:t>
            </w:r>
          </w:p>
        </w:tc>
        <w:tc>
          <w:tcPr>
            <w:tcW w:w="525" w:type="pct"/>
            <w:tcBorders>
              <w:top w:val="nil"/>
              <w:left w:val="nil"/>
              <w:bottom w:val="nil"/>
              <w:right w:val="nil"/>
            </w:tcBorders>
            <w:noWrap/>
            <w:vAlign w:val="bottom"/>
            <w:hideMark/>
          </w:tcPr>
          <w:p w14:paraId="63D23529" w14:textId="6CA6C75D"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0.356</w:t>
            </w:r>
            <w:r w:rsidR="002B2C07">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124E60EE"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-0.054</w:t>
            </w:r>
          </w:p>
        </w:tc>
        <w:tc>
          <w:tcPr>
            <w:tcW w:w="602" w:type="pct"/>
            <w:tcBorders>
              <w:top w:val="nil"/>
              <w:left w:val="nil"/>
              <w:bottom w:val="nil"/>
              <w:right w:val="nil"/>
            </w:tcBorders>
            <w:noWrap/>
            <w:vAlign w:val="bottom"/>
            <w:hideMark/>
          </w:tcPr>
          <w:p w14:paraId="63E947AD" w14:textId="22DB76C9"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0.395</w:t>
            </w:r>
            <w:r w:rsidR="002B2C07">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076FA10D"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79" w:type="pct"/>
            <w:tcBorders>
              <w:top w:val="nil"/>
              <w:left w:val="nil"/>
              <w:bottom w:val="nil"/>
              <w:right w:val="nil"/>
            </w:tcBorders>
            <w:noWrap/>
            <w:vAlign w:val="bottom"/>
            <w:hideMark/>
          </w:tcPr>
          <w:p w14:paraId="60822419"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0.039</w:t>
            </w:r>
          </w:p>
        </w:tc>
        <w:tc>
          <w:tcPr>
            <w:tcW w:w="449" w:type="pct"/>
            <w:tcBorders>
              <w:top w:val="nil"/>
              <w:left w:val="nil"/>
              <w:bottom w:val="nil"/>
              <w:right w:val="nil"/>
            </w:tcBorders>
            <w:noWrap/>
            <w:vAlign w:val="bottom"/>
            <w:hideMark/>
          </w:tcPr>
          <w:p w14:paraId="7BAFABA5"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0.152</w:t>
            </w:r>
          </w:p>
        </w:tc>
        <w:tc>
          <w:tcPr>
            <w:tcW w:w="518" w:type="pct"/>
            <w:tcBorders>
              <w:top w:val="nil"/>
              <w:left w:val="nil"/>
              <w:bottom w:val="nil"/>
              <w:right w:val="nil"/>
            </w:tcBorders>
            <w:noWrap/>
            <w:vAlign w:val="bottom"/>
            <w:hideMark/>
          </w:tcPr>
          <w:p w14:paraId="1D58CD9B"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0.879</w:t>
            </w:r>
            <w:r>
              <w:rPr>
                <w:rFonts w:ascii="Times New Roman" w:eastAsia="Times New Roman" w:hAnsi="Times New Roman" w:cs="Times New Roman"/>
                <w:color w:val="000000"/>
                <w:sz w:val="20"/>
                <w:szCs w:val="20"/>
                <w:lang w:val="en-GB" w:eastAsia="en-GB"/>
              </w:rPr>
              <w:t>)</w:t>
            </w:r>
          </w:p>
        </w:tc>
      </w:tr>
      <w:tr w:rsidR="006B4027" w:rsidRPr="00383B27" w14:paraId="41ADF306" w14:textId="77777777" w:rsidTr="006B4027">
        <w:trPr>
          <w:trHeight w:val="255"/>
        </w:trPr>
        <w:tc>
          <w:tcPr>
            <w:tcW w:w="375" w:type="pct"/>
            <w:tcBorders>
              <w:top w:val="nil"/>
              <w:left w:val="nil"/>
              <w:bottom w:val="nil"/>
              <w:right w:val="nil"/>
            </w:tcBorders>
            <w:noWrap/>
            <w:vAlign w:val="bottom"/>
            <w:hideMark/>
          </w:tcPr>
          <w:p w14:paraId="5E2988A2"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7A6B8BFC"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25" w:type="pct"/>
            <w:tcBorders>
              <w:top w:val="nil"/>
              <w:left w:val="nil"/>
              <w:bottom w:val="nil"/>
              <w:right w:val="nil"/>
            </w:tcBorders>
            <w:noWrap/>
            <w:vAlign w:val="bottom"/>
            <w:hideMark/>
          </w:tcPr>
          <w:p w14:paraId="0AE63A49"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0.035</w:t>
            </w:r>
            <w:r>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3D56C030"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0.789</w:t>
            </w:r>
            <w:r>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4417B7B8"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0.045</w:t>
            </w:r>
            <w:r>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5CEFF638"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79" w:type="pct"/>
            <w:tcBorders>
              <w:top w:val="nil"/>
              <w:left w:val="nil"/>
              <w:bottom w:val="nil"/>
              <w:right w:val="nil"/>
            </w:tcBorders>
            <w:noWrap/>
            <w:vAlign w:val="bottom"/>
            <w:hideMark/>
          </w:tcPr>
          <w:p w14:paraId="7CC59D27"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49" w:type="pct"/>
            <w:tcBorders>
              <w:top w:val="nil"/>
              <w:left w:val="nil"/>
              <w:bottom w:val="nil"/>
              <w:right w:val="nil"/>
            </w:tcBorders>
            <w:noWrap/>
            <w:vAlign w:val="bottom"/>
            <w:hideMark/>
          </w:tcPr>
          <w:p w14:paraId="442AE711"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c>
          <w:tcPr>
            <w:tcW w:w="518" w:type="pct"/>
            <w:tcBorders>
              <w:top w:val="nil"/>
              <w:left w:val="nil"/>
              <w:bottom w:val="nil"/>
              <w:right w:val="nil"/>
            </w:tcBorders>
            <w:noWrap/>
            <w:vAlign w:val="bottom"/>
            <w:hideMark/>
          </w:tcPr>
          <w:p w14:paraId="3CEF416E"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r>
      <w:tr w:rsidR="006B4027" w:rsidRPr="00383B27" w14:paraId="14C682F1" w14:textId="77777777" w:rsidTr="006B4027">
        <w:trPr>
          <w:trHeight w:val="395"/>
        </w:trPr>
        <w:tc>
          <w:tcPr>
            <w:tcW w:w="375" w:type="pct"/>
            <w:tcBorders>
              <w:bottom w:val="nil"/>
              <w:right w:val="nil"/>
            </w:tcBorders>
            <w:noWrap/>
            <w:vAlign w:val="bottom"/>
            <w:hideMark/>
          </w:tcPr>
          <w:p w14:paraId="495113C2"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left w:val="nil"/>
              <w:bottom w:val="nil"/>
              <w:right w:val="nil"/>
            </w:tcBorders>
            <w:noWrap/>
            <w:vAlign w:val="bottom"/>
            <w:hideMark/>
          </w:tcPr>
          <w:p w14:paraId="466FC681" w14:textId="6C3510CB" w:rsidR="00DE5335" w:rsidRPr="00383B27" w:rsidRDefault="00B40136" w:rsidP="00D978C6">
            <w:pPr>
              <w:spacing w:after="0" w:line="240" w:lineRule="auto"/>
              <w:rPr>
                <w:rFonts w:ascii="Times New Roman" w:eastAsia="Times New Roman" w:hAnsi="Times New Roman" w:cs="Times New Roman"/>
                <w:color w:val="000000"/>
                <w:sz w:val="20"/>
                <w:szCs w:val="20"/>
                <w:lang w:eastAsia="en-CA"/>
              </w:rPr>
            </w:pPr>
            <w:r w:rsidRPr="0058784A">
              <w:rPr>
                <w:rFonts w:ascii="Times New Roman" w:eastAsia="Times New Roman" w:hAnsi="Times New Roman" w:cs="Times New Roman"/>
                <w:color w:val="000000"/>
                <w:sz w:val="20"/>
                <w:szCs w:val="20"/>
                <w:lang w:eastAsia="en-CA"/>
              </w:rPr>
              <w:t>Lo</w:t>
            </w:r>
            <w:r>
              <w:rPr>
                <w:rFonts w:ascii="Times New Roman" w:eastAsia="Times New Roman" w:hAnsi="Times New Roman" w:cs="Times New Roman"/>
                <w:color w:val="000000"/>
                <w:sz w:val="20"/>
                <w:szCs w:val="20"/>
                <w:lang w:eastAsia="en-CA"/>
              </w:rPr>
              <w:t>w price-to-value</w:t>
            </w:r>
          </w:p>
        </w:tc>
        <w:tc>
          <w:tcPr>
            <w:tcW w:w="525" w:type="pct"/>
            <w:tcBorders>
              <w:left w:val="nil"/>
              <w:bottom w:val="nil"/>
              <w:right w:val="nil"/>
            </w:tcBorders>
            <w:noWrap/>
            <w:vAlign w:val="bottom"/>
            <w:hideMark/>
          </w:tcPr>
          <w:p w14:paraId="491F1236" w14:textId="4ACAEA89"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2.511</w:t>
            </w:r>
            <w:r w:rsidR="002B2C07">
              <w:rPr>
                <w:rFonts w:ascii="Times New Roman" w:eastAsia="Times New Roman" w:hAnsi="Times New Roman" w:cs="Times New Roman"/>
                <w:color w:val="000000"/>
                <w:sz w:val="20"/>
                <w:szCs w:val="20"/>
                <w:lang w:val="en-GB" w:eastAsia="en-GB"/>
              </w:rPr>
              <w:t>***</w:t>
            </w:r>
          </w:p>
        </w:tc>
        <w:tc>
          <w:tcPr>
            <w:tcW w:w="603" w:type="pct"/>
            <w:tcBorders>
              <w:left w:val="nil"/>
              <w:bottom w:val="nil"/>
              <w:right w:val="nil"/>
            </w:tcBorders>
            <w:noWrap/>
            <w:vAlign w:val="bottom"/>
            <w:hideMark/>
          </w:tcPr>
          <w:p w14:paraId="480A892B" w14:textId="7C9F6C3C"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1.149</w:t>
            </w:r>
            <w:r w:rsidR="002B2C07">
              <w:rPr>
                <w:rFonts w:ascii="Times New Roman" w:eastAsia="Times New Roman" w:hAnsi="Times New Roman" w:cs="Times New Roman"/>
                <w:color w:val="000000"/>
                <w:sz w:val="20"/>
                <w:szCs w:val="20"/>
                <w:lang w:val="en-GB" w:eastAsia="en-GB"/>
              </w:rPr>
              <w:t>*</w:t>
            </w:r>
          </w:p>
        </w:tc>
        <w:tc>
          <w:tcPr>
            <w:tcW w:w="602" w:type="pct"/>
            <w:tcBorders>
              <w:left w:val="nil"/>
              <w:bottom w:val="nil"/>
              <w:right w:val="nil"/>
            </w:tcBorders>
            <w:noWrap/>
            <w:vAlign w:val="bottom"/>
            <w:hideMark/>
          </w:tcPr>
          <w:p w14:paraId="573D1182" w14:textId="5868BE95"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0.957</w:t>
            </w:r>
            <w:r w:rsidR="002B2C07">
              <w:rPr>
                <w:rFonts w:ascii="Times New Roman" w:eastAsia="Times New Roman" w:hAnsi="Times New Roman" w:cs="Times New Roman"/>
                <w:color w:val="000000"/>
                <w:sz w:val="20"/>
                <w:szCs w:val="20"/>
                <w:lang w:val="en-GB" w:eastAsia="en-GB"/>
              </w:rPr>
              <w:t>*</w:t>
            </w:r>
          </w:p>
        </w:tc>
        <w:tc>
          <w:tcPr>
            <w:tcW w:w="364" w:type="pct"/>
            <w:tcBorders>
              <w:left w:val="nil"/>
              <w:bottom w:val="nil"/>
              <w:right w:val="nil"/>
            </w:tcBorders>
            <w:vAlign w:val="bottom"/>
          </w:tcPr>
          <w:p w14:paraId="5CD58EBA"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r w:rsidRPr="00383B27">
              <w:rPr>
                <w:rFonts w:ascii="Times New Roman" w:eastAsia="Times New Roman" w:hAnsi="Times New Roman" w:cs="Times New Roman"/>
                <w:color w:val="000000"/>
                <w:sz w:val="20"/>
                <w:szCs w:val="20"/>
                <w:lang w:val="en-GB" w:eastAsia="en-GB"/>
              </w:rPr>
              <w:t>(–)</w:t>
            </w:r>
          </w:p>
        </w:tc>
        <w:tc>
          <w:tcPr>
            <w:tcW w:w="579" w:type="pct"/>
            <w:tcBorders>
              <w:left w:val="nil"/>
              <w:bottom w:val="nil"/>
              <w:right w:val="nil"/>
            </w:tcBorders>
            <w:noWrap/>
            <w:vAlign w:val="bottom"/>
            <w:hideMark/>
          </w:tcPr>
          <w:p w14:paraId="07D161FF"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-1.554</w:t>
            </w:r>
            <w:r>
              <w:rPr>
                <w:rFonts w:ascii="Times New Roman" w:eastAsia="Times New Roman" w:hAnsi="Times New Roman" w:cs="Times New Roman"/>
                <w:color w:val="000000"/>
                <w:sz w:val="20"/>
                <w:szCs w:val="20"/>
                <w:lang w:val="en-GB" w:eastAsia="en-GB"/>
              </w:rPr>
              <w:t>*</w:t>
            </w:r>
          </w:p>
        </w:tc>
        <w:tc>
          <w:tcPr>
            <w:tcW w:w="449" w:type="pct"/>
            <w:tcBorders>
              <w:left w:val="nil"/>
              <w:bottom w:val="nil"/>
              <w:right w:val="nil"/>
            </w:tcBorders>
            <w:noWrap/>
            <w:vAlign w:val="bottom"/>
            <w:hideMark/>
          </w:tcPr>
          <w:p w14:paraId="06A920BF"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-1.767</w:t>
            </w:r>
          </w:p>
        </w:tc>
        <w:tc>
          <w:tcPr>
            <w:tcW w:w="518" w:type="pct"/>
            <w:tcBorders>
              <w:left w:val="nil"/>
              <w:bottom w:val="nil"/>
            </w:tcBorders>
            <w:noWrap/>
            <w:vAlign w:val="bottom"/>
            <w:hideMark/>
          </w:tcPr>
          <w:p w14:paraId="215A0034"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0.078</w:t>
            </w:r>
            <w:r>
              <w:rPr>
                <w:rFonts w:ascii="Times New Roman" w:eastAsia="Times New Roman" w:hAnsi="Times New Roman" w:cs="Times New Roman"/>
                <w:color w:val="000000"/>
                <w:sz w:val="20"/>
                <w:szCs w:val="20"/>
                <w:lang w:val="en-GB" w:eastAsia="en-GB"/>
              </w:rPr>
              <w:t>)</w:t>
            </w:r>
          </w:p>
        </w:tc>
      </w:tr>
      <w:tr w:rsidR="006B4027" w:rsidRPr="00383B27" w14:paraId="5D0C8EC4" w14:textId="77777777" w:rsidTr="006B4027">
        <w:trPr>
          <w:trHeight w:val="255"/>
        </w:trPr>
        <w:tc>
          <w:tcPr>
            <w:tcW w:w="375" w:type="pct"/>
            <w:tcBorders>
              <w:top w:val="nil"/>
              <w:bottom w:val="nil"/>
              <w:right w:val="nil"/>
            </w:tcBorders>
            <w:noWrap/>
            <w:vAlign w:val="bottom"/>
            <w:hideMark/>
          </w:tcPr>
          <w:p w14:paraId="1E9A05EF"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15E26603"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25" w:type="pct"/>
            <w:tcBorders>
              <w:top w:val="nil"/>
              <w:left w:val="nil"/>
              <w:bottom w:val="nil"/>
              <w:right w:val="nil"/>
            </w:tcBorders>
            <w:noWrap/>
            <w:vAlign w:val="bottom"/>
            <w:hideMark/>
          </w:tcPr>
          <w:p w14:paraId="29703FCE"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524C9CF3"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0.056</w:t>
            </w:r>
            <w:r>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602DEB52"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0.092</w:t>
            </w:r>
            <w:r>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5CA988D9"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79" w:type="pct"/>
            <w:tcBorders>
              <w:top w:val="nil"/>
              <w:left w:val="nil"/>
              <w:bottom w:val="nil"/>
              <w:right w:val="nil"/>
            </w:tcBorders>
            <w:noWrap/>
            <w:vAlign w:val="bottom"/>
            <w:hideMark/>
          </w:tcPr>
          <w:p w14:paraId="6EF3C16C"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49" w:type="pct"/>
            <w:tcBorders>
              <w:top w:val="nil"/>
              <w:left w:val="nil"/>
              <w:bottom w:val="nil"/>
              <w:right w:val="nil"/>
            </w:tcBorders>
            <w:noWrap/>
            <w:vAlign w:val="bottom"/>
            <w:hideMark/>
          </w:tcPr>
          <w:p w14:paraId="18504F36"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c>
          <w:tcPr>
            <w:tcW w:w="518" w:type="pct"/>
            <w:tcBorders>
              <w:top w:val="nil"/>
              <w:left w:val="nil"/>
              <w:bottom w:val="nil"/>
            </w:tcBorders>
            <w:noWrap/>
            <w:vAlign w:val="bottom"/>
            <w:hideMark/>
          </w:tcPr>
          <w:p w14:paraId="5BFB9193"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 </w:t>
            </w:r>
          </w:p>
        </w:tc>
      </w:tr>
      <w:tr w:rsidR="006B4027" w:rsidRPr="00383B27" w14:paraId="4B0BAB0D" w14:textId="77777777" w:rsidTr="006B4027">
        <w:trPr>
          <w:trHeight w:val="255"/>
        </w:trPr>
        <w:tc>
          <w:tcPr>
            <w:tcW w:w="375" w:type="pct"/>
            <w:tcBorders>
              <w:top w:val="nil"/>
              <w:bottom w:val="nil"/>
              <w:right w:val="nil"/>
            </w:tcBorders>
            <w:noWrap/>
            <w:vAlign w:val="bottom"/>
            <w:hideMark/>
          </w:tcPr>
          <w:p w14:paraId="45CDD14A"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High</w:t>
            </w:r>
          </w:p>
        </w:tc>
        <w:tc>
          <w:tcPr>
            <w:tcW w:w="986" w:type="pct"/>
            <w:tcBorders>
              <w:top w:val="nil"/>
              <w:left w:val="nil"/>
              <w:bottom w:val="nil"/>
              <w:right w:val="nil"/>
            </w:tcBorders>
            <w:noWrap/>
            <w:vAlign w:val="bottom"/>
            <w:hideMark/>
          </w:tcPr>
          <w:p w14:paraId="03E2E6CB" w14:textId="4AD23CC6" w:rsidR="00DE5335" w:rsidRPr="00383B27" w:rsidRDefault="00B40136" w:rsidP="00D978C6">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High price-to-value</w:t>
            </w:r>
          </w:p>
        </w:tc>
        <w:tc>
          <w:tcPr>
            <w:tcW w:w="525" w:type="pct"/>
            <w:tcBorders>
              <w:top w:val="nil"/>
              <w:left w:val="nil"/>
              <w:bottom w:val="nil"/>
              <w:right w:val="nil"/>
            </w:tcBorders>
            <w:noWrap/>
            <w:vAlign w:val="bottom"/>
            <w:hideMark/>
          </w:tcPr>
          <w:p w14:paraId="32BCA43B" w14:textId="7AA95E19"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1.759</w:t>
            </w:r>
            <w:r w:rsidR="002B2C07">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09F544E7" w14:textId="0B08385B"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1.098</w:t>
            </w:r>
            <w:r w:rsidR="002B2C07">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216100C0"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-0.748</w:t>
            </w:r>
          </w:p>
        </w:tc>
        <w:tc>
          <w:tcPr>
            <w:tcW w:w="364" w:type="pct"/>
            <w:tcBorders>
              <w:top w:val="nil"/>
              <w:left w:val="nil"/>
              <w:bottom w:val="nil"/>
              <w:right w:val="nil"/>
            </w:tcBorders>
            <w:vAlign w:val="bottom"/>
          </w:tcPr>
          <w:p w14:paraId="21668D62"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r w:rsidRPr="00383B27">
              <w:rPr>
                <w:rFonts w:ascii="Times New Roman" w:eastAsia="Times New Roman" w:hAnsi="Times New Roman" w:cs="Times New Roman"/>
                <w:color w:val="000000"/>
                <w:sz w:val="20"/>
                <w:szCs w:val="20"/>
                <w:lang w:val="en-GB" w:eastAsia="en-GB"/>
              </w:rPr>
              <w:t>(–)</w:t>
            </w:r>
          </w:p>
        </w:tc>
        <w:tc>
          <w:tcPr>
            <w:tcW w:w="579" w:type="pct"/>
            <w:tcBorders>
              <w:top w:val="nil"/>
              <w:left w:val="nil"/>
              <w:bottom w:val="nil"/>
              <w:right w:val="nil"/>
            </w:tcBorders>
            <w:noWrap/>
            <w:vAlign w:val="bottom"/>
            <w:hideMark/>
          </w:tcPr>
          <w:p w14:paraId="764AB4F3"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-2.506</w:t>
            </w:r>
            <w:r>
              <w:rPr>
                <w:rFonts w:ascii="Times New Roman" w:eastAsia="Times New Roman" w:hAnsi="Times New Roman" w:cs="Times New Roman"/>
                <w:color w:val="000000"/>
                <w:sz w:val="20"/>
                <w:szCs w:val="20"/>
                <w:lang w:val="en-GB" w:eastAsia="en-GB"/>
              </w:rPr>
              <w:t>***</w:t>
            </w:r>
          </w:p>
        </w:tc>
        <w:tc>
          <w:tcPr>
            <w:tcW w:w="449" w:type="pct"/>
            <w:tcBorders>
              <w:top w:val="nil"/>
              <w:left w:val="nil"/>
              <w:bottom w:val="nil"/>
              <w:right w:val="nil"/>
            </w:tcBorders>
            <w:noWrap/>
            <w:vAlign w:val="bottom"/>
            <w:hideMark/>
          </w:tcPr>
          <w:p w14:paraId="2B0CD201"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-3.122</w:t>
            </w:r>
          </w:p>
        </w:tc>
        <w:tc>
          <w:tcPr>
            <w:tcW w:w="518" w:type="pct"/>
            <w:tcBorders>
              <w:top w:val="nil"/>
              <w:left w:val="nil"/>
              <w:bottom w:val="nil"/>
            </w:tcBorders>
            <w:noWrap/>
            <w:vAlign w:val="bottom"/>
            <w:hideMark/>
          </w:tcPr>
          <w:p w14:paraId="25E1306E"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0.002</w:t>
            </w:r>
            <w:r>
              <w:rPr>
                <w:rFonts w:ascii="Times New Roman" w:eastAsia="Times New Roman" w:hAnsi="Times New Roman" w:cs="Times New Roman"/>
                <w:color w:val="000000"/>
                <w:sz w:val="20"/>
                <w:szCs w:val="20"/>
                <w:lang w:val="en-GB" w:eastAsia="en-GB"/>
              </w:rPr>
              <w:t>)</w:t>
            </w:r>
          </w:p>
        </w:tc>
      </w:tr>
      <w:tr w:rsidR="006B4027" w:rsidRPr="00383B27" w14:paraId="2355E3BA" w14:textId="77777777" w:rsidTr="006B4027">
        <w:trPr>
          <w:trHeight w:val="255"/>
        </w:trPr>
        <w:tc>
          <w:tcPr>
            <w:tcW w:w="375" w:type="pct"/>
            <w:tcBorders>
              <w:top w:val="nil"/>
              <w:bottom w:val="nil"/>
              <w:right w:val="nil"/>
            </w:tcBorders>
            <w:noWrap/>
            <w:vAlign w:val="bottom"/>
            <w:hideMark/>
          </w:tcPr>
          <w:p w14:paraId="19ADE951"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3FDC88DD"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525" w:type="pct"/>
            <w:tcBorders>
              <w:top w:val="nil"/>
              <w:left w:val="nil"/>
              <w:bottom w:val="nil"/>
              <w:right w:val="nil"/>
            </w:tcBorders>
            <w:noWrap/>
            <w:vAlign w:val="bottom"/>
            <w:hideMark/>
          </w:tcPr>
          <w:p w14:paraId="0A7B6838"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3B59EF55"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0.056</w:t>
            </w:r>
            <w:r>
              <w:rPr>
                <w:rFonts w:ascii="Times New Roman" w:eastAsia="Times New Roman" w:hAnsi="Times New Roman" w:cs="Times New Roman"/>
                <w:color w:val="000000"/>
                <w:sz w:val="20"/>
                <w:szCs w:val="20"/>
                <w:lang w:val="en-GB" w:eastAsia="en-GB"/>
              </w:rPr>
              <w:t>)</w:t>
            </w:r>
          </w:p>
        </w:tc>
        <w:tc>
          <w:tcPr>
            <w:tcW w:w="602" w:type="pct"/>
            <w:tcBorders>
              <w:top w:val="nil"/>
              <w:left w:val="nil"/>
              <w:bottom w:val="nil"/>
              <w:right w:val="nil"/>
            </w:tcBorders>
            <w:noWrap/>
            <w:vAlign w:val="bottom"/>
            <w:hideMark/>
          </w:tcPr>
          <w:p w14:paraId="043F5232"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0.243</w:t>
            </w:r>
            <w:r>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0C40F221"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579" w:type="pct"/>
            <w:tcBorders>
              <w:top w:val="nil"/>
              <w:left w:val="nil"/>
              <w:bottom w:val="nil"/>
              <w:right w:val="nil"/>
            </w:tcBorders>
            <w:noWrap/>
            <w:vAlign w:val="bottom"/>
            <w:hideMark/>
          </w:tcPr>
          <w:p w14:paraId="329584AD"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449" w:type="pct"/>
            <w:tcBorders>
              <w:top w:val="nil"/>
              <w:left w:val="nil"/>
              <w:bottom w:val="nil"/>
              <w:right w:val="nil"/>
            </w:tcBorders>
            <w:noWrap/>
            <w:vAlign w:val="bottom"/>
            <w:hideMark/>
          </w:tcPr>
          <w:p w14:paraId="2D0FAC87" w14:textId="77777777" w:rsidR="00DE5335" w:rsidRPr="00383B27" w:rsidRDefault="00DE5335" w:rsidP="00D978C6">
            <w:pPr>
              <w:spacing w:after="0" w:line="240" w:lineRule="auto"/>
              <w:jc w:val="center"/>
              <w:rPr>
                <w:rFonts w:ascii="Times New Roman" w:eastAsia="Times New Roman" w:hAnsi="Times New Roman" w:cs="Times New Roman"/>
                <w:sz w:val="20"/>
                <w:szCs w:val="20"/>
                <w:lang w:eastAsia="en-CA"/>
              </w:rPr>
            </w:pPr>
          </w:p>
        </w:tc>
        <w:tc>
          <w:tcPr>
            <w:tcW w:w="518" w:type="pct"/>
            <w:tcBorders>
              <w:top w:val="nil"/>
              <w:left w:val="nil"/>
              <w:bottom w:val="nil"/>
            </w:tcBorders>
            <w:noWrap/>
            <w:vAlign w:val="bottom"/>
            <w:hideMark/>
          </w:tcPr>
          <w:p w14:paraId="4D5A7C0D"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 </w:t>
            </w:r>
          </w:p>
        </w:tc>
      </w:tr>
      <w:tr w:rsidR="006B4027" w:rsidRPr="00383B27" w14:paraId="2DCC9BE4" w14:textId="77777777" w:rsidTr="006B4027">
        <w:trPr>
          <w:trHeight w:val="255"/>
        </w:trPr>
        <w:tc>
          <w:tcPr>
            <w:tcW w:w="375" w:type="pct"/>
            <w:tcBorders>
              <w:top w:val="nil"/>
              <w:bottom w:val="nil"/>
              <w:right w:val="nil"/>
            </w:tcBorders>
            <w:noWrap/>
            <w:vAlign w:val="bottom"/>
            <w:hideMark/>
          </w:tcPr>
          <w:p w14:paraId="310E2AB7"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p>
        </w:tc>
        <w:tc>
          <w:tcPr>
            <w:tcW w:w="986" w:type="pct"/>
            <w:tcBorders>
              <w:top w:val="nil"/>
              <w:left w:val="nil"/>
              <w:bottom w:val="nil"/>
              <w:right w:val="nil"/>
            </w:tcBorders>
            <w:noWrap/>
            <w:vAlign w:val="bottom"/>
            <w:hideMark/>
          </w:tcPr>
          <w:p w14:paraId="078987A6"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Hedge</w:t>
            </w:r>
          </w:p>
        </w:tc>
        <w:tc>
          <w:tcPr>
            <w:tcW w:w="525" w:type="pct"/>
            <w:tcBorders>
              <w:top w:val="nil"/>
              <w:left w:val="nil"/>
              <w:bottom w:val="nil"/>
              <w:right w:val="nil"/>
            </w:tcBorders>
            <w:noWrap/>
            <w:vAlign w:val="bottom"/>
            <w:hideMark/>
          </w:tcPr>
          <w:p w14:paraId="4225A4A0" w14:textId="4E8BF073"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0.753</w:t>
            </w:r>
            <w:r w:rsidR="002B2C07">
              <w:rPr>
                <w:rFonts w:ascii="Times New Roman" w:eastAsia="Times New Roman" w:hAnsi="Times New Roman" w:cs="Times New Roman"/>
                <w:color w:val="000000"/>
                <w:sz w:val="20"/>
                <w:szCs w:val="20"/>
                <w:lang w:val="en-GB" w:eastAsia="en-GB"/>
              </w:rPr>
              <w:t>*</w:t>
            </w:r>
          </w:p>
        </w:tc>
        <w:tc>
          <w:tcPr>
            <w:tcW w:w="603" w:type="pct"/>
            <w:tcBorders>
              <w:top w:val="nil"/>
              <w:left w:val="nil"/>
              <w:bottom w:val="nil"/>
              <w:right w:val="nil"/>
            </w:tcBorders>
            <w:noWrap/>
            <w:vAlign w:val="bottom"/>
            <w:hideMark/>
          </w:tcPr>
          <w:p w14:paraId="3929663E"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0.051</w:t>
            </w:r>
          </w:p>
        </w:tc>
        <w:tc>
          <w:tcPr>
            <w:tcW w:w="602" w:type="pct"/>
            <w:tcBorders>
              <w:top w:val="nil"/>
              <w:left w:val="nil"/>
              <w:bottom w:val="nil"/>
              <w:right w:val="nil"/>
            </w:tcBorders>
            <w:noWrap/>
            <w:vAlign w:val="bottom"/>
            <w:hideMark/>
          </w:tcPr>
          <w:p w14:paraId="04442361" w14:textId="32D3CC34"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1.705</w:t>
            </w:r>
            <w:r w:rsidR="002B2C07">
              <w:rPr>
                <w:rFonts w:ascii="Times New Roman" w:eastAsia="Times New Roman" w:hAnsi="Times New Roman" w:cs="Times New Roman"/>
                <w:color w:val="000000"/>
                <w:sz w:val="20"/>
                <w:szCs w:val="20"/>
                <w:lang w:val="en-GB" w:eastAsia="en-GB"/>
              </w:rPr>
              <w:t>***</w:t>
            </w:r>
          </w:p>
        </w:tc>
        <w:tc>
          <w:tcPr>
            <w:tcW w:w="364" w:type="pct"/>
            <w:tcBorders>
              <w:top w:val="nil"/>
              <w:left w:val="nil"/>
              <w:bottom w:val="nil"/>
              <w:right w:val="nil"/>
            </w:tcBorders>
            <w:vAlign w:val="bottom"/>
          </w:tcPr>
          <w:p w14:paraId="450E0552"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val="en-GB" w:eastAsia="en-GB"/>
              </w:rPr>
            </w:pPr>
          </w:p>
        </w:tc>
        <w:tc>
          <w:tcPr>
            <w:tcW w:w="579" w:type="pct"/>
            <w:tcBorders>
              <w:top w:val="nil"/>
              <w:left w:val="nil"/>
              <w:bottom w:val="nil"/>
              <w:right w:val="nil"/>
            </w:tcBorders>
            <w:noWrap/>
            <w:vAlign w:val="bottom"/>
            <w:hideMark/>
          </w:tcPr>
          <w:p w14:paraId="45EF06C3" w14:textId="17E75B89"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0.952</w:t>
            </w:r>
            <w:r w:rsidR="002B2C07">
              <w:rPr>
                <w:rFonts w:ascii="Times New Roman" w:eastAsia="Times New Roman" w:hAnsi="Times New Roman" w:cs="Times New Roman"/>
                <w:color w:val="000000"/>
                <w:sz w:val="20"/>
                <w:szCs w:val="20"/>
                <w:lang w:val="en-GB" w:eastAsia="en-GB"/>
              </w:rPr>
              <w:t>*</w:t>
            </w:r>
          </w:p>
        </w:tc>
        <w:tc>
          <w:tcPr>
            <w:tcW w:w="449" w:type="pct"/>
            <w:tcBorders>
              <w:top w:val="nil"/>
              <w:left w:val="nil"/>
              <w:bottom w:val="nil"/>
              <w:right w:val="nil"/>
            </w:tcBorders>
            <w:noWrap/>
            <w:vAlign w:val="bottom"/>
            <w:hideMark/>
          </w:tcPr>
          <w:p w14:paraId="7DE336DC"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1.820</w:t>
            </w:r>
          </w:p>
        </w:tc>
        <w:tc>
          <w:tcPr>
            <w:tcW w:w="518" w:type="pct"/>
            <w:tcBorders>
              <w:top w:val="nil"/>
              <w:left w:val="nil"/>
              <w:bottom w:val="nil"/>
            </w:tcBorders>
            <w:noWrap/>
            <w:vAlign w:val="bottom"/>
            <w:hideMark/>
          </w:tcPr>
          <w:p w14:paraId="10BC95D4"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0.069</w:t>
            </w:r>
            <w:r>
              <w:rPr>
                <w:rFonts w:ascii="Times New Roman" w:eastAsia="Times New Roman" w:hAnsi="Times New Roman" w:cs="Times New Roman"/>
                <w:color w:val="000000"/>
                <w:sz w:val="20"/>
                <w:szCs w:val="20"/>
                <w:lang w:val="en-GB" w:eastAsia="en-GB"/>
              </w:rPr>
              <w:t>)</w:t>
            </w:r>
          </w:p>
        </w:tc>
      </w:tr>
      <w:tr w:rsidR="006B4027" w:rsidRPr="00383B27" w14:paraId="767BF9B6" w14:textId="77777777" w:rsidTr="006B4027">
        <w:trPr>
          <w:trHeight w:val="270"/>
        </w:trPr>
        <w:tc>
          <w:tcPr>
            <w:tcW w:w="375" w:type="pct"/>
            <w:tcBorders>
              <w:top w:val="nil"/>
              <w:bottom w:val="single" w:sz="4" w:space="0" w:color="auto"/>
              <w:right w:val="nil"/>
            </w:tcBorders>
            <w:noWrap/>
            <w:vAlign w:val="bottom"/>
            <w:hideMark/>
          </w:tcPr>
          <w:p w14:paraId="1D85444F"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p>
        </w:tc>
        <w:tc>
          <w:tcPr>
            <w:tcW w:w="986" w:type="pct"/>
            <w:tcBorders>
              <w:top w:val="nil"/>
              <w:left w:val="nil"/>
              <w:bottom w:val="single" w:sz="4" w:space="0" w:color="auto"/>
              <w:right w:val="nil"/>
            </w:tcBorders>
            <w:noWrap/>
            <w:vAlign w:val="bottom"/>
            <w:hideMark/>
          </w:tcPr>
          <w:p w14:paraId="1C9A534F"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eastAsia="en-CA"/>
              </w:rPr>
              <w:t> </w:t>
            </w:r>
          </w:p>
        </w:tc>
        <w:tc>
          <w:tcPr>
            <w:tcW w:w="525" w:type="pct"/>
            <w:tcBorders>
              <w:top w:val="nil"/>
              <w:left w:val="nil"/>
              <w:bottom w:val="single" w:sz="4" w:space="0" w:color="auto"/>
              <w:right w:val="nil"/>
            </w:tcBorders>
            <w:noWrap/>
            <w:vAlign w:val="bottom"/>
            <w:hideMark/>
          </w:tcPr>
          <w:p w14:paraId="677AB18C"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0.068</w:t>
            </w:r>
            <w:r>
              <w:rPr>
                <w:rFonts w:ascii="Times New Roman" w:eastAsia="Times New Roman" w:hAnsi="Times New Roman" w:cs="Times New Roman"/>
                <w:color w:val="000000"/>
                <w:sz w:val="20"/>
                <w:szCs w:val="20"/>
                <w:lang w:val="en-GB" w:eastAsia="en-GB"/>
              </w:rPr>
              <w:t>)</w:t>
            </w:r>
          </w:p>
        </w:tc>
        <w:tc>
          <w:tcPr>
            <w:tcW w:w="603" w:type="pct"/>
            <w:tcBorders>
              <w:top w:val="nil"/>
              <w:left w:val="nil"/>
              <w:bottom w:val="single" w:sz="4" w:space="0" w:color="auto"/>
              <w:right w:val="nil"/>
            </w:tcBorders>
            <w:noWrap/>
            <w:vAlign w:val="bottom"/>
            <w:hideMark/>
          </w:tcPr>
          <w:p w14:paraId="68FA3C5F"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0.888</w:t>
            </w:r>
            <w:r>
              <w:rPr>
                <w:rFonts w:ascii="Times New Roman" w:eastAsia="Times New Roman" w:hAnsi="Times New Roman" w:cs="Times New Roman"/>
                <w:color w:val="000000"/>
                <w:sz w:val="20"/>
                <w:szCs w:val="20"/>
                <w:lang w:val="en-GB" w:eastAsia="en-GB"/>
              </w:rPr>
              <w:t>)</w:t>
            </w:r>
          </w:p>
        </w:tc>
        <w:tc>
          <w:tcPr>
            <w:tcW w:w="602" w:type="pct"/>
            <w:tcBorders>
              <w:top w:val="nil"/>
              <w:left w:val="nil"/>
              <w:bottom w:val="single" w:sz="4" w:space="0" w:color="auto"/>
              <w:right w:val="nil"/>
            </w:tcBorders>
            <w:noWrap/>
            <w:vAlign w:val="bottom"/>
            <w:hideMark/>
          </w:tcPr>
          <w:p w14:paraId="62EAF3A8" w14:textId="77777777" w:rsidR="00DE5335" w:rsidRPr="00383B27" w:rsidRDefault="00DE5335" w:rsidP="00D978C6">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val="en-GB" w:eastAsia="en-GB"/>
              </w:rPr>
              <w:t>(</w:t>
            </w:r>
            <w:r w:rsidRPr="00383B27">
              <w:rPr>
                <w:rFonts w:ascii="Times New Roman" w:eastAsia="Times New Roman" w:hAnsi="Times New Roman" w:cs="Times New Roman"/>
                <w:color w:val="000000"/>
                <w:sz w:val="20"/>
                <w:szCs w:val="20"/>
                <w:lang w:val="en-GB" w:eastAsia="en-GB"/>
              </w:rPr>
              <w:t>0.000</w:t>
            </w:r>
            <w:r>
              <w:rPr>
                <w:rFonts w:ascii="Times New Roman" w:eastAsia="Times New Roman" w:hAnsi="Times New Roman" w:cs="Times New Roman"/>
                <w:color w:val="000000"/>
                <w:sz w:val="20"/>
                <w:szCs w:val="20"/>
                <w:lang w:val="en-GB" w:eastAsia="en-GB"/>
              </w:rPr>
              <w:t>)</w:t>
            </w:r>
          </w:p>
        </w:tc>
        <w:tc>
          <w:tcPr>
            <w:tcW w:w="364" w:type="pct"/>
            <w:tcBorders>
              <w:top w:val="nil"/>
              <w:left w:val="nil"/>
              <w:bottom w:val="single" w:sz="4" w:space="0" w:color="auto"/>
              <w:right w:val="nil"/>
            </w:tcBorders>
            <w:vAlign w:val="bottom"/>
          </w:tcPr>
          <w:p w14:paraId="6A926A7E"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val="en-GB" w:eastAsia="en-GB"/>
              </w:rPr>
            </w:pPr>
          </w:p>
        </w:tc>
        <w:tc>
          <w:tcPr>
            <w:tcW w:w="579" w:type="pct"/>
            <w:tcBorders>
              <w:top w:val="nil"/>
              <w:left w:val="nil"/>
              <w:bottom w:val="single" w:sz="4" w:space="0" w:color="auto"/>
              <w:right w:val="nil"/>
            </w:tcBorders>
            <w:noWrap/>
            <w:vAlign w:val="bottom"/>
            <w:hideMark/>
          </w:tcPr>
          <w:p w14:paraId="0E0C4449"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 </w:t>
            </w:r>
          </w:p>
        </w:tc>
        <w:tc>
          <w:tcPr>
            <w:tcW w:w="449" w:type="pct"/>
            <w:tcBorders>
              <w:top w:val="nil"/>
              <w:left w:val="nil"/>
              <w:bottom w:val="single" w:sz="4" w:space="0" w:color="auto"/>
              <w:right w:val="nil"/>
            </w:tcBorders>
            <w:noWrap/>
            <w:vAlign w:val="bottom"/>
            <w:hideMark/>
          </w:tcPr>
          <w:p w14:paraId="07A45633"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 </w:t>
            </w:r>
          </w:p>
        </w:tc>
        <w:tc>
          <w:tcPr>
            <w:tcW w:w="518" w:type="pct"/>
            <w:tcBorders>
              <w:top w:val="nil"/>
              <w:left w:val="nil"/>
              <w:bottom w:val="single" w:sz="4" w:space="0" w:color="auto"/>
            </w:tcBorders>
            <w:noWrap/>
            <w:vAlign w:val="bottom"/>
            <w:hideMark/>
          </w:tcPr>
          <w:p w14:paraId="468BA66A" w14:textId="77777777" w:rsidR="00DE5335" w:rsidRPr="00383B27" w:rsidRDefault="00DE5335" w:rsidP="00D978C6">
            <w:pPr>
              <w:spacing w:after="0" w:line="240" w:lineRule="auto"/>
              <w:rPr>
                <w:rFonts w:ascii="Times New Roman" w:eastAsia="Times New Roman" w:hAnsi="Times New Roman" w:cs="Times New Roman"/>
                <w:color w:val="000000"/>
                <w:sz w:val="20"/>
                <w:szCs w:val="20"/>
                <w:lang w:eastAsia="en-CA"/>
              </w:rPr>
            </w:pPr>
            <w:r w:rsidRPr="00383B27">
              <w:rPr>
                <w:rFonts w:ascii="Times New Roman" w:eastAsia="Times New Roman" w:hAnsi="Times New Roman" w:cs="Times New Roman"/>
                <w:color w:val="000000"/>
                <w:sz w:val="20"/>
                <w:szCs w:val="20"/>
                <w:lang w:val="en-GB" w:eastAsia="en-GB"/>
              </w:rPr>
              <w:t> </w:t>
            </w:r>
          </w:p>
        </w:tc>
      </w:tr>
    </w:tbl>
    <w:p w14:paraId="0D27A6B8" w14:textId="77777777" w:rsidR="00DE5335" w:rsidRDefault="00DE5335" w:rsidP="00DE5335">
      <w:pPr>
        <w:spacing w:after="0"/>
        <w:jc w:val="center"/>
        <w:rPr>
          <w:rFonts w:ascii="Times New Roman" w:hAnsi="Times New Roman" w:cs="Times New Roman"/>
          <w:b/>
          <w:sz w:val="20"/>
          <w:szCs w:val="20"/>
        </w:rPr>
      </w:pPr>
    </w:p>
    <w:p w14:paraId="61C8B8F3" w14:textId="77777777" w:rsidR="00366469" w:rsidRDefault="00366469" w:rsidP="00175D55">
      <w:pPr>
        <w:spacing w:after="0" w:line="240" w:lineRule="auto"/>
        <w:rPr>
          <w:rFonts w:ascii="Times New Roman" w:hAnsi="Times New Roman" w:cs="Times New Roman"/>
          <w:sz w:val="20"/>
          <w:szCs w:val="20"/>
        </w:rPr>
      </w:pPr>
    </w:p>
    <w:p w14:paraId="0BF2685F" w14:textId="77777777" w:rsidR="004D5D50" w:rsidRDefault="004D5D50" w:rsidP="00156408">
      <w:pPr>
        <w:spacing w:after="0" w:line="276" w:lineRule="auto"/>
        <w:rPr>
          <w:rFonts w:ascii="Times New Roman" w:eastAsia="Calibri" w:hAnsi="Times New Roman" w:cs="Times New Roman"/>
          <w:b/>
          <w:bCs/>
          <w:color w:val="000000"/>
          <w:sz w:val="20"/>
          <w:szCs w:val="20"/>
          <w:lang w:val="en-US"/>
        </w:rPr>
        <w:sectPr w:rsidR="004D5D50" w:rsidSect="001653E2">
          <w:pgSz w:w="12240" w:h="15840"/>
          <w:pgMar w:top="1440" w:right="1440" w:bottom="1440" w:left="1440" w:header="709" w:footer="709" w:gutter="0"/>
          <w:cols w:space="708"/>
          <w:docGrid w:linePitch="360"/>
        </w:sectPr>
      </w:pPr>
    </w:p>
    <w:p w14:paraId="7E838B8A" w14:textId="77777777" w:rsidR="004D5D50" w:rsidRPr="00246D66" w:rsidRDefault="004D5D50" w:rsidP="004D5D50">
      <w:pPr>
        <w:spacing w:after="0"/>
        <w:jc w:val="center"/>
        <w:rPr>
          <w:rFonts w:ascii="Times New Roman" w:hAnsi="Times New Roman" w:cs="Times New Roman"/>
          <w:b/>
          <w:bCs/>
          <w:color w:val="000000"/>
          <w:sz w:val="32"/>
          <w:szCs w:val="32"/>
          <w:lang w:val="en-US"/>
        </w:rPr>
      </w:pPr>
      <w:r>
        <w:rPr>
          <w:rFonts w:ascii="Times New Roman" w:hAnsi="Times New Roman" w:cs="Times New Roman"/>
          <w:b/>
          <w:bCs/>
          <w:color w:val="000000"/>
          <w:sz w:val="32"/>
          <w:szCs w:val="32"/>
          <w:lang w:val="en-US"/>
        </w:rPr>
        <w:lastRenderedPageBreak/>
        <w:t>Online</w:t>
      </w:r>
      <w:r w:rsidRPr="00246D66">
        <w:rPr>
          <w:rFonts w:ascii="Times New Roman" w:hAnsi="Times New Roman" w:cs="Times New Roman"/>
          <w:b/>
          <w:bCs/>
          <w:color w:val="000000"/>
          <w:sz w:val="32"/>
          <w:szCs w:val="32"/>
          <w:lang w:val="en-US"/>
        </w:rPr>
        <w:t xml:space="preserve"> Appendix</w:t>
      </w:r>
      <w:r>
        <w:rPr>
          <w:rFonts w:ascii="Times New Roman" w:hAnsi="Times New Roman" w:cs="Times New Roman"/>
          <w:b/>
          <w:bCs/>
          <w:color w:val="000000"/>
          <w:sz w:val="32"/>
          <w:szCs w:val="32"/>
          <w:lang w:val="en-US"/>
        </w:rPr>
        <w:t xml:space="preserve"> to</w:t>
      </w:r>
    </w:p>
    <w:p w14:paraId="178D17C2" w14:textId="77777777" w:rsidR="004D5D50" w:rsidRDefault="004D5D50" w:rsidP="004D5D50">
      <w:pPr>
        <w:spacing w:after="0"/>
        <w:jc w:val="center"/>
        <w:rPr>
          <w:rFonts w:ascii="Times New Roman" w:hAnsi="Times New Roman" w:cs="Times New Roman"/>
          <w:bCs/>
          <w:color w:val="000000"/>
          <w:sz w:val="32"/>
          <w:szCs w:val="32"/>
          <w:lang w:val="en-US"/>
        </w:rPr>
      </w:pPr>
    </w:p>
    <w:p w14:paraId="1AD5333D" w14:textId="77777777" w:rsidR="004D5D50" w:rsidRDefault="004D5D50" w:rsidP="004D5D50">
      <w:pPr>
        <w:spacing w:after="0"/>
        <w:jc w:val="center"/>
        <w:rPr>
          <w:rFonts w:ascii="Times New Roman" w:hAnsi="Times New Roman" w:cs="Times New Roman"/>
          <w:bCs/>
          <w:color w:val="000000"/>
          <w:sz w:val="32"/>
          <w:szCs w:val="32"/>
          <w:lang w:val="en-US"/>
        </w:rPr>
      </w:pPr>
      <w:r w:rsidRPr="00246D66">
        <w:rPr>
          <w:rFonts w:ascii="Times New Roman" w:hAnsi="Times New Roman" w:cs="Times New Roman"/>
          <w:bCs/>
          <w:color w:val="000000"/>
          <w:sz w:val="32"/>
          <w:szCs w:val="32"/>
          <w:lang w:val="en-US"/>
        </w:rPr>
        <w:t xml:space="preserve"> “</w:t>
      </w:r>
      <w:r>
        <w:rPr>
          <w:rFonts w:ascii="Times New Roman" w:hAnsi="Times New Roman" w:cs="Times New Roman"/>
          <w:bCs/>
          <w:color w:val="000000"/>
          <w:sz w:val="32"/>
          <w:szCs w:val="32"/>
          <w:lang w:val="en-US"/>
        </w:rPr>
        <w:t>An Accounting-Based Measure of Valuation Uncertainty</w:t>
      </w:r>
      <w:r w:rsidRPr="00246D66">
        <w:rPr>
          <w:rFonts w:ascii="Times New Roman" w:hAnsi="Times New Roman" w:cs="Times New Roman"/>
          <w:bCs/>
          <w:color w:val="000000"/>
          <w:sz w:val="32"/>
          <w:szCs w:val="32"/>
          <w:lang w:val="en-US"/>
        </w:rPr>
        <w:t>”</w:t>
      </w:r>
    </w:p>
    <w:p w14:paraId="001B62C3" w14:textId="77777777" w:rsidR="004D5D50" w:rsidRDefault="004D5D50" w:rsidP="004D5D50">
      <w:pPr>
        <w:spacing w:after="0"/>
        <w:jc w:val="center"/>
        <w:rPr>
          <w:rFonts w:ascii="Times New Roman" w:hAnsi="Times New Roman" w:cs="Times New Roman"/>
          <w:bCs/>
          <w:color w:val="000000"/>
          <w:sz w:val="32"/>
          <w:szCs w:val="32"/>
          <w:lang w:val="en-US"/>
        </w:rPr>
      </w:pPr>
    </w:p>
    <w:p w14:paraId="35A87DC6" w14:textId="77777777" w:rsidR="004D5D50" w:rsidRPr="0067237B" w:rsidRDefault="004D5D50" w:rsidP="004D5D50">
      <w:pPr>
        <w:spacing w:after="0"/>
        <w:jc w:val="center"/>
        <w:rPr>
          <w:rFonts w:ascii="Times New Roman" w:hAnsi="Times New Roman" w:cs="Times New Roman"/>
          <w:bCs/>
          <w:color w:val="000000"/>
          <w:sz w:val="28"/>
          <w:szCs w:val="28"/>
          <w:lang w:val="en-US"/>
        </w:rPr>
      </w:pPr>
      <w:r w:rsidRPr="0067237B">
        <w:rPr>
          <w:rFonts w:ascii="Times New Roman" w:hAnsi="Times New Roman" w:cs="Times New Roman"/>
          <w:bCs/>
          <w:color w:val="000000"/>
          <w:sz w:val="28"/>
          <w:szCs w:val="28"/>
          <w:lang w:val="en-US"/>
        </w:rPr>
        <w:t>by Andrey Golubov and Theodosia Konstantinidi</w:t>
      </w:r>
    </w:p>
    <w:p w14:paraId="1BEDF1D8" w14:textId="77777777" w:rsidR="004D5D50" w:rsidRDefault="004D5D50" w:rsidP="004D5D50">
      <w:pPr>
        <w:spacing w:after="0"/>
        <w:jc w:val="center"/>
        <w:rPr>
          <w:rFonts w:ascii="Times New Roman" w:hAnsi="Times New Roman" w:cs="Times New Roman"/>
          <w:bCs/>
          <w:color w:val="000000"/>
          <w:sz w:val="32"/>
          <w:szCs w:val="32"/>
          <w:lang w:val="en-US"/>
        </w:rPr>
      </w:pPr>
    </w:p>
    <w:p w14:paraId="1263B653" w14:textId="77777777" w:rsidR="004D5D50" w:rsidRDefault="004D5D50" w:rsidP="004D5D50">
      <w:pPr>
        <w:spacing w:after="0"/>
        <w:jc w:val="center"/>
        <w:rPr>
          <w:rFonts w:ascii="Times New Roman" w:hAnsi="Times New Roman" w:cs="Times New Roman"/>
          <w:bCs/>
          <w:i/>
          <w:iCs/>
          <w:color w:val="000000"/>
          <w:sz w:val="32"/>
          <w:szCs w:val="32"/>
          <w:lang w:val="en-US"/>
        </w:rPr>
      </w:pPr>
      <w:r w:rsidRPr="00FD2417">
        <w:rPr>
          <w:rFonts w:ascii="Times New Roman" w:hAnsi="Times New Roman" w:cs="Times New Roman"/>
          <w:bCs/>
          <w:i/>
          <w:iCs/>
          <w:color w:val="000000"/>
          <w:sz w:val="32"/>
          <w:szCs w:val="32"/>
          <w:lang w:val="en-US"/>
        </w:rPr>
        <w:t>The Accounting Review</w:t>
      </w:r>
    </w:p>
    <w:p w14:paraId="1656533D" w14:textId="77777777" w:rsidR="004D5D50" w:rsidRDefault="004D5D50" w:rsidP="004D5D50">
      <w:pPr>
        <w:rPr>
          <w:rFonts w:ascii="Times New Roman" w:hAnsi="Times New Roman" w:cs="Times New Roman"/>
          <w:bCs/>
          <w:i/>
          <w:iCs/>
          <w:color w:val="000000"/>
          <w:sz w:val="32"/>
          <w:szCs w:val="32"/>
          <w:lang w:val="en-US"/>
        </w:rPr>
      </w:pPr>
      <w:r>
        <w:rPr>
          <w:rFonts w:ascii="Times New Roman" w:hAnsi="Times New Roman" w:cs="Times New Roman"/>
          <w:bCs/>
          <w:i/>
          <w:iCs/>
          <w:color w:val="000000"/>
          <w:sz w:val="32"/>
          <w:szCs w:val="32"/>
          <w:lang w:val="en-US"/>
        </w:rPr>
        <w:br w:type="page"/>
      </w:r>
    </w:p>
    <w:p w14:paraId="08C410C6" w14:textId="77777777" w:rsidR="004D5D50" w:rsidRDefault="004D5D50" w:rsidP="004D5D50">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Value vs. Growth</w:t>
      </w:r>
      <w:r w:rsidRPr="00021EF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V</w:t>
      </w:r>
      <w:r w:rsidRPr="00021EF3">
        <w:rPr>
          <w:rFonts w:ascii="Times New Roman" w:hAnsi="Times New Roman" w:cs="Times New Roman"/>
          <w:b/>
          <w:bCs/>
          <w:sz w:val="24"/>
          <w:szCs w:val="24"/>
          <w:lang w:val="en-US"/>
        </w:rPr>
        <w:t xml:space="preserve">aluation </w:t>
      </w:r>
      <w:r>
        <w:rPr>
          <w:rFonts w:ascii="Times New Roman" w:hAnsi="Times New Roman" w:cs="Times New Roman"/>
          <w:b/>
          <w:bCs/>
          <w:sz w:val="24"/>
          <w:szCs w:val="24"/>
          <w:lang w:val="en-US"/>
        </w:rPr>
        <w:t>U</w:t>
      </w:r>
      <w:r w:rsidRPr="00021EF3">
        <w:rPr>
          <w:rFonts w:ascii="Times New Roman" w:hAnsi="Times New Roman" w:cs="Times New Roman"/>
          <w:b/>
          <w:bCs/>
          <w:sz w:val="24"/>
          <w:szCs w:val="24"/>
          <w:lang w:val="en-US"/>
        </w:rPr>
        <w:t xml:space="preserve">ncertainty, and </w:t>
      </w:r>
      <w:r>
        <w:rPr>
          <w:rFonts w:ascii="Times New Roman" w:hAnsi="Times New Roman" w:cs="Times New Roman"/>
          <w:b/>
          <w:bCs/>
          <w:sz w:val="24"/>
          <w:szCs w:val="24"/>
          <w:lang w:val="en-US"/>
        </w:rPr>
        <w:t>D</w:t>
      </w:r>
      <w:r w:rsidRPr="00021EF3">
        <w:rPr>
          <w:rFonts w:ascii="Times New Roman" w:hAnsi="Times New Roman" w:cs="Times New Roman"/>
          <w:b/>
          <w:bCs/>
          <w:sz w:val="24"/>
          <w:szCs w:val="24"/>
          <w:lang w:val="en-US"/>
        </w:rPr>
        <w:t>uration</w:t>
      </w:r>
      <w:r>
        <w:rPr>
          <w:rFonts w:ascii="Times New Roman" w:hAnsi="Times New Roman" w:cs="Times New Roman"/>
          <w:b/>
          <w:bCs/>
          <w:sz w:val="24"/>
          <w:szCs w:val="24"/>
          <w:lang w:val="en-US"/>
        </w:rPr>
        <w:t xml:space="preserve"> Effects</w:t>
      </w:r>
    </w:p>
    <w:p w14:paraId="64C42597"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At the end of Section V of the paper we introduce a link between valuation ratios, valuation uncertainty, and duration effects as a possible reason for the recent “disappearance” of the value premium. Here we elaborate on why price-to-book and value-to-book sorts pick up differences in duration – and on the mechanism through which valuation uncertainty amplifies those differences. We then present some preliminary empirical evidence consistent with those arguments. Finally, we explain how differences in duration between value and growth could have confounded the performance of value-like strategies during the recent period of declining discount rates.</w:t>
      </w:r>
    </w:p>
    <w:p w14:paraId="53E2EB65"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If the price-to-value component of the price-to-book ratio effectively strips out variation due to mispricing, then the variation in price-to-book stemming from the remaining value-to-book part reflects “normal” variation in multiples – variation that is explained by firm fundamentals and prices of industry peers. That is, stocks with justifiably high prices have high value-to-book ratios, and vice versa. One of the fundamentals that is reflected in the firm’s valuation relative to book value is the expected long-run dividend growth rate, because the latter is theoretically linked to growth in </w:t>
      </w:r>
      <w:r w:rsidRPr="00090405">
        <w:rPr>
          <w:rFonts w:ascii="Times New Roman" w:hAnsi="Times New Roman" w:cs="Times New Roman"/>
          <w:sz w:val="24"/>
          <w:szCs w:val="24"/>
        </w:rPr>
        <w:t>residual income</w:t>
      </w:r>
      <w:r>
        <w:rPr>
          <w:rFonts w:ascii="Times New Roman" w:hAnsi="Times New Roman" w:cs="Times New Roman"/>
          <w:sz w:val="24"/>
          <w:szCs w:val="24"/>
        </w:rPr>
        <w:t>.</w:t>
      </w:r>
      <w:r>
        <w:rPr>
          <w:rStyle w:val="FootnoteReference"/>
          <w:rFonts w:ascii="Times New Roman" w:hAnsi="Times New Roman" w:cs="Times New Roman"/>
          <w:sz w:val="24"/>
          <w:szCs w:val="24"/>
          <w:lang w:val="en-US"/>
        </w:rPr>
        <w:footnoteReference w:id="34"/>
      </w:r>
      <w:r>
        <w:rPr>
          <w:rFonts w:ascii="Times New Roman" w:hAnsi="Times New Roman" w:cs="Times New Roman"/>
          <w:sz w:val="24"/>
          <w:szCs w:val="24"/>
          <w:lang w:val="en-US"/>
        </w:rPr>
        <w:t xml:space="preserve"> Indeed, the practitioners’ term “growth stock” describing a stock trading at high valuation multiples is a reference to the firm’s </w:t>
      </w:r>
      <w:r w:rsidRPr="00E610C0">
        <w:rPr>
          <w:rFonts w:ascii="Times New Roman" w:hAnsi="Times New Roman" w:cs="Times New Roman"/>
          <w:sz w:val="24"/>
          <w:szCs w:val="24"/>
          <w:lang w:val="en-US"/>
        </w:rPr>
        <w:t xml:space="preserve">trajectory in earnings, </w:t>
      </w:r>
      <w:r w:rsidRPr="00E46699">
        <w:rPr>
          <w:rFonts w:ascii="Times New Roman" w:hAnsi="Times New Roman" w:cs="Times New Roman"/>
          <w:sz w:val="24"/>
          <w:szCs w:val="24"/>
          <w:lang w:val="en-US"/>
        </w:rPr>
        <w:t>residual income</w:t>
      </w:r>
      <w:r w:rsidRPr="00E610C0">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dividends.  </w:t>
      </w:r>
    </w:p>
    <w:p w14:paraId="436D5DDA"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high expected growth rate in future dividends implies that a large fraction of the firm’s total equity distributions will occur in more distant periods compared to a stock whose future dividends are expected to grow at a slower rate or to stagnate. Therefore, differences in dividend </w:t>
      </w:r>
      <w:r>
        <w:rPr>
          <w:rFonts w:ascii="Times New Roman" w:hAnsi="Times New Roman" w:cs="Times New Roman"/>
          <w:sz w:val="24"/>
          <w:szCs w:val="24"/>
          <w:lang w:val="en-US"/>
        </w:rPr>
        <w:lastRenderedPageBreak/>
        <w:t xml:space="preserve">growth rates are also differences in duration from the investor’s point of view: growth stocks are relatively high duration assets (akin to long-term bonds), while value stocks are relatively low duration assets (akin to short-term bonds). Existing literature notes this link between the price-to-book ratio and duration, and Golubov and </w:t>
      </w:r>
      <w:proofErr w:type="spellStart"/>
      <w:r>
        <w:rPr>
          <w:rFonts w:ascii="Times New Roman" w:hAnsi="Times New Roman" w:cs="Times New Roman"/>
          <w:sz w:val="24"/>
          <w:szCs w:val="24"/>
          <w:lang w:val="en-US"/>
        </w:rPr>
        <w:t>Konstantindi</w:t>
      </w:r>
      <w:proofErr w:type="spellEnd"/>
      <w:r>
        <w:rPr>
          <w:rFonts w:ascii="Times New Roman" w:hAnsi="Times New Roman" w:cs="Times New Roman"/>
          <w:sz w:val="24"/>
          <w:szCs w:val="24"/>
          <w:lang w:val="en-US"/>
        </w:rPr>
        <w:t xml:space="preserve"> (2019) show that differences in duration across conventional value and growth stocks come primarily from implicit sorts on the value-to-book ratio. In other words, it is the high value-to-book firms that are the true growth or high duration stocks.</w:t>
      </w:r>
    </w:p>
    <w:p w14:paraId="55B65E11" w14:textId="77777777" w:rsidR="004D5D50" w:rsidRDefault="004D5D50" w:rsidP="004D5D50">
      <w:pPr>
        <w:spacing w:after="0" w:line="480" w:lineRule="auto"/>
        <w:ind w:firstLine="567"/>
        <w:jc w:val="both"/>
        <w:rPr>
          <w:rFonts w:ascii="Times New Roman" w:hAnsi="Times New Roman" w:cs="Times New Roman"/>
          <w:sz w:val="24"/>
          <w:szCs w:val="24"/>
          <w:lang w:val="en-US"/>
        </w:rPr>
      </w:pPr>
      <w:r w:rsidRPr="00115A22">
        <w:rPr>
          <w:rFonts w:ascii="Times New Roman" w:hAnsi="Times New Roman" w:cs="Times New Roman"/>
          <w:sz w:val="24"/>
          <w:szCs w:val="24"/>
          <w:lang w:val="en-US"/>
        </w:rPr>
        <w:t xml:space="preserve">Note that </w:t>
      </w:r>
      <w:r w:rsidRPr="00115A22">
        <w:rPr>
          <w:rFonts w:ascii="Times New Roman" w:hAnsi="Times New Roman" w:cs="Times New Roman"/>
          <w:sz w:val="24"/>
          <w:szCs w:val="24"/>
        </w:rPr>
        <w:t>the ability to significantly grow future dividend distributions is typically enabled by</w:t>
      </w:r>
      <w:r>
        <w:rPr>
          <w:rFonts w:ascii="Times New Roman" w:hAnsi="Times New Roman" w:cs="Times New Roman"/>
          <w:sz w:val="24"/>
          <w:szCs w:val="24"/>
        </w:rPr>
        <w:t xml:space="preserve"> incremental economic profits generated by</w:t>
      </w:r>
      <w:r w:rsidRPr="00115A22">
        <w:rPr>
          <w:rFonts w:ascii="Times New Roman" w:hAnsi="Times New Roman" w:cs="Times New Roman"/>
          <w:sz w:val="24"/>
          <w:szCs w:val="24"/>
        </w:rPr>
        <w:t xml:space="preserve"> expanding the firm’s </w:t>
      </w:r>
      <w:r>
        <w:rPr>
          <w:rFonts w:ascii="Times New Roman" w:hAnsi="Times New Roman" w:cs="Times New Roman"/>
          <w:sz w:val="24"/>
          <w:szCs w:val="24"/>
        </w:rPr>
        <w:t>ongoing</w:t>
      </w:r>
      <w:r w:rsidRPr="00115A22">
        <w:rPr>
          <w:rFonts w:ascii="Times New Roman" w:hAnsi="Times New Roman" w:cs="Times New Roman"/>
          <w:sz w:val="24"/>
          <w:szCs w:val="24"/>
        </w:rPr>
        <w:t xml:space="preserve"> </w:t>
      </w:r>
      <w:r>
        <w:rPr>
          <w:rFonts w:ascii="Times New Roman" w:hAnsi="Times New Roman" w:cs="Times New Roman"/>
          <w:sz w:val="24"/>
          <w:szCs w:val="24"/>
        </w:rPr>
        <w:t>operations</w:t>
      </w:r>
      <w:r w:rsidRPr="00115A22">
        <w:rPr>
          <w:rFonts w:ascii="Times New Roman" w:hAnsi="Times New Roman" w:cs="Times New Roman"/>
          <w:sz w:val="24"/>
          <w:szCs w:val="24"/>
        </w:rPr>
        <w:t xml:space="preserve"> and </w:t>
      </w:r>
      <w:r>
        <w:rPr>
          <w:rFonts w:ascii="Times New Roman" w:hAnsi="Times New Roman" w:cs="Times New Roman"/>
          <w:sz w:val="24"/>
          <w:szCs w:val="24"/>
        </w:rPr>
        <w:t>developing</w:t>
      </w:r>
      <w:r w:rsidRPr="00115A22">
        <w:rPr>
          <w:rFonts w:ascii="Times New Roman" w:hAnsi="Times New Roman" w:cs="Times New Roman"/>
          <w:sz w:val="24"/>
          <w:szCs w:val="24"/>
        </w:rPr>
        <w:t xml:space="preserve"> new </w:t>
      </w:r>
      <w:r>
        <w:rPr>
          <w:rFonts w:ascii="Times New Roman" w:hAnsi="Times New Roman" w:cs="Times New Roman"/>
          <w:sz w:val="24"/>
          <w:szCs w:val="24"/>
        </w:rPr>
        <w:t>lines of business</w:t>
      </w:r>
      <w:r w:rsidRPr="00115A22">
        <w:rPr>
          <w:rFonts w:ascii="Times New Roman" w:hAnsi="Times New Roman" w:cs="Times New Roman"/>
          <w:sz w:val="24"/>
          <w:szCs w:val="24"/>
          <w:lang w:val="en-US"/>
        </w:rPr>
        <w:t>. The opportunities</w:t>
      </w:r>
      <w:r>
        <w:rPr>
          <w:rFonts w:ascii="Times New Roman" w:hAnsi="Times New Roman" w:cs="Times New Roman"/>
          <w:sz w:val="24"/>
          <w:szCs w:val="24"/>
          <w:lang w:val="en-US"/>
        </w:rPr>
        <w:t xml:space="preserve"> to undertake</w:t>
      </w:r>
      <w:r w:rsidRPr="00115A22">
        <w:rPr>
          <w:rFonts w:ascii="Times New Roman" w:hAnsi="Times New Roman" w:cs="Times New Roman"/>
          <w:sz w:val="24"/>
          <w:szCs w:val="24"/>
          <w:lang w:val="en-US"/>
        </w:rPr>
        <w:t xml:space="preserve"> such</w:t>
      </w:r>
      <w:r>
        <w:rPr>
          <w:rFonts w:ascii="Times New Roman" w:hAnsi="Times New Roman" w:cs="Times New Roman"/>
          <w:sz w:val="24"/>
          <w:szCs w:val="24"/>
          <w:lang w:val="en-US"/>
        </w:rPr>
        <w:t xml:space="preserve"> value-creating</w:t>
      </w:r>
      <w:r w:rsidRPr="00115A22">
        <w:rPr>
          <w:rFonts w:ascii="Times New Roman" w:hAnsi="Times New Roman" w:cs="Times New Roman"/>
          <w:sz w:val="24"/>
          <w:szCs w:val="24"/>
          <w:lang w:val="en-US"/>
        </w:rPr>
        <w:t xml:space="preserve"> projects </w:t>
      </w:r>
      <w:r>
        <w:rPr>
          <w:rFonts w:ascii="Times New Roman" w:hAnsi="Times New Roman" w:cs="Times New Roman"/>
          <w:sz w:val="24"/>
          <w:szCs w:val="24"/>
          <w:lang w:val="en-US"/>
        </w:rPr>
        <w:t>are</w:t>
      </w:r>
      <w:r w:rsidRPr="00115A22">
        <w:rPr>
          <w:rFonts w:ascii="Times New Roman" w:hAnsi="Times New Roman" w:cs="Times New Roman"/>
          <w:sz w:val="24"/>
          <w:szCs w:val="24"/>
          <w:lang w:val="en-US"/>
        </w:rPr>
        <w:t xml:space="preserve"> known as “growth options” </w:t>
      </w:r>
      <w:r>
        <w:rPr>
          <w:rFonts w:ascii="Times New Roman" w:hAnsi="Times New Roman" w:cs="Times New Roman"/>
          <w:sz w:val="24"/>
          <w:szCs w:val="24"/>
          <w:lang w:val="en-US"/>
        </w:rPr>
        <w:t xml:space="preserve">– in contrast to already existing operations, which are referred to as “assets in place”. Since existing assets are reflected both on the firm’s balance sheet </w:t>
      </w:r>
      <w:r w:rsidRPr="00585B11">
        <w:rPr>
          <w:rFonts w:ascii="Times New Roman" w:hAnsi="Times New Roman" w:cs="Times New Roman"/>
          <w:i/>
          <w:iCs/>
          <w:sz w:val="24"/>
          <w:szCs w:val="24"/>
          <w:lang w:val="en-US"/>
        </w:rPr>
        <w:t>and</w:t>
      </w:r>
      <w:r>
        <w:rPr>
          <w:rFonts w:ascii="Times New Roman" w:hAnsi="Times New Roman" w:cs="Times New Roman"/>
          <w:sz w:val="24"/>
          <w:szCs w:val="24"/>
          <w:lang w:val="en-US"/>
        </w:rPr>
        <w:t xml:space="preserve"> in the firm’s market value – whereas for growth options, with few exceptions, only the latter is true – firms with a large amount of growth options relative to assets in place should trade at higher multiples of book value than firms whose value derives predominantly from assets in place (ceteris paribus).</w:t>
      </w:r>
    </w:p>
    <w:p w14:paraId="5043A544"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The concept of growth options, in turn, generates scope for uncertainty to affect the firm’s valuation multiple. A standard result in option pricing is that uncertainty about the value of the underlying asset increases the value of the option. This insight carries over to growth options held by firms: greater uncertainty about the value of a new project makes the option to undertake it more valuable – and this raises the multiple of book value at which the firm should trade. Therefore, a high value-to-book firm characterized by high valuation uncertainty is more likely to be a high growth-option firm (and, therefore, a high dividend growth firm) than a high value-to-</w:t>
      </w:r>
      <w:r>
        <w:rPr>
          <w:rFonts w:ascii="Times New Roman" w:hAnsi="Times New Roman" w:cs="Times New Roman"/>
          <w:sz w:val="24"/>
          <w:szCs w:val="24"/>
          <w:lang w:val="en-US"/>
        </w:rPr>
        <w:lastRenderedPageBreak/>
        <w:t xml:space="preserve">book firm with low valuation uncertainty. In other words, a high value-to-book </w:t>
      </w:r>
      <w:r w:rsidRPr="003A40E0">
        <w:rPr>
          <w:rFonts w:ascii="Times New Roman" w:hAnsi="Times New Roman" w:cs="Times New Roman"/>
          <w:i/>
          <w:iCs/>
          <w:sz w:val="24"/>
          <w:szCs w:val="24"/>
          <w:lang w:val="en-US"/>
        </w:rPr>
        <w:t>and</w:t>
      </w:r>
      <w:r>
        <w:rPr>
          <w:rFonts w:ascii="Times New Roman" w:hAnsi="Times New Roman" w:cs="Times New Roman"/>
          <w:sz w:val="24"/>
          <w:szCs w:val="24"/>
          <w:lang w:val="en-US"/>
        </w:rPr>
        <w:t xml:space="preserve"> high valuation uncertainty firm is the quintessential growth stock when it comes to duration.</w:t>
      </w:r>
    </w:p>
    <w:p w14:paraId="4E27FB8B"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put our logic to the test using firm age as an (inverse) proxy for duration. Firm age reflects duration for at least two reasons. First, older firms have had sufficient time to realize their growth options, whereas younger firms tend to be at the earlier stages of life cycle. Second, older firms are more likely to be old-economy firms (e.g., food manufacturing) characterized by saturated and slow-growing end markets, whereas younger firms are more likely to be new-economy firms (e.g., high-tech) creating new markets through product innovation. Accordingly, Golubov and Konstantinidi (2019) show that low price-to-book firms are older than high price-to-book firms, and this difference is even more pronounced when looking at the value-to-book ratio. If our logic regarding the amplifying role of valuation uncertainty for growth-option value is correct, we expect differences in age (duration) across low and high price-to-book or value-to-book to increase with </w:t>
      </w:r>
      <w:r w:rsidRPr="007979A4">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w:t>
      </w:r>
    </w:p>
    <w:p w14:paraId="6EE9D52A" w14:textId="482E527C"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Table A</w:t>
      </w:r>
      <w:r w:rsidR="003B119A">
        <w:rPr>
          <w:rFonts w:ascii="Times New Roman" w:hAnsi="Times New Roman" w:cs="Times New Roman"/>
          <w:sz w:val="24"/>
          <w:szCs w:val="24"/>
          <w:lang w:val="en-US"/>
        </w:rPr>
        <w:t>6</w:t>
      </w:r>
      <w:r>
        <w:rPr>
          <w:rFonts w:ascii="Times New Roman" w:hAnsi="Times New Roman" w:cs="Times New Roman"/>
          <w:sz w:val="24"/>
          <w:szCs w:val="24"/>
          <w:lang w:val="en-US"/>
        </w:rPr>
        <w:t xml:space="preserve"> of this Online Appendix reports the mean firm age for portfolios doble-sorted on price-to-book/price-to-value/value-to-book and on </w:t>
      </w:r>
      <w:r w:rsidRPr="00DF2EA2">
        <w:rPr>
          <w:rFonts w:ascii="Times New Roman" w:hAnsi="Times New Roman" w:cs="Times New Roman"/>
          <w:i/>
          <w:iCs/>
          <w:sz w:val="24"/>
          <w:szCs w:val="24"/>
          <w:lang w:val="en-US"/>
        </w:rPr>
        <w:t>VU</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35"/>
      </w:r>
      <w:r>
        <w:rPr>
          <w:rFonts w:ascii="Times New Roman" w:hAnsi="Times New Roman" w:cs="Times New Roman"/>
          <w:sz w:val="24"/>
          <w:szCs w:val="24"/>
          <w:lang w:val="en-US"/>
        </w:rPr>
        <w:t xml:space="preserve"> Panel A reports the price-to-book × </w:t>
      </w:r>
      <w:r w:rsidRPr="00904125">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double-sorts and shows that conventionally defined value firms are older than conventionally defined growth firms across all levels of </w:t>
      </w:r>
      <w:r w:rsidRPr="00BF324B">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Importantly, the difference in age between conventional value and growth is larger for high </w:t>
      </w:r>
      <w:r w:rsidRPr="00904125">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stocks than for low </w:t>
      </w:r>
      <w:r w:rsidRPr="00904125">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stocks. This is consistent with our premise that the variation in valuation multiples is more indicative of growth-option intensity (and hence of differences in duration) among high valuation uncertainty stocks. In Panel B we swap out price-to-book for price-to-value. While we do find some residual differences </w:t>
      </w:r>
      <w:r>
        <w:rPr>
          <w:rFonts w:ascii="Times New Roman" w:hAnsi="Times New Roman" w:cs="Times New Roman"/>
          <w:sz w:val="24"/>
          <w:szCs w:val="24"/>
          <w:lang w:val="en-US"/>
        </w:rPr>
        <w:lastRenderedPageBreak/>
        <w:t xml:space="preserve">in firm age between high and low price-to-value stocks, these differences do </w:t>
      </w:r>
      <w:r w:rsidRPr="00E27849">
        <w:rPr>
          <w:rFonts w:ascii="Times New Roman" w:hAnsi="Times New Roman" w:cs="Times New Roman"/>
          <w:i/>
          <w:iCs/>
          <w:sz w:val="24"/>
          <w:szCs w:val="24"/>
          <w:lang w:val="en-US"/>
        </w:rPr>
        <w:t>not</w:t>
      </w:r>
      <w:r>
        <w:rPr>
          <w:rFonts w:ascii="Times New Roman" w:hAnsi="Times New Roman" w:cs="Times New Roman"/>
          <w:sz w:val="24"/>
          <w:szCs w:val="24"/>
          <w:lang w:val="en-US"/>
        </w:rPr>
        <w:t xml:space="preserve"> increase with </w:t>
      </w:r>
      <w:r w:rsidRPr="00904125">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Finally, Panel C confirms that the pattern observed for the conventional price-to-book ratio is driven by value-to-book. In fact, here the difference in value/growth age gaps between high and low </w:t>
      </w:r>
      <w:r w:rsidRPr="00904125">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stocks is almost double that observed for price-to-book. We conclude that a sort on price-to-book – and especially on value-to-book – among high </w:t>
      </w:r>
      <w:r w:rsidRPr="00FE3507">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stocks is a strong sort on duration. </w:t>
      </w:r>
    </w:p>
    <w:p w14:paraId="1BA3AC03"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Differences in duration between low and high price-to-book stocks (and where they concentrate) are important in an environment of shocks to discount rates, since long-duration assets are more sensitive to such shocks than short-duration assets (e.g., long-term bond prices are more sensitive to interest rate changes). If high price-to-book stocks are longer-duration assets than low price-to-book stocks, then their prices benefit more from a reduction in discount rates. This differential revaluation causes high price-to-book stocks to outperform low price-to-book stocks during periods of declining discount rates, working against the conventional value-minus-growth strategy. </w:t>
      </w:r>
    </w:p>
    <w:p w14:paraId="710ABD63" w14:textId="77777777" w:rsidR="004D5D50" w:rsidRDefault="004D5D50" w:rsidP="004D5D50">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Note that the recent “disappearance” of the value premium coincides with a prolonged period of declining interest rates</w:t>
      </w:r>
      <w:r>
        <w:rPr>
          <w:rStyle w:val="FootnoteReference"/>
          <w:rFonts w:ascii="Times New Roman" w:hAnsi="Times New Roman" w:cs="Times New Roman"/>
          <w:sz w:val="24"/>
          <w:szCs w:val="24"/>
          <w:lang w:val="en-US"/>
        </w:rPr>
        <w:footnoteReference w:id="36"/>
      </w:r>
      <w:r>
        <w:rPr>
          <w:rFonts w:ascii="Times New Roman" w:hAnsi="Times New Roman" w:cs="Times New Roman"/>
          <w:sz w:val="24"/>
          <w:szCs w:val="24"/>
          <w:lang w:val="en-US"/>
        </w:rPr>
        <w:t xml:space="preserve">, suggesting that duration effects could be at play. Indeed, Figure 4 of the paper shows that the “collapse” of the conventional value strategy in the last 10-15 years of our sample is most pronounced among high </w:t>
      </w:r>
      <w:r w:rsidRPr="004C7716">
        <w:rPr>
          <w:rFonts w:ascii="Times New Roman" w:hAnsi="Times New Roman" w:cs="Times New Roman"/>
          <w:i/>
          <w:iCs/>
          <w:sz w:val="24"/>
          <w:szCs w:val="24"/>
          <w:lang w:val="en-US"/>
        </w:rPr>
        <w:t>VU</w:t>
      </w:r>
      <w:r>
        <w:rPr>
          <w:rFonts w:ascii="Times New Roman" w:hAnsi="Times New Roman" w:cs="Times New Roman"/>
          <w:sz w:val="24"/>
          <w:szCs w:val="24"/>
          <w:lang w:val="en-US"/>
        </w:rPr>
        <w:t xml:space="preserve"> stocks (Panel A), and this is even more evident when zeroing-in on value-to-book sorts (Panel C) – precisely where we find the largest differences in duration. This observation, albeit only suggestive, is consistent with our conjecture that duration effects may have confounded the performance of the conventional value strategy during an episode of sustained negative discount rate shocks. </w:t>
      </w:r>
    </w:p>
    <w:p w14:paraId="08935672" w14:textId="77777777" w:rsidR="004D5D50" w:rsidRDefault="004D5D50" w:rsidP="00156408">
      <w:pPr>
        <w:spacing w:after="0" w:line="276" w:lineRule="auto"/>
        <w:rPr>
          <w:rFonts w:ascii="Times New Roman" w:eastAsia="Calibri" w:hAnsi="Times New Roman" w:cs="Times New Roman"/>
          <w:b/>
          <w:bCs/>
          <w:color w:val="000000"/>
          <w:sz w:val="20"/>
          <w:szCs w:val="20"/>
          <w:lang w:val="en-US"/>
        </w:rPr>
        <w:sectPr w:rsidR="004D5D50" w:rsidSect="004D5D50">
          <w:footerReference w:type="default" r:id="rId23"/>
          <w:pgSz w:w="12240" w:h="15840"/>
          <w:pgMar w:top="1440" w:right="1440" w:bottom="1440" w:left="1440" w:header="709" w:footer="709" w:gutter="0"/>
          <w:pgNumType w:start="0"/>
          <w:cols w:space="708"/>
          <w:titlePg/>
          <w:docGrid w:linePitch="360"/>
        </w:sectPr>
      </w:pPr>
    </w:p>
    <w:p w14:paraId="24FC0680" w14:textId="77777777" w:rsidR="004D5D50" w:rsidRPr="006A0B5D" w:rsidRDefault="004D5D50" w:rsidP="004D5D5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TABLE A1</w:t>
      </w:r>
    </w:p>
    <w:p w14:paraId="73922627" w14:textId="77777777" w:rsidR="004D5D50" w:rsidRPr="00460990" w:rsidRDefault="004D5D50" w:rsidP="004D5D50">
      <w:pPr>
        <w:jc w:val="center"/>
        <w:rPr>
          <w:rFonts w:ascii="Times New Roman" w:hAnsi="Times New Roman" w:cs="Times New Roman"/>
          <w:b/>
          <w:bCs/>
          <w:sz w:val="20"/>
          <w:szCs w:val="20"/>
        </w:rPr>
      </w:pPr>
      <w:r w:rsidRPr="00460990">
        <w:rPr>
          <w:rFonts w:ascii="Times New Roman" w:hAnsi="Times New Roman" w:cs="Times New Roman"/>
          <w:b/>
          <w:bCs/>
          <w:sz w:val="20"/>
          <w:szCs w:val="20"/>
        </w:rPr>
        <w:t xml:space="preserve">Estimation </w:t>
      </w:r>
      <w:r>
        <w:rPr>
          <w:rFonts w:ascii="Times New Roman" w:hAnsi="Times New Roman" w:cs="Times New Roman"/>
          <w:b/>
          <w:bCs/>
          <w:sz w:val="20"/>
          <w:szCs w:val="20"/>
        </w:rPr>
        <w:t>S</w:t>
      </w:r>
      <w:r w:rsidRPr="00460990">
        <w:rPr>
          <w:rFonts w:ascii="Times New Roman" w:hAnsi="Times New Roman" w:cs="Times New Roman"/>
          <w:b/>
          <w:bCs/>
          <w:sz w:val="20"/>
          <w:szCs w:val="20"/>
        </w:rPr>
        <w:t xml:space="preserve">ample </w:t>
      </w:r>
      <w:r>
        <w:rPr>
          <w:rFonts w:ascii="Times New Roman" w:hAnsi="Times New Roman" w:cs="Times New Roman"/>
          <w:b/>
          <w:bCs/>
          <w:sz w:val="20"/>
          <w:szCs w:val="20"/>
        </w:rPr>
        <w:t>D</w:t>
      </w:r>
      <w:r w:rsidRPr="00460990">
        <w:rPr>
          <w:rFonts w:ascii="Times New Roman" w:hAnsi="Times New Roman" w:cs="Times New Roman"/>
          <w:b/>
          <w:bCs/>
          <w:sz w:val="20"/>
          <w:szCs w:val="20"/>
        </w:rPr>
        <w:t>escription</w:t>
      </w:r>
    </w:p>
    <w:p w14:paraId="48CE9536" w14:textId="77777777" w:rsidR="004D5D50" w:rsidRPr="00987345" w:rsidRDefault="004D5D50" w:rsidP="004D5D50">
      <w:pPr>
        <w:spacing w:after="0"/>
        <w:jc w:val="both"/>
        <w:rPr>
          <w:rFonts w:ascii="Times New Roman" w:hAnsi="Times New Roman" w:cs="Times New Roman"/>
          <w:sz w:val="20"/>
          <w:szCs w:val="20"/>
        </w:rPr>
      </w:pPr>
      <w:r>
        <w:rPr>
          <w:rFonts w:ascii="Times New Roman" w:hAnsi="Times New Roman" w:cs="Times New Roman"/>
          <w:sz w:val="20"/>
          <w:szCs w:val="20"/>
        </w:rPr>
        <w:t xml:space="preserve">This table reports descriptive statistics for the valuation model estimation sample. Variables whose names are in upper case letters are raw variables, whereas variables whose names are in lower case are in logs. ME is market value of equity as of June 30. BE is book value of common equity plus balance sheet deferred taxes as of the last reported fiscal year-end. EARN are adjusted earnings as of the last reported fiscal year-end, equal to income before extraordinary items attributable to common stockholders minus special items plus R&amp;D expense minus R&amp;D amortization. RD is capitalized R&amp;D as of the last reported fiscal year-end, computed under the assumptions of useful life of five years and a straight-line amortization of 20%. ROE is return on equity computed as adjusted earnings (EARN) divided by book value of common equity (BE). LEV is book leverage computed as short-term debt plus long-term debt, divided by total assets. </w:t>
      </w:r>
      <w:r w:rsidRPr="00987345">
        <w:rPr>
          <w:rFonts w:ascii="Times New Roman" w:hAnsi="Times New Roman" w:cs="Times New Roman"/>
          <w:sz w:val="20"/>
          <w:szCs w:val="20"/>
        </w:rPr>
        <w:t>I</w:t>
      </w:r>
      <w:r w:rsidRPr="00E963E6">
        <w:rPr>
          <w:rFonts w:ascii="Times New Roman" w:hAnsi="Times New Roman" w:cs="Times New Roman"/>
          <w:sz w:val="20"/>
          <w:szCs w:val="20"/>
          <w:vertAlign w:val="subscript"/>
        </w:rPr>
        <w:t>EARN</w:t>
      </w:r>
      <w:r w:rsidRPr="00987345">
        <w:rPr>
          <w:rFonts w:ascii="Times New Roman" w:hAnsi="Times New Roman" w:cs="Times New Roman"/>
          <w:sz w:val="20"/>
          <w:szCs w:val="20"/>
        </w:rPr>
        <w:t xml:space="preserve">&lt;0 is an indicator variable for firms with negative adjusted earnings. </w:t>
      </w:r>
      <w:r w:rsidRPr="00860819">
        <w:rPr>
          <w:rFonts w:ascii="Times New Roman" w:hAnsi="Times New Roman" w:cs="Times New Roman"/>
          <w:i/>
          <w:sz w:val="20"/>
          <w:szCs w:val="20"/>
        </w:rPr>
        <w:t>m</w:t>
      </w:r>
      <w:r w:rsidRPr="00987345">
        <w:rPr>
          <w:rFonts w:ascii="Times New Roman" w:hAnsi="Times New Roman" w:cs="Times New Roman"/>
          <w:sz w:val="20"/>
          <w:szCs w:val="20"/>
        </w:rPr>
        <w:t xml:space="preserve"> is log market value of equity as of June 30. </w:t>
      </w:r>
      <w:r w:rsidRPr="00860819">
        <w:rPr>
          <w:rFonts w:ascii="Times New Roman" w:hAnsi="Times New Roman" w:cs="Times New Roman"/>
          <w:i/>
          <w:sz w:val="20"/>
          <w:szCs w:val="20"/>
        </w:rPr>
        <w:t>b</w:t>
      </w:r>
      <w:r w:rsidRPr="00987345">
        <w:rPr>
          <w:rFonts w:ascii="Times New Roman" w:hAnsi="Times New Roman" w:cs="Times New Roman"/>
          <w:sz w:val="20"/>
          <w:szCs w:val="20"/>
        </w:rPr>
        <w:t xml:space="preserve"> is log book value of equity as of the last reported fiscal year-end. </w:t>
      </w:r>
      <w:r w:rsidRPr="00860819">
        <w:rPr>
          <w:rFonts w:ascii="Times New Roman" w:hAnsi="Times New Roman" w:cs="Times New Roman"/>
          <w:i/>
          <w:sz w:val="20"/>
          <w:szCs w:val="20"/>
        </w:rPr>
        <w:t>|earn|</w:t>
      </w:r>
      <w:r w:rsidRPr="00987345">
        <w:rPr>
          <w:rFonts w:ascii="Times New Roman" w:hAnsi="Times New Roman" w:cs="Times New Roman"/>
          <w:sz w:val="20"/>
          <w:szCs w:val="20"/>
        </w:rPr>
        <w:t xml:space="preserve"> is log of absolute adjusted earnings as of the last reported fiscal year-end. </w:t>
      </w:r>
      <w:proofErr w:type="spellStart"/>
      <w:r w:rsidRPr="00860819">
        <w:rPr>
          <w:rFonts w:ascii="Times New Roman" w:hAnsi="Times New Roman" w:cs="Times New Roman"/>
          <w:i/>
          <w:sz w:val="20"/>
          <w:szCs w:val="20"/>
        </w:rPr>
        <w:t>rd</w:t>
      </w:r>
      <w:proofErr w:type="spellEnd"/>
      <w:r w:rsidRPr="00987345">
        <w:rPr>
          <w:rFonts w:ascii="Times New Roman" w:hAnsi="Times New Roman" w:cs="Times New Roman"/>
          <w:sz w:val="20"/>
          <w:szCs w:val="20"/>
        </w:rPr>
        <w:t xml:space="preserve"> is log of </w:t>
      </w:r>
      <w:r>
        <w:rPr>
          <w:rFonts w:ascii="Times New Roman" w:hAnsi="Times New Roman" w:cs="Times New Roman"/>
          <w:sz w:val="20"/>
          <w:szCs w:val="20"/>
        </w:rPr>
        <w:t>(1 + RD)</w:t>
      </w:r>
      <w:r w:rsidRPr="00987345">
        <w:rPr>
          <w:rFonts w:ascii="Times New Roman" w:hAnsi="Times New Roman" w:cs="Times New Roman"/>
          <w:sz w:val="20"/>
          <w:szCs w:val="20"/>
        </w:rPr>
        <w:t xml:space="preserve"> as of the last reported fiscal year-end. </w:t>
      </w:r>
      <w:r>
        <w:rPr>
          <w:rFonts w:ascii="Times New Roman" w:hAnsi="Times New Roman" w:cs="Times New Roman"/>
          <w:sz w:val="20"/>
          <w:szCs w:val="20"/>
        </w:rPr>
        <w:t>The sample includes 129,074 firm-year observations. The sample period runs from 1975 to 2022 (48 years). Detailed variables definitions are provided in the Appendix of the paper.</w:t>
      </w:r>
    </w:p>
    <w:p w14:paraId="383F19F3" w14:textId="77777777" w:rsidR="004D5D50" w:rsidRDefault="004D5D50" w:rsidP="004D5D50">
      <w:pPr>
        <w:spacing w:after="0" w:line="240" w:lineRule="auto"/>
        <w:rPr>
          <w:rFonts w:ascii="Times New Roman" w:hAnsi="Times New Roman" w:cs="Times New Roman"/>
          <w:sz w:val="20"/>
          <w:szCs w:val="20"/>
        </w:rPr>
      </w:pPr>
    </w:p>
    <w:tbl>
      <w:tblPr>
        <w:tblW w:w="5000" w:type="pct"/>
        <w:tblLook w:val="04A0" w:firstRow="1" w:lastRow="0" w:firstColumn="1" w:lastColumn="0" w:noHBand="0" w:noVBand="1"/>
      </w:tblPr>
      <w:tblGrid>
        <w:gridCol w:w="1182"/>
        <w:gridCol w:w="1030"/>
        <w:gridCol w:w="1087"/>
        <w:gridCol w:w="1016"/>
        <w:gridCol w:w="1083"/>
        <w:gridCol w:w="918"/>
        <w:gridCol w:w="861"/>
        <w:gridCol w:w="861"/>
        <w:gridCol w:w="862"/>
        <w:gridCol w:w="862"/>
        <w:gridCol w:w="916"/>
        <w:gridCol w:w="1016"/>
        <w:gridCol w:w="1266"/>
      </w:tblGrid>
      <w:tr w:rsidR="004D5D50" w:rsidRPr="00617362" w14:paraId="05050760" w14:textId="77777777" w:rsidTr="004A2E8B">
        <w:trPr>
          <w:trHeight w:val="255"/>
        </w:trPr>
        <w:tc>
          <w:tcPr>
            <w:tcW w:w="467" w:type="pct"/>
            <w:tcBorders>
              <w:top w:val="single" w:sz="4" w:space="0" w:color="auto"/>
              <w:left w:val="nil"/>
              <w:bottom w:val="single" w:sz="4" w:space="0" w:color="auto"/>
              <w:right w:val="nil"/>
            </w:tcBorders>
            <w:noWrap/>
            <w:vAlign w:val="center"/>
            <w:hideMark/>
          </w:tcPr>
          <w:p w14:paraId="67D3573E"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 </w:t>
            </w:r>
          </w:p>
        </w:tc>
        <w:tc>
          <w:tcPr>
            <w:tcW w:w="408" w:type="pct"/>
            <w:tcBorders>
              <w:top w:val="single" w:sz="4" w:space="0" w:color="auto"/>
              <w:left w:val="nil"/>
              <w:bottom w:val="single" w:sz="4" w:space="0" w:color="auto"/>
              <w:right w:val="nil"/>
            </w:tcBorders>
            <w:noWrap/>
            <w:vAlign w:val="center"/>
            <w:hideMark/>
          </w:tcPr>
          <w:p w14:paraId="31C6C8CE"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N</w:t>
            </w:r>
          </w:p>
        </w:tc>
        <w:tc>
          <w:tcPr>
            <w:tcW w:w="430" w:type="pct"/>
            <w:tcBorders>
              <w:top w:val="single" w:sz="4" w:space="0" w:color="auto"/>
              <w:left w:val="nil"/>
              <w:bottom w:val="single" w:sz="4" w:space="0" w:color="auto"/>
              <w:right w:val="nil"/>
            </w:tcBorders>
            <w:noWrap/>
            <w:vAlign w:val="center"/>
            <w:hideMark/>
          </w:tcPr>
          <w:p w14:paraId="3212542A"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Mean</w:t>
            </w:r>
          </w:p>
        </w:tc>
        <w:tc>
          <w:tcPr>
            <w:tcW w:w="392" w:type="pct"/>
            <w:tcBorders>
              <w:top w:val="single" w:sz="4" w:space="0" w:color="auto"/>
              <w:left w:val="nil"/>
              <w:bottom w:val="single" w:sz="4" w:space="0" w:color="auto"/>
              <w:right w:val="nil"/>
            </w:tcBorders>
            <w:noWrap/>
            <w:vAlign w:val="center"/>
            <w:hideMark/>
          </w:tcPr>
          <w:p w14:paraId="0433941F"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SD</w:t>
            </w:r>
          </w:p>
        </w:tc>
        <w:tc>
          <w:tcPr>
            <w:tcW w:w="387" w:type="pct"/>
            <w:tcBorders>
              <w:top w:val="single" w:sz="4" w:space="0" w:color="auto"/>
              <w:left w:val="nil"/>
              <w:bottom w:val="single" w:sz="4" w:space="0" w:color="auto"/>
              <w:right w:val="nil"/>
            </w:tcBorders>
            <w:noWrap/>
            <w:vAlign w:val="center"/>
            <w:hideMark/>
          </w:tcPr>
          <w:p w14:paraId="49C619F7"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Min</w:t>
            </w:r>
          </w:p>
        </w:tc>
        <w:tc>
          <w:tcPr>
            <w:tcW w:w="365" w:type="pct"/>
            <w:tcBorders>
              <w:top w:val="single" w:sz="4" w:space="0" w:color="auto"/>
              <w:left w:val="nil"/>
              <w:bottom w:val="single" w:sz="4" w:space="0" w:color="auto"/>
              <w:right w:val="nil"/>
            </w:tcBorders>
            <w:noWrap/>
            <w:vAlign w:val="center"/>
            <w:hideMark/>
          </w:tcPr>
          <w:p w14:paraId="4FDEF51E"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1%</w:t>
            </w:r>
          </w:p>
        </w:tc>
        <w:tc>
          <w:tcPr>
            <w:tcW w:w="343" w:type="pct"/>
            <w:tcBorders>
              <w:top w:val="single" w:sz="4" w:space="0" w:color="auto"/>
              <w:left w:val="nil"/>
              <w:bottom w:val="single" w:sz="4" w:space="0" w:color="auto"/>
              <w:right w:val="nil"/>
            </w:tcBorders>
            <w:noWrap/>
            <w:vAlign w:val="center"/>
            <w:hideMark/>
          </w:tcPr>
          <w:p w14:paraId="376E5851"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5%</w:t>
            </w:r>
          </w:p>
        </w:tc>
        <w:tc>
          <w:tcPr>
            <w:tcW w:w="343" w:type="pct"/>
            <w:tcBorders>
              <w:top w:val="single" w:sz="4" w:space="0" w:color="auto"/>
              <w:left w:val="nil"/>
              <w:bottom w:val="single" w:sz="4" w:space="0" w:color="auto"/>
              <w:right w:val="nil"/>
            </w:tcBorders>
            <w:noWrap/>
            <w:vAlign w:val="center"/>
            <w:hideMark/>
          </w:tcPr>
          <w:p w14:paraId="1F3EDBCB"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25%</w:t>
            </w:r>
          </w:p>
        </w:tc>
        <w:tc>
          <w:tcPr>
            <w:tcW w:w="343" w:type="pct"/>
            <w:tcBorders>
              <w:top w:val="single" w:sz="4" w:space="0" w:color="auto"/>
              <w:left w:val="nil"/>
              <w:bottom w:val="single" w:sz="4" w:space="0" w:color="auto"/>
              <w:right w:val="nil"/>
            </w:tcBorders>
            <w:noWrap/>
            <w:vAlign w:val="center"/>
            <w:hideMark/>
          </w:tcPr>
          <w:p w14:paraId="4982AF58"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Median</w:t>
            </w:r>
          </w:p>
        </w:tc>
        <w:tc>
          <w:tcPr>
            <w:tcW w:w="343" w:type="pct"/>
            <w:tcBorders>
              <w:top w:val="single" w:sz="4" w:space="0" w:color="auto"/>
              <w:left w:val="nil"/>
              <w:bottom w:val="single" w:sz="4" w:space="0" w:color="auto"/>
              <w:right w:val="nil"/>
            </w:tcBorders>
            <w:noWrap/>
            <w:vAlign w:val="center"/>
            <w:hideMark/>
          </w:tcPr>
          <w:p w14:paraId="358DB071"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75%</w:t>
            </w:r>
          </w:p>
        </w:tc>
        <w:tc>
          <w:tcPr>
            <w:tcW w:w="353" w:type="pct"/>
            <w:tcBorders>
              <w:top w:val="single" w:sz="4" w:space="0" w:color="auto"/>
              <w:left w:val="nil"/>
              <w:bottom w:val="single" w:sz="4" w:space="0" w:color="auto"/>
              <w:right w:val="nil"/>
            </w:tcBorders>
            <w:noWrap/>
            <w:vAlign w:val="center"/>
            <w:hideMark/>
          </w:tcPr>
          <w:p w14:paraId="17B6A0FE"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95%</w:t>
            </w:r>
          </w:p>
        </w:tc>
        <w:tc>
          <w:tcPr>
            <w:tcW w:w="392" w:type="pct"/>
            <w:tcBorders>
              <w:top w:val="single" w:sz="4" w:space="0" w:color="auto"/>
              <w:left w:val="nil"/>
              <w:bottom w:val="single" w:sz="4" w:space="0" w:color="auto"/>
              <w:right w:val="nil"/>
            </w:tcBorders>
            <w:noWrap/>
            <w:vAlign w:val="center"/>
            <w:hideMark/>
          </w:tcPr>
          <w:p w14:paraId="544ADDC1"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99%</w:t>
            </w:r>
          </w:p>
        </w:tc>
        <w:tc>
          <w:tcPr>
            <w:tcW w:w="436" w:type="pct"/>
            <w:tcBorders>
              <w:top w:val="single" w:sz="4" w:space="0" w:color="auto"/>
              <w:left w:val="nil"/>
              <w:bottom w:val="single" w:sz="4" w:space="0" w:color="auto"/>
              <w:right w:val="nil"/>
            </w:tcBorders>
            <w:noWrap/>
            <w:vAlign w:val="center"/>
            <w:hideMark/>
          </w:tcPr>
          <w:p w14:paraId="572A18C4" w14:textId="77777777" w:rsidR="004D5D50" w:rsidRPr="001E501A"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1E501A">
              <w:rPr>
                <w:rFonts w:ascii="Times New Roman" w:eastAsia="Times New Roman" w:hAnsi="Times New Roman" w:cs="Times New Roman"/>
                <w:bCs/>
                <w:color w:val="000000"/>
                <w:sz w:val="20"/>
                <w:szCs w:val="20"/>
                <w:lang w:eastAsia="en-CA"/>
              </w:rPr>
              <w:t>Max</w:t>
            </w:r>
          </w:p>
        </w:tc>
      </w:tr>
      <w:tr w:rsidR="004D5D50" w:rsidRPr="00617362" w14:paraId="4289B400" w14:textId="77777777" w:rsidTr="004A2E8B">
        <w:trPr>
          <w:trHeight w:val="270"/>
        </w:trPr>
        <w:tc>
          <w:tcPr>
            <w:tcW w:w="467" w:type="pct"/>
            <w:tcBorders>
              <w:top w:val="nil"/>
              <w:left w:val="nil"/>
              <w:bottom w:val="nil"/>
              <w:right w:val="nil"/>
            </w:tcBorders>
            <w:noWrap/>
            <w:vAlign w:val="center"/>
            <w:hideMark/>
          </w:tcPr>
          <w:p w14:paraId="2CF89E21" w14:textId="77777777" w:rsidR="004D5D50" w:rsidRPr="00617362" w:rsidRDefault="004D5D50" w:rsidP="004A2E8B">
            <w:pPr>
              <w:spacing w:after="0" w:line="240" w:lineRule="auto"/>
              <w:rPr>
                <w:rFonts w:ascii="Times New Roman" w:eastAsia="Times New Roman" w:hAnsi="Times New Roman" w:cs="Times New Roman"/>
                <w:b/>
                <w:bCs/>
                <w:i/>
                <w:iCs/>
                <w:color w:val="000000"/>
                <w:sz w:val="20"/>
                <w:szCs w:val="20"/>
                <w:lang w:eastAsia="en-CA"/>
              </w:rPr>
            </w:pPr>
            <w:r w:rsidRPr="00617362">
              <w:rPr>
                <w:rFonts w:ascii="Times New Roman" w:eastAsia="Times New Roman" w:hAnsi="Times New Roman" w:cs="Times New Roman"/>
                <w:b/>
                <w:bCs/>
                <w:i/>
                <w:iCs/>
                <w:color w:val="000000"/>
                <w:sz w:val="20"/>
                <w:szCs w:val="20"/>
                <w:lang w:eastAsia="en-CA"/>
              </w:rPr>
              <w:t>Raw values</w:t>
            </w:r>
          </w:p>
        </w:tc>
        <w:tc>
          <w:tcPr>
            <w:tcW w:w="408" w:type="pct"/>
            <w:tcBorders>
              <w:top w:val="nil"/>
              <w:left w:val="nil"/>
              <w:bottom w:val="nil"/>
              <w:right w:val="nil"/>
            </w:tcBorders>
            <w:noWrap/>
            <w:vAlign w:val="center"/>
            <w:hideMark/>
          </w:tcPr>
          <w:p w14:paraId="58D730ED" w14:textId="77777777" w:rsidR="004D5D50" w:rsidRPr="00617362" w:rsidRDefault="004D5D50" w:rsidP="004A2E8B">
            <w:pPr>
              <w:spacing w:after="0" w:line="240" w:lineRule="auto"/>
              <w:rPr>
                <w:rFonts w:ascii="Times New Roman" w:eastAsia="Times New Roman" w:hAnsi="Times New Roman" w:cs="Times New Roman"/>
                <w:b/>
                <w:bCs/>
                <w:i/>
                <w:iCs/>
                <w:color w:val="000000"/>
                <w:sz w:val="20"/>
                <w:szCs w:val="20"/>
                <w:lang w:eastAsia="en-CA"/>
              </w:rPr>
            </w:pPr>
          </w:p>
        </w:tc>
        <w:tc>
          <w:tcPr>
            <w:tcW w:w="430" w:type="pct"/>
            <w:tcBorders>
              <w:top w:val="nil"/>
              <w:left w:val="nil"/>
              <w:bottom w:val="nil"/>
              <w:right w:val="nil"/>
            </w:tcBorders>
            <w:noWrap/>
            <w:vAlign w:val="center"/>
            <w:hideMark/>
          </w:tcPr>
          <w:p w14:paraId="527CE53D"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92" w:type="pct"/>
            <w:tcBorders>
              <w:top w:val="nil"/>
              <w:left w:val="nil"/>
              <w:bottom w:val="nil"/>
              <w:right w:val="nil"/>
            </w:tcBorders>
            <w:noWrap/>
            <w:vAlign w:val="center"/>
            <w:hideMark/>
          </w:tcPr>
          <w:p w14:paraId="1C7339A4"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87" w:type="pct"/>
            <w:tcBorders>
              <w:top w:val="nil"/>
              <w:left w:val="nil"/>
              <w:bottom w:val="nil"/>
              <w:right w:val="nil"/>
            </w:tcBorders>
            <w:noWrap/>
            <w:vAlign w:val="center"/>
            <w:hideMark/>
          </w:tcPr>
          <w:p w14:paraId="0B771250"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65" w:type="pct"/>
            <w:tcBorders>
              <w:top w:val="nil"/>
              <w:left w:val="nil"/>
              <w:bottom w:val="nil"/>
              <w:right w:val="nil"/>
            </w:tcBorders>
            <w:noWrap/>
            <w:vAlign w:val="center"/>
            <w:hideMark/>
          </w:tcPr>
          <w:p w14:paraId="72063058"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center"/>
            <w:hideMark/>
          </w:tcPr>
          <w:p w14:paraId="7279A364"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center"/>
            <w:hideMark/>
          </w:tcPr>
          <w:p w14:paraId="3F7E243F"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center"/>
            <w:hideMark/>
          </w:tcPr>
          <w:p w14:paraId="65415489"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center"/>
            <w:hideMark/>
          </w:tcPr>
          <w:p w14:paraId="1654E8D5"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53" w:type="pct"/>
            <w:tcBorders>
              <w:top w:val="nil"/>
              <w:left w:val="nil"/>
              <w:bottom w:val="nil"/>
              <w:right w:val="nil"/>
            </w:tcBorders>
            <w:noWrap/>
            <w:vAlign w:val="center"/>
            <w:hideMark/>
          </w:tcPr>
          <w:p w14:paraId="5274FDC8"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92" w:type="pct"/>
            <w:tcBorders>
              <w:top w:val="nil"/>
              <w:left w:val="nil"/>
              <w:bottom w:val="nil"/>
              <w:right w:val="nil"/>
            </w:tcBorders>
            <w:noWrap/>
            <w:vAlign w:val="center"/>
            <w:hideMark/>
          </w:tcPr>
          <w:p w14:paraId="6D38C9A7"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436" w:type="pct"/>
            <w:tcBorders>
              <w:top w:val="nil"/>
              <w:left w:val="nil"/>
              <w:bottom w:val="nil"/>
              <w:right w:val="nil"/>
            </w:tcBorders>
            <w:noWrap/>
            <w:vAlign w:val="center"/>
            <w:hideMark/>
          </w:tcPr>
          <w:p w14:paraId="369D105E"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r>
      <w:tr w:rsidR="004D5D50" w:rsidRPr="00617362" w14:paraId="40D0C9F6" w14:textId="77777777" w:rsidTr="004A2E8B">
        <w:trPr>
          <w:trHeight w:val="255"/>
        </w:trPr>
        <w:tc>
          <w:tcPr>
            <w:tcW w:w="467" w:type="pct"/>
            <w:tcBorders>
              <w:top w:val="nil"/>
              <w:left w:val="nil"/>
              <w:bottom w:val="nil"/>
              <w:right w:val="nil"/>
            </w:tcBorders>
            <w:noWrap/>
            <w:vAlign w:val="center"/>
            <w:hideMark/>
          </w:tcPr>
          <w:p w14:paraId="37CB3346"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ME</w:t>
            </w:r>
          </w:p>
        </w:tc>
        <w:tc>
          <w:tcPr>
            <w:tcW w:w="408" w:type="pct"/>
            <w:tcBorders>
              <w:top w:val="nil"/>
              <w:left w:val="nil"/>
              <w:bottom w:val="nil"/>
              <w:right w:val="nil"/>
            </w:tcBorders>
            <w:noWrap/>
            <w:vAlign w:val="bottom"/>
            <w:hideMark/>
          </w:tcPr>
          <w:p w14:paraId="097AE50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4AB08319"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890.21</w:t>
            </w:r>
          </w:p>
        </w:tc>
        <w:tc>
          <w:tcPr>
            <w:tcW w:w="392" w:type="pct"/>
            <w:tcBorders>
              <w:top w:val="nil"/>
              <w:left w:val="nil"/>
              <w:bottom w:val="nil"/>
              <w:right w:val="nil"/>
            </w:tcBorders>
            <w:noWrap/>
            <w:vAlign w:val="bottom"/>
            <w:hideMark/>
          </w:tcPr>
          <w:p w14:paraId="70A23C3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22</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081.91</w:t>
            </w:r>
          </w:p>
        </w:tc>
        <w:tc>
          <w:tcPr>
            <w:tcW w:w="387" w:type="pct"/>
            <w:tcBorders>
              <w:top w:val="nil"/>
              <w:left w:val="nil"/>
              <w:bottom w:val="nil"/>
              <w:right w:val="nil"/>
            </w:tcBorders>
            <w:noWrap/>
            <w:vAlign w:val="bottom"/>
            <w:hideMark/>
          </w:tcPr>
          <w:p w14:paraId="1AECAD3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10.00</w:t>
            </w:r>
          </w:p>
        </w:tc>
        <w:tc>
          <w:tcPr>
            <w:tcW w:w="365" w:type="pct"/>
            <w:tcBorders>
              <w:top w:val="nil"/>
              <w:left w:val="nil"/>
              <w:bottom w:val="nil"/>
              <w:right w:val="nil"/>
            </w:tcBorders>
            <w:noWrap/>
            <w:vAlign w:val="bottom"/>
            <w:hideMark/>
          </w:tcPr>
          <w:p w14:paraId="04BD3F6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10.89</w:t>
            </w:r>
          </w:p>
        </w:tc>
        <w:tc>
          <w:tcPr>
            <w:tcW w:w="343" w:type="pct"/>
            <w:tcBorders>
              <w:top w:val="nil"/>
              <w:left w:val="nil"/>
              <w:bottom w:val="nil"/>
              <w:right w:val="nil"/>
            </w:tcBorders>
            <w:noWrap/>
            <w:vAlign w:val="bottom"/>
            <w:hideMark/>
          </w:tcPr>
          <w:p w14:paraId="6B35AC3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14.52</w:t>
            </w:r>
          </w:p>
        </w:tc>
        <w:tc>
          <w:tcPr>
            <w:tcW w:w="343" w:type="pct"/>
            <w:tcBorders>
              <w:top w:val="nil"/>
              <w:left w:val="nil"/>
              <w:bottom w:val="nil"/>
              <w:right w:val="nil"/>
            </w:tcBorders>
            <w:noWrap/>
            <w:vAlign w:val="bottom"/>
            <w:hideMark/>
          </w:tcPr>
          <w:p w14:paraId="051C2EA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46.67</w:t>
            </w:r>
          </w:p>
        </w:tc>
        <w:tc>
          <w:tcPr>
            <w:tcW w:w="343" w:type="pct"/>
            <w:tcBorders>
              <w:top w:val="nil"/>
              <w:left w:val="nil"/>
              <w:bottom w:val="nil"/>
              <w:right w:val="nil"/>
            </w:tcBorders>
            <w:noWrap/>
            <w:vAlign w:val="bottom"/>
            <w:hideMark/>
          </w:tcPr>
          <w:p w14:paraId="25371FA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185.72</w:t>
            </w:r>
          </w:p>
        </w:tc>
        <w:tc>
          <w:tcPr>
            <w:tcW w:w="343" w:type="pct"/>
            <w:tcBorders>
              <w:top w:val="nil"/>
              <w:left w:val="nil"/>
              <w:bottom w:val="nil"/>
              <w:right w:val="nil"/>
            </w:tcBorders>
            <w:noWrap/>
            <w:vAlign w:val="bottom"/>
            <w:hideMark/>
          </w:tcPr>
          <w:p w14:paraId="4EC51E3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918.09</w:t>
            </w:r>
          </w:p>
        </w:tc>
        <w:tc>
          <w:tcPr>
            <w:tcW w:w="353" w:type="pct"/>
            <w:tcBorders>
              <w:top w:val="nil"/>
              <w:left w:val="nil"/>
              <w:bottom w:val="nil"/>
              <w:right w:val="nil"/>
            </w:tcBorders>
            <w:noWrap/>
            <w:vAlign w:val="bottom"/>
            <w:hideMark/>
          </w:tcPr>
          <w:p w14:paraId="7B25A6D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9</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160.11</w:t>
            </w:r>
          </w:p>
        </w:tc>
        <w:tc>
          <w:tcPr>
            <w:tcW w:w="392" w:type="pct"/>
            <w:tcBorders>
              <w:top w:val="nil"/>
              <w:left w:val="nil"/>
              <w:bottom w:val="nil"/>
              <w:right w:val="nil"/>
            </w:tcBorders>
            <w:noWrap/>
            <w:vAlign w:val="bottom"/>
            <w:hideMark/>
          </w:tcPr>
          <w:p w14:paraId="6E7F0F3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48</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395.22</w:t>
            </w:r>
          </w:p>
        </w:tc>
        <w:tc>
          <w:tcPr>
            <w:tcW w:w="436" w:type="pct"/>
            <w:tcBorders>
              <w:top w:val="nil"/>
              <w:left w:val="nil"/>
              <w:bottom w:val="nil"/>
              <w:right w:val="nil"/>
            </w:tcBorders>
            <w:noWrap/>
            <w:vAlign w:val="bottom"/>
            <w:hideMark/>
          </w:tcPr>
          <w:p w14:paraId="1B770A3F"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301</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249.84</w:t>
            </w:r>
          </w:p>
        </w:tc>
      </w:tr>
      <w:tr w:rsidR="004D5D50" w:rsidRPr="00617362" w14:paraId="0C327C06" w14:textId="77777777" w:rsidTr="004A2E8B">
        <w:trPr>
          <w:trHeight w:val="255"/>
        </w:trPr>
        <w:tc>
          <w:tcPr>
            <w:tcW w:w="467" w:type="pct"/>
            <w:tcBorders>
              <w:top w:val="nil"/>
              <w:left w:val="nil"/>
              <w:bottom w:val="nil"/>
              <w:right w:val="nil"/>
            </w:tcBorders>
            <w:noWrap/>
            <w:vAlign w:val="center"/>
            <w:hideMark/>
          </w:tcPr>
          <w:p w14:paraId="24E0A940"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BE</w:t>
            </w:r>
          </w:p>
        </w:tc>
        <w:tc>
          <w:tcPr>
            <w:tcW w:w="408" w:type="pct"/>
            <w:tcBorders>
              <w:top w:val="nil"/>
              <w:left w:val="nil"/>
              <w:bottom w:val="nil"/>
              <w:right w:val="nil"/>
            </w:tcBorders>
            <w:noWrap/>
            <w:vAlign w:val="bottom"/>
            <w:hideMark/>
          </w:tcPr>
          <w:p w14:paraId="59C9CFA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2E2FCD2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999.49</w:t>
            </w:r>
          </w:p>
        </w:tc>
        <w:tc>
          <w:tcPr>
            <w:tcW w:w="392" w:type="pct"/>
            <w:tcBorders>
              <w:top w:val="nil"/>
              <w:left w:val="nil"/>
              <w:bottom w:val="nil"/>
              <w:right w:val="nil"/>
            </w:tcBorders>
            <w:noWrap/>
            <w:vAlign w:val="bottom"/>
            <w:hideMark/>
          </w:tcPr>
          <w:p w14:paraId="7ADE0D5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5463.62</w:t>
            </w:r>
          </w:p>
        </w:tc>
        <w:tc>
          <w:tcPr>
            <w:tcW w:w="387" w:type="pct"/>
            <w:tcBorders>
              <w:top w:val="nil"/>
              <w:left w:val="nil"/>
              <w:bottom w:val="nil"/>
              <w:right w:val="nil"/>
            </w:tcBorders>
            <w:noWrap/>
            <w:vAlign w:val="bottom"/>
            <w:hideMark/>
          </w:tcPr>
          <w:p w14:paraId="33B2709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0.19</w:t>
            </w:r>
          </w:p>
        </w:tc>
        <w:tc>
          <w:tcPr>
            <w:tcW w:w="365" w:type="pct"/>
            <w:tcBorders>
              <w:top w:val="nil"/>
              <w:left w:val="nil"/>
              <w:bottom w:val="nil"/>
              <w:right w:val="nil"/>
            </w:tcBorders>
            <w:noWrap/>
            <w:vAlign w:val="bottom"/>
            <w:hideMark/>
          </w:tcPr>
          <w:p w14:paraId="5F96FEE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2.41</w:t>
            </w:r>
          </w:p>
        </w:tc>
        <w:tc>
          <w:tcPr>
            <w:tcW w:w="343" w:type="pct"/>
            <w:tcBorders>
              <w:top w:val="nil"/>
              <w:left w:val="nil"/>
              <w:bottom w:val="nil"/>
              <w:right w:val="nil"/>
            </w:tcBorders>
            <w:noWrap/>
            <w:vAlign w:val="bottom"/>
            <w:hideMark/>
          </w:tcPr>
          <w:p w14:paraId="3EBD521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6.69</w:t>
            </w:r>
          </w:p>
        </w:tc>
        <w:tc>
          <w:tcPr>
            <w:tcW w:w="343" w:type="pct"/>
            <w:tcBorders>
              <w:top w:val="nil"/>
              <w:left w:val="nil"/>
              <w:bottom w:val="nil"/>
              <w:right w:val="nil"/>
            </w:tcBorders>
            <w:noWrap/>
            <w:vAlign w:val="bottom"/>
            <w:hideMark/>
          </w:tcPr>
          <w:p w14:paraId="0002E6FE"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28.65</w:t>
            </w:r>
          </w:p>
        </w:tc>
        <w:tc>
          <w:tcPr>
            <w:tcW w:w="343" w:type="pct"/>
            <w:tcBorders>
              <w:top w:val="nil"/>
              <w:left w:val="nil"/>
              <w:bottom w:val="nil"/>
              <w:right w:val="nil"/>
            </w:tcBorders>
            <w:noWrap/>
            <w:vAlign w:val="bottom"/>
            <w:hideMark/>
          </w:tcPr>
          <w:p w14:paraId="0A645F5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96.18</w:t>
            </w:r>
          </w:p>
        </w:tc>
        <w:tc>
          <w:tcPr>
            <w:tcW w:w="343" w:type="pct"/>
            <w:tcBorders>
              <w:top w:val="nil"/>
              <w:left w:val="nil"/>
              <w:bottom w:val="nil"/>
              <w:right w:val="nil"/>
            </w:tcBorders>
            <w:noWrap/>
            <w:vAlign w:val="bottom"/>
            <w:hideMark/>
          </w:tcPr>
          <w:p w14:paraId="47A94D0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416.81</w:t>
            </w:r>
          </w:p>
        </w:tc>
        <w:tc>
          <w:tcPr>
            <w:tcW w:w="353" w:type="pct"/>
            <w:tcBorders>
              <w:top w:val="nil"/>
              <w:left w:val="nil"/>
              <w:bottom w:val="nil"/>
              <w:right w:val="nil"/>
            </w:tcBorders>
            <w:noWrap/>
            <w:vAlign w:val="bottom"/>
            <w:hideMark/>
          </w:tcPr>
          <w:p w14:paraId="44FC68A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3</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551.86</w:t>
            </w:r>
          </w:p>
        </w:tc>
        <w:tc>
          <w:tcPr>
            <w:tcW w:w="392" w:type="pct"/>
            <w:tcBorders>
              <w:top w:val="nil"/>
              <w:left w:val="nil"/>
              <w:bottom w:val="nil"/>
              <w:right w:val="nil"/>
            </w:tcBorders>
            <w:noWrap/>
            <w:vAlign w:val="bottom"/>
            <w:hideMark/>
          </w:tcPr>
          <w:p w14:paraId="22483D2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16</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318.94</w:t>
            </w:r>
          </w:p>
        </w:tc>
        <w:tc>
          <w:tcPr>
            <w:tcW w:w="436" w:type="pct"/>
            <w:tcBorders>
              <w:top w:val="nil"/>
              <w:left w:val="nil"/>
              <w:bottom w:val="nil"/>
              <w:right w:val="nil"/>
            </w:tcBorders>
            <w:noWrap/>
            <w:vAlign w:val="bottom"/>
            <w:hideMark/>
          </w:tcPr>
          <w:p w14:paraId="485F545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243</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723.00</w:t>
            </w:r>
          </w:p>
        </w:tc>
      </w:tr>
      <w:tr w:rsidR="004D5D50" w:rsidRPr="00617362" w14:paraId="36E3422D" w14:textId="77777777" w:rsidTr="004A2E8B">
        <w:trPr>
          <w:trHeight w:val="255"/>
        </w:trPr>
        <w:tc>
          <w:tcPr>
            <w:tcW w:w="467" w:type="pct"/>
            <w:tcBorders>
              <w:top w:val="nil"/>
              <w:left w:val="nil"/>
              <w:bottom w:val="nil"/>
              <w:right w:val="nil"/>
            </w:tcBorders>
            <w:noWrap/>
            <w:vAlign w:val="center"/>
            <w:hideMark/>
          </w:tcPr>
          <w:p w14:paraId="07CCA86E"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EARN</w:t>
            </w:r>
          </w:p>
        </w:tc>
        <w:tc>
          <w:tcPr>
            <w:tcW w:w="408" w:type="pct"/>
            <w:tcBorders>
              <w:top w:val="nil"/>
              <w:left w:val="nil"/>
              <w:bottom w:val="nil"/>
              <w:right w:val="nil"/>
            </w:tcBorders>
            <w:noWrap/>
            <w:vAlign w:val="bottom"/>
            <w:hideMark/>
          </w:tcPr>
          <w:p w14:paraId="51664AE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5C54F3B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142.56</w:t>
            </w:r>
          </w:p>
        </w:tc>
        <w:tc>
          <w:tcPr>
            <w:tcW w:w="392" w:type="pct"/>
            <w:tcBorders>
              <w:top w:val="nil"/>
              <w:left w:val="nil"/>
              <w:bottom w:val="nil"/>
              <w:right w:val="nil"/>
            </w:tcBorders>
            <w:noWrap/>
            <w:vAlign w:val="bottom"/>
            <w:hideMark/>
          </w:tcPr>
          <w:p w14:paraId="42174F6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073.57</w:t>
            </w:r>
          </w:p>
        </w:tc>
        <w:tc>
          <w:tcPr>
            <w:tcW w:w="387" w:type="pct"/>
            <w:tcBorders>
              <w:top w:val="nil"/>
              <w:left w:val="nil"/>
              <w:bottom w:val="nil"/>
              <w:right w:val="nil"/>
            </w:tcBorders>
            <w:noWrap/>
            <w:vAlign w:val="bottom"/>
            <w:hideMark/>
          </w:tcPr>
          <w:p w14:paraId="134D458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-20</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854.80</w:t>
            </w:r>
          </w:p>
        </w:tc>
        <w:tc>
          <w:tcPr>
            <w:tcW w:w="365" w:type="pct"/>
            <w:tcBorders>
              <w:top w:val="nil"/>
              <w:left w:val="nil"/>
              <w:bottom w:val="nil"/>
              <w:right w:val="nil"/>
            </w:tcBorders>
            <w:noWrap/>
            <w:vAlign w:val="bottom"/>
            <w:hideMark/>
          </w:tcPr>
          <w:p w14:paraId="16705D1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-123.80</w:t>
            </w:r>
          </w:p>
        </w:tc>
        <w:tc>
          <w:tcPr>
            <w:tcW w:w="343" w:type="pct"/>
            <w:tcBorders>
              <w:top w:val="nil"/>
              <w:left w:val="nil"/>
              <w:bottom w:val="nil"/>
              <w:right w:val="nil"/>
            </w:tcBorders>
            <w:noWrap/>
            <w:vAlign w:val="bottom"/>
            <w:hideMark/>
          </w:tcPr>
          <w:p w14:paraId="6FAF7B5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-24.31</w:t>
            </w:r>
          </w:p>
        </w:tc>
        <w:tc>
          <w:tcPr>
            <w:tcW w:w="343" w:type="pct"/>
            <w:tcBorders>
              <w:top w:val="nil"/>
              <w:left w:val="nil"/>
              <w:bottom w:val="nil"/>
              <w:right w:val="nil"/>
            </w:tcBorders>
            <w:noWrap/>
            <w:vAlign w:val="bottom"/>
            <w:hideMark/>
          </w:tcPr>
          <w:p w14:paraId="3A1C9A5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0.60</w:t>
            </w:r>
          </w:p>
        </w:tc>
        <w:tc>
          <w:tcPr>
            <w:tcW w:w="343" w:type="pct"/>
            <w:tcBorders>
              <w:top w:val="nil"/>
              <w:left w:val="nil"/>
              <w:bottom w:val="nil"/>
              <w:right w:val="nil"/>
            </w:tcBorders>
            <w:noWrap/>
            <w:vAlign w:val="bottom"/>
            <w:hideMark/>
          </w:tcPr>
          <w:p w14:paraId="7659E9A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6.67</w:t>
            </w:r>
          </w:p>
        </w:tc>
        <w:tc>
          <w:tcPr>
            <w:tcW w:w="343" w:type="pct"/>
            <w:tcBorders>
              <w:top w:val="nil"/>
              <w:left w:val="nil"/>
              <w:bottom w:val="nil"/>
              <w:right w:val="nil"/>
            </w:tcBorders>
            <w:noWrap/>
            <w:vAlign w:val="bottom"/>
            <w:hideMark/>
          </w:tcPr>
          <w:p w14:paraId="7266652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42.45</w:t>
            </w:r>
          </w:p>
        </w:tc>
        <w:tc>
          <w:tcPr>
            <w:tcW w:w="353" w:type="pct"/>
            <w:tcBorders>
              <w:top w:val="nil"/>
              <w:left w:val="nil"/>
              <w:bottom w:val="nil"/>
              <w:right w:val="nil"/>
            </w:tcBorders>
            <w:noWrap/>
            <w:vAlign w:val="bottom"/>
            <w:hideMark/>
          </w:tcPr>
          <w:p w14:paraId="5D43FBD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491.67</w:t>
            </w:r>
          </w:p>
        </w:tc>
        <w:tc>
          <w:tcPr>
            <w:tcW w:w="392" w:type="pct"/>
            <w:tcBorders>
              <w:top w:val="nil"/>
              <w:left w:val="nil"/>
              <w:bottom w:val="nil"/>
              <w:right w:val="nil"/>
            </w:tcBorders>
            <w:noWrap/>
            <w:vAlign w:val="bottom"/>
            <w:hideMark/>
          </w:tcPr>
          <w:p w14:paraId="14220DA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524.60</w:t>
            </w:r>
          </w:p>
        </w:tc>
        <w:tc>
          <w:tcPr>
            <w:tcW w:w="436" w:type="pct"/>
            <w:tcBorders>
              <w:top w:val="nil"/>
              <w:left w:val="nil"/>
              <w:bottom w:val="nil"/>
              <w:right w:val="nil"/>
            </w:tcBorders>
            <w:noWrap/>
            <w:vAlign w:val="bottom"/>
            <w:hideMark/>
          </w:tcPr>
          <w:p w14:paraId="7972744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66</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807.80</w:t>
            </w:r>
          </w:p>
        </w:tc>
      </w:tr>
      <w:tr w:rsidR="004D5D50" w:rsidRPr="00617362" w14:paraId="186AFA08" w14:textId="77777777" w:rsidTr="004A2E8B">
        <w:trPr>
          <w:trHeight w:val="255"/>
        </w:trPr>
        <w:tc>
          <w:tcPr>
            <w:tcW w:w="467" w:type="pct"/>
            <w:tcBorders>
              <w:top w:val="nil"/>
              <w:left w:val="nil"/>
              <w:bottom w:val="nil"/>
              <w:right w:val="nil"/>
            </w:tcBorders>
            <w:noWrap/>
            <w:vAlign w:val="center"/>
            <w:hideMark/>
          </w:tcPr>
          <w:p w14:paraId="476E7A5C"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RD</w:t>
            </w:r>
          </w:p>
        </w:tc>
        <w:tc>
          <w:tcPr>
            <w:tcW w:w="408" w:type="pct"/>
            <w:tcBorders>
              <w:top w:val="nil"/>
              <w:left w:val="nil"/>
              <w:bottom w:val="nil"/>
              <w:right w:val="nil"/>
            </w:tcBorders>
            <w:noWrap/>
            <w:vAlign w:val="bottom"/>
            <w:hideMark/>
          </w:tcPr>
          <w:p w14:paraId="7458F63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13EB3B5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128.59</w:t>
            </w:r>
          </w:p>
        </w:tc>
        <w:tc>
          <w:tcPr>
            <w:tcW w:w="392" w:type="pct"/>
            <w:tcBorders>
              <w:top w:val="nil"/>
              <w:left w:val="nil"/>
              <w:bottom w:val="nil"/>
              <w:right w:val="nil"/>
            </w:tcBorders>
            <w:noWrap/>
            <w:vAlign w:val="bottom"/>
            <w:hideMark/>
          </w:tcPr>
          <w:p w14:paraId="424FF62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1214.42</w:t>
            </w:r>
          </w:p>
        </w:tc>
        <w:tc>
          <w:tcPr>
            <w:tcW w:w="387" w:type="pct"/>
            <w:tcBorders>
              <w:top w:val="nil"/>
              <w:left w:val="nil"/>
              <w:bottom w:val="nil"/>
              <w:right w:val="nil"/>
            </w:tcBorders>
            <w:noWrap/>
            <w:vAlign w:val="bottom"/>
            <w:hideMark/>
          </w:tcPr>
          <w:p w14:paraId="10A2506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65" w:type="pct"/>
            <w:tcBorders>
              <w:top w:val="nil"/>
              <w:left w:val="nil"/>
              <w:bottom w:val="nil"/>
              <w:right w:val="nil"/>
            </w:tcBorders>
            <w:noWrap/>
            <w:vAlign w:val="bottom"/>
            <w:hideMark/>
          </w:tcPr>
          <w:p w14:paraId="3DF3D91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4EDBEE0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6647052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4D9E03CF"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0.04</w:t>
            </w:r>
          </w:p>
        </w:tc>
        <w:tc>
          <w:tcPr>
            <w:tcW w:w="343" w:type="pct"/>
            <w:tcBorders>
              <w:top w:val="nil"/>
              <w:left w:val="nil"/>
              <w:bottom w:val="nil"/>
              <w:right w:val="nil"/>
            </w:tcBorders>
            <w:noWrap/>
            <w:vAlign w:val="bottom"/>
            <w:hideMark/>
          </w:tcPr>
          <w:p w14:paraId="4204F71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18.49</w:t>
            </w:r>
          </w:p>
        </w:tc>
        <w:tc>
          <w:tcPr>
            <w:tcW w:w="353" w:type="pct"/>
            <w:tcBorders>
              <w:top w:val="nil"/>
              <w:left w:val="nil"/>
              <w:bottom w:val="nil"/>
              <w:right w:val="nil"/>
            </w:tcBorders>
            <w:noWrap/>
            <w:vAlign w:val="bottom"/>
            <w:hideMark/>
          </w:tcPr>
          <w:p w14:paraId="5387ED7E"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298.54</w:t>
            </w:r>
          </w:p>
        </w:tc>
        <w:tc>
          <w:tcPr>
            <w:tcW w:w="392" w:type="pct"/>
            <w:tcBorders>
              <w:top w:val="nil"/>
              <w:left w:val="nil"/>
              <w:bottom w:val="nil"/>
              <w:right w:val="nil"/>
            </w:tcBorders>
            <w:noWrap/>
            <w:vAlign w:val="bottom"/>
            <w:hideMark/>
          </w:tcPr>
          <w:p w14:paraId="20AEE73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226.88</w:t>
            </w:r>
          </w:p>
        </w:tc>
        <w:tc>
          <w:tcPr>
            <w:tcW w:w="436" w:type="pct"/>
            <w:tcBorders>
              <w:top w:val="nil"/>
              <w:left w:val="nil"/>
              <w:bottom w:val="nil"/>
              <w:right w:val="nil"/>
            </w:tcBorders>
            <w:noWrap/>
            <w:vAlign w:val="bottom"/>
            <w:hideMark/>
          </w:tcPr>
          <w:p w14:paraId="70E83CA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127</w:t>
            </w:r>
            <w:r>
              <w:rPr>
                <w:rFonts w:ascii="Times New Roman" w:eastAsia="Times New Roman" w:hAnsi="Times New Roman" w:cs="Times New Roman"/>
                <w:color w:val="000000"/>
                <w:sz w:val="20"/>
                <w:szCs w:val="20"/>
                <w:lang w:eastAsia="en-GB"/>
              </w:rPr>
              <w:t>,</w:t>
            </w:r>
            <w:r w:rsidRPr="00BD4DA0">
              <w:rPr>
                <w:rFonts w:ascii="Times New Roman" w:eastAsia="Times New Roman" w:hAnsi="Times New Roman" w:cs="Times New Roman"/>
                <w:color w:val="000000"/>
                <w:sz w:val="20"/>
                <w:szCs w:val="20"/>
                <w:lang w:eastAsia="en-GB"/>
              </w:rPr>
              <w:t>861.40</w:t>
            </w:r>
          </w:p>
        </w:tc>
      </w:tr>
      <w:tr w:rsidR="004D5D50" w:rsidRPr="00617362" w14:paraId="189CE1BD" w14:textId="77777777" w:rsidTr="004A2E8B">
        <w:trPr>
          <w:trHeight w:val="255"/>
        </w:trPr>
        <w:tc>
          <w:tcPr>
            <w:tcW w:w="467" w:type="pct"/>
            <w:tcBorders>
              <w:top w:val="nil"/>
              <w:left w:val="nil"/>
              <w:bottom w:val="nil"/>
              <w:right w:val="nil"/>
            </w:tcBorders>
            <w:noWrap/>
            <w:vAlign w:val="center"/>
            <w:hideMark/>
          </w:tcPr>
          <w:p w14:paraId="5B06BD07"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ROE</w:t>
            </w:r>
          </w:p>
        </w:tc>
        <w:tc>
          <w:tcPr>
            <w:tcW w:w="408" w:type="pct"/>
            <w:tcBorders>
              <w:top w:val="nil"/>
              <w:left w:val="nil"/>
              <w:bottom w:val="nil"/>
              <w:right w:val="nil"/>
            </w:tcBorders>
            <w:noWrap/>
            <w:vAlign w:val="bottom"/>
            <w:hideMark/>
          </w:tcPr>
          <w:p w14:paraId="2C8E914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7467510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0.06</w:t>
            </w:r>
          </w:p>
        </w:tc>
        <w:tc>
          <w:tcPr>
            <w:tcW w:w="392" w:type="pct"/>
            <w:tcBorders>
              <w:top w:val="nil"/>
              <w:left w:val="nil"/>
              <w:bottom w:val="nil"/>
              <w:right w:val="nil"/>
            </w:tcBorders>
            <w:noWrap/>
            <w:vAlign w:val="bottom"/>
            <w:hideMark/>
          </w:tcPr>
          <w:p w14:paraId="3A9CD21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0.22</w:t>
            </w:r>
          </w:p>
        </w:tc>
        <w:tc>
          <w:tcPr>
            <w:tcW w:w="387" w:type="pct"/>
            <w:tcBorders>
              <w:top w:val="nil"/>
              <w:left w:val="nil"/>
              <w:bottom w:val="nil"/>
              <w:right w:val="nil"/>
            </w:tcBorders>
            <w:noWrap/>
            <w:vAlign w:val="bottom"/>
            <w:hideMark/>
          </w:tcPr>
          <w:p w14:paraId="2D346DB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-1.00</w:t>
            </w:r>
          </w:p>
        </w:tc>
        <w:tc>
          <w:tcPr>
            <w:tcW w:w="365" w:type="pct"/>
            <w:tcBorders>
              <w:top w:val="nil"/>
              <w:left w:val="nil"/>
              <w:bottom w:val="nil"/>
              <w:right w:val="nil"/>
            </w:tcBorders>
            <w:noWrap/>
            <w:vAlign w:val="bottom"/>
            <w:hideMark/>
          </w:tcPr>
          <w:p w14:paraId="4F6293A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-0.77</w:t>
            </w:r>
          </w:p>
        </w:tc>
        <w:tc>
          <w:tcPr>
            <w:tcW w:w="343" w:type="pct"/>
            <w:tcBorders>
              <w:top w:val="nil"/>
              <w:left w:val="nil"/>
              <w:bottom w:val="nil"/>
              <w:right w:val="nil"/>
            </w:tcBorders>
            <w:noWrap/>
            <w:vAlign w:val="bottom"/>
            <w:hideMark/>
          </w:tcPr>
          <w:p w14:paraId="13C8072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-0.38</w:t>
            </w:r>
          </w:p>
        </w:tc>
        <w:tc>
          <w:tcPr>
            <w:tcW w:w="343" w:type="pct"/>
            <w:tcBorders>
              <w:top w:val="nil"/>
              <w:left w:val="nil"/>
              <w:bottom w:val="nil"/>
              <w:right w:val="nil"/>
            </w:tcBorders>
            <w:noWrap/>
            <w:vAlign w:val="bottom"/>
            <w:hideMark/>
          </w:tcPr>
          <w:p w14:paraId="7BC80D1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0.02</w:t>
            </w:r>
          </w:p>
        </w:tc>
        <w:tc>
          <w:tcPr>
            <w:tcW w:w="343" w:type="pct"/>
            <w:tcBorders>
              <w:top w:val="nil"/>
              <w:left w:val="nil"/>
              <w:bottom w:val="nil"/>
              <w:right w:val="nil"/>
            </w:tcBorders>
            <w:noWrap/>
            <w:vAlign w:val="bottom"/>
            <w:hideMark/>
          </w:tcPr>
          <w:p w14:paraId="44AAC04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0.10</w:t>
            </w:r>
          </w:p>
        </w:tc>
        <w:tc>
          <w:tcPr>
            <w:tcW w:w="343" w:type="pct"/>
            <w:tcBorders>
              <w:top w:val="nil"/>
              <w:left w:val="nil"/>
              <w:bottom w:val="nil"/>
              <w:right w:val="nil"/>
            </w:tcBorders>
            <w:noWrap/>
            <w:vAlign w:val="bottom"/>
            <w:hideMark/>
          </w:tcPr>
          <w:p w14:paraId="659E97E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0.17</w:t>
            </w:r>
          </w:p>
        </w:tc>
        <w:tc>
          <w:tcPr>
            <w:tcW w:w="353" w:type="pct"/>
            <w:tcBorders>
              <w:top w:val="nil"/>
              <w:left w:val="nil"/>
              <w:bottom w:val="nil"/>
              <w:right w:val="nil"/>
            </w:tcBorders>
            <w:noWrap/>
            <w:vAlign w:val="bottom"/>
            <w:hideMark/>
          </w:tcPr>
          <w:p w14:paraId="1035DF9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0.32</w:t>
            </w:r>
          </w:p>
        </w:tc>
        <w:tc>
          <w:tcPr>
            <w:tcW w:w="392" w:type="pct"/>
            <w:tcBorders>
              <w:top w:val="nil"/>
              <w:left w:val="nil"/>
              <w:bottom w:val="nil"/>
              <w:right w:val="nil"/>
            </w:tcBorders>
            <w:noWrap/>
            <w:vAlign w:val="bottom"/>
            <w:hideMark/>
          </w:tcPr>
          <w:p w14:paraId="7DCF94E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0.54</w:t>
            </w:r>
          </w:p>
        </w:tc>
        <w:tc>
          <w:tcPr>
            <w:tcW w:w="436" w:type="pct"/>
            <w:tcBorders>
              <w:top w:val="nil"/>
              <w:left w:val="nil"/>
              <w:bottom w:val="nil"/>
              <w:right w:val="nil"/>
            </w:tcBorders>
            <w:noWrap/>
            <w:vAlign w:val="bottom"/>
            <w:hideMark/>
          </w:tcPr>
          <w:p w14:paraId="1F90FF3F"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1.00</w:t>
            </w:r>
          </w:p>
        </w:tc>
      </w:tr>
      <w:tr w:rsidR="004D5D50" w:rsidRPr="00617362" w14:paraId="4C311126" w14:textId="77777777" w:rsidTr="004A2E8B">
        <w:trPr>
          <w:trHeight w:val="255"/>
        </w:trPr>
        <w:tc>
          <w:tcPr>
            <w:tcW w:w="467" w:type="pct"/>
            <w:tcBorders>
              <w:top w:val="nil"/>
              <w:left w:val="nil"/>
              <w:bottom w:val="nil"/>
              <w:right w:val="nil"/>
            </w:tcBorders>
            <w:noWrap/>
            <w:vAlign w:val="center"/>
            <w:hideMark/>
          </w:tcPr>
          <w:p w14:paraId="558CDEEF"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LEV</w:t>
            </w:r>
          </w:p>
        </w:tc>
        <w:tc>
          <w:tcPr>
            <w:tcW w:w="408" w:type="pct"/>
            <w:tcBorders>
              <w:top w:val="nil"/>
              <w:left w:val="nil"/>
              <w:bottom w:val="nil"/>
              <w:right w:val="nil"/>
            </w:tcBorders>
            <w:noWrap/>
            <w:vAlign w:val="bottom"/>
            <w:hideMark/>
          </w:tcPr>
          <w:p w14:paraId="18515769"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03930FC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0.21</w:t>
            </w:r>
          </w:p>
        </w:tc>
        <w:tc>
          <w:tcPr>
            <w:tcW w:w="392" w:type="pct"/>
            <w:tcBorders>
              <w:top w:val="nil"/>
              <w:left w:val="nil"/>
              <w:bottom w:val="nil"/>
              <w:right w:val="nil"/>
            </w:tcBorders>
            <w:noWrap/>
            <w:vAlign w:val="bottom"/>
            <w:hideMark/>
          </w:tcPr>
          <w:p w14:paraId="3BD19E8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0.18</w:t>
            </w:r>
          </w:p>
        </w:tc>
        <w:tc>
          <w:tcPr>
            <w:tcW w:w="387" w:type="pct"/>
            <w:tcBorders>
              <w:top w:val="nil"/>
              <w:left w:val="nil"/>
              <w:bottom w:val="nil"/>
              <w:right w:val="nil"/>
            </w:tcBorders>
            <w:noWrap/>
            <w:vAlign w:val="bottom"/>
            <w:hideMark/>
          </w:tcPr>
          <w:p w14:paraId="73BAD12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65" w:type="pct"/>
            <w:tcBorders>
              <w:top w:val="nil"/>
              <w:left w:val="nil"/>
              <w:bottom w:val="nil"/>
              <w:right w:val="nil"/>
            </w:tcBorders>
            <w:noWrap/>
            <w:vAlign w:val="bottom"/>
            <w:hideMark/>
          </w:tcPr>
          <w:p w14:paraId="60F746B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0960000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42EE769E"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0.04</w:t>
            </w:r>
          </w:p>
        </w:tc>
        <w:tc>
          <w:tcPr>
            <w:tcW w:w="343" w:type="pct"/>
            <w:tcBorders>
              <w:top w:val="nil"/>
              <w:left w:val="nil"/>
              <w:bottom w:val="nil"/>
              <w:right w:val="nil"/>
            </w:tcBorders>
            <w:noWrap/>
            <w:vAlign w:val="bottom"/>
            <w:hideMark/>
          </w:tcPr>
          <w:p w14:paraId="5149765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0.20</w:t>
            </w:r>
          </w:p>
        </w:tc>
        <w:tc>
          <w:tcPr>
            <w:tcW w:w="343" w:type="pct"/>
            <w:tcBorders>
              <w:top w:val="nil"/>
              <w:left w:val="nil"/>
              <w:bottom w:val="nil"/>
              <w:right w:val="nil"/>
            </w:tcBorders>
            <w:noWrap/>
            <w:vAlign w:val="bottom"/>
            <w:hideMark/>
          </w:tcPr>
          <w:p w14:paraId="0A4D0959"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0.34</w:t>
            </w:r>
          </w:p>
        </w:tc>
        <w:tc>
          <w:tcPr>
            <w:tcW w:w="353" w:type="pct"/>
            <w:tcBorders>
              <w:top w:val="nil"/>
              <w:left w:val="nil"/>
              <w:bottom w:val="nil"/>
              <w:right w:val="nil"/>
            </w:tcBorders>
            <w:noWrap/>
            <w:vAlign w:val="bottom"/>
            <w:hideMark/>
          </w:tcPr>
          <w:p w14:paraId="486C61D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0.54</w:t>
            </w:r>
          </w:p>
        </w:tc>
        <w:tc>
          <w:tcPr>
            <w:tcW w:w="392" w:type="pct"/>
            <w:tcBorders>
              <w:top w:val="nil"/>
              <w:left w:val="nil"/>
              <w:bottom w:val="nil"/>
              <w:right w:val="nil"/>
            </w:tcBorders>
            <w:noWrap/>
            <w:vAlign w:val="bottom"/>
            <w:hideMark/>
          </w:tcPr>
          <w:p w14:paraId="00F24C0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0.69</w:t>
            </w:r>
          </w:p>
        </w:tc>
        <w:tc>
          <w:tcPr>
            <w:tcW w:w="436" w:type="pct"/>
            <w:tcBorders>
              <w:top w:val="nil"/>
              <w:left w:val="nil"/>
              <w:bottom w:val="nil"/>
              <w:right w:val="nil"/>
            </w:tcBorders>
            <w:noWrap/>
            <w:vAlign w:val="bottom"/>
            <w:hideMark/>
          </w:tcPr>
          <w:p w14:paraId="6A5B50A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0.95</w:t>
            </w:r>
          </w:p>
        </w:tc>
      </w:tr>
      <w:tr w:rsidR="004D5D50" w:rsidRPr="00617362" w14:paraId="71EECA2D" w14:textId="77777777" w:rsidTr="004A2E8B">
        <w:trPr>
          <w:trHeight w:val="285"/>
        </w:trPr>
        <w:tc>
          <w:tcPr>
            <w:tcW w:w="467" w:type="pct"/>
            <w:tcBorders>
              <w:top w:val="nil"/>
              <w:left w:val="nil"/>
              <w:bottom w:val="nil"/>
              <w:right w:val="nil"/>
            </w:tcBorders>
            <w:noWrap/>
            <w:vAlign w:val="center"/>
            <w:hideMark/>
          </w:tcPr>
          <w:p w14:paraId="116BA9E3" w14:textId="77777777" w:rsidR="004D5D50" w:rsidRPr="00617362" w:rsidRDefault="004D5D50" w:rsidP="004A2E8B">
            <w:pPr>
              <w:spacing w:after="0" w:line="240" w:lineRule="auto"/>
              <w:rPr>
                <w:rFonts w:ascii="Times New Roman" w:eastAsia="Times New Roman" w:hAnsi="Times New Roman" w:cs="Times New Roman"/>
                <w:color w:val="000000"/>
                <w:sz w:val="20"/>
                <w:szCs w:val="20"/>
                <w:lang w:eastAsia="en-CA"/>
              </w:rPr>
            </w:pPr>
            <w:r w:rsidRPr="00617362">
              <w:rPr>
                <w:rFonts w:ascii="Times New Roman" w:eastAsia="Times New Roman" w:hAnsi="Times New Roman" w:cs="Times New Roman"/>
                <w:color w:val="000000"/>
                <w:sz w:val="20"/>
                <w:szCs w:val="20"/>
                <w:lang w:eastAsia="en-CA"/>
              </w:rPr>
              <w:t>I</w:t>
            </w:r>
            <w:r w:rsidRPr="00617362">
              <w:rPr>
                <w:rFonts w:ascii="Times New Roman" w:eastAsia="Times New Roman" w:hAnsi="Times New Roman" w:cs="Times New Roman"/>
                <w:color w:val="000000"/>
                <w:sz w:val="20"/>
                <w:szCs w:val="20"/>
                <w:vertAlign w:val="subscript"/>
                <w:lang w:eastAsia="en-CA"/>
              </w:rPr>
              <w:t>EARN&lt;0</w:t>
            </w:r>
          </w:p>
        </w:tc>
        <w:tc>
          <w:tcPr>
            <w:tcW w:w="408" w:type="pct"/>
            <w:tcBorders>
              <w:top w:val="nil"/>
              <w:left w:val="nil"/>
              <w:bottom w:val="nil"/>
              <w:right w:val="nil"/>
            </w:tcBorders>
            <w:noWrap/>
            <w:vAlign w:val="bottom"/>
            <w:hideMark/>
          </w:tcPr>
          <w:p w14:paraId="6A611D1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2AA5DAF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0.22</w:t>
            </w:r>
          </w:p>
        </w:tc>
        <w:tc>
          <w:tcPr>
            <w:tcW w:w="392" w:type="pct"/>
            <w:tcBorders>
              <w:top w:val="nil"/>
              <w:left w:val="nil"/>
              <w:bottom w:val="nil"/>
              <w:right w:val="nil"/>
            </w:tcBorders>
            <w:noWrap/>
            <w:vAlign w:val="bottom"/>
            <w:hideMark/>
          </w:tcPr>
          <w:p w14:paraId="37CE06E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0.41</w:t>
            </w:r>
          </w:p>
        </w:tc>
        <w:tc>
          <w:tcPr>
            <w:tcW w:w="387" w:type="pct"/>
            <w:tcBorders>
              <w:top w:val="nil"/>
              <w:left w:val="nil"/>
              <w:bottom w:val="nil"/>
              <w:right w:val="nil"/>
            </w:tcBorders>
            <w:noWrap/>
            <w:vAlign w:val="bottom"/>
            <w:hideMark/>
          </w:tcPr>
          <w:p w14:paraId="75EAB4B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65" w:type="pct"/>
            <w:tcBorders>
              <w:top w:val="nil"/>
              <w:left w:val="nil"/>
              <w:bottom w:val="nil"/>
              <w:right w:val="nil"/>
            </w:tcBorders>
            <w:noWrap/>
            <w:vAlign w:val="bottom"/>
            <w:hideMark/>
          </w:tcPr>
          <w:p w14:paraId="4823953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181F420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02340BF7"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21BBAFE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nil"/>
              <w:right w:val="nil"/>
            </w:tcBorders>
            <w:noWrap/>
            <w:vAlign w:val="bottom"/>
            <w:hideMark/>
          </w:tcPr>
          <w:p w14:paraId="38586BCB"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53" w:type="pct"/>
            <w:tcBorders>
              <w:top w:val="nil"/>
              <w:left w:val="nil"/>
              <w:bottom w:val="nil"/>
              <w:right w:val="nil"/>
            </w:tcBorders>
            <w:noWrap/>
            <w:vAlign w:val="bottom"/>
            <w:hideMark/>
          </w:tcPr>
          <w:p w14:paraId="332C15A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1.00</w:t>
            </w:r>
          </w:p>
        </w:tc>
        <w:tc>
          <w:tcPr>
            <w:tcW w:w="392" w:type="pct"/>
            <w:tcBorders>
              <w:top w:val="nil"/>
              <w:left w:val="nil"/>
              <w:bottom w:val="nil"/>
              <w:right w:val="nil"/>
            </w:tcBorders>
            <w:noWrap/>
            <w:vAlign w:val="bottom"/>
            <w:hideMark/>
          </w:tcPr>
          <w:p w14:paraId="3D4859E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1.00</w:t>
            </w:r>
          </w:p>
        </w:tc>
        <w:tc>
          <w:tcPr>
            <w:tcW w:w="436" w:type="pct"/>
            <w:tcBorders>
              <w:top w:val="nil"/>
              <w:left w:val="nil"/>
              <w:bottom w:val="nil"/>
              <w:right w:val="nil"/>
            </w:tcBorders>
            <w:noWrap/>
            <w:vAlign w:val="bottom"/>
            <w:hideMark/>
          </w:tcPr>
          <w:p w14:paraId="1BADB46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1.00</w:t>
            </w:r>
          </w:p>
        </w:tc>
      </w:tr>
      <w:tr w:rsidR="004D5D50" w:rsidRPr="00617362" w14:paraId="57550AE6" w14:textId="77777777" w:rsidTr="004A2E8B">
        <w:trPr>
          <w:trHeight w:val="270"/>
        </w:trPr>
        <w:tc>
          <w:tcPr>
            <w:tcW w:w="467" w:type="pct"/>
            <w:tcBorders>
              <w:top w:val="nil"/>
              <w:left w:val="nil"/>
              <w:bottom w:val="nil"/>
              <w:right w:val="nil"/>
            </w:tcBorders>
            <w:noWrap/>
            <w:vAlign w:val="center"/>
            <w:hideMark/>
          </w:tcPr>
          <w:p w14:paraId="70CF1CBA" w14:textId="77777777" w:rsidR="004D5D50" w:rsidRPr="00617362" w:rsidRDefault="004D5D50" w:rsidP="004A2E8B">
            <w:pPr>
              <w:spacing w:after="0" w:line="240" w:lineRule="auto"/>
              <w:rPr>
                <w:rFonts w:ascii="Times New Roman" w:eastAsia="Times New Roman" w:hAnsi="Times New Roman" w:cs="Times New Roman"/>
                <w:b/>
                <w:bCs/>
                <w:i/>
                <w:iCs/>
                <w:color w:val="000000"/>
                <w:sz w:val="20"/>
                <w:szCs w:val="20"/>
                <w:lang w:eastAsia="en-CA"/>
              </w:rPr>
            </w:pPr>
            <w:r w:rsidRPr="00617362">
              <w:rPr>
                <w:rFonts w:ascii="Times New Roman" w:eastAsia="Times New Roman" w:hAnsi="Times New Roman" w:cs="Times New Roman"/>
                <w:b/>
                <w:bCs/>
                <w:i/>
                <w:iCs/>
                <w:color w:val="000000"/>
                <w:sz w:val="20"/>
                <w:szCs w:val="20"/>
                <w:lang w:eastAsia="en-CA"/>
              </w:rPr>
              <w:t>Log values</w:t>
            </w:r>
          </w:p>
        </w:tc>
        <w:tc>
          <w:tcPr>
            <w:tcW w:w="408" w:type="pct"/>
            <w:tcBorders>
              <w:top w:val="nil"/>
              <w:left w:val="nil"/>
              <w:bottom w:val="nil"/>
              <w:right w:val="nil"/>
            </w:tcBorders>
            <w:noWrap/>
            <w:vAlign w:val="bottom"/>
            <w:hideMark/>
          </w:tcPr>
          <w:p w14:paraId="548DF97D" w14:textId="77777777" w:rsidR="004D5D50" w:rsidRPr="00617362" w:rsidRDefault="004D5D50" w:rsidP="004A2E8B">
            <w:pPr>
              <w:spacing w:after="0" w:line="240" w:lineRule="auto"/>
              <w:rPr>
                <w:rFonts w:ascii="Times New Roman" w:eastAsia="Times New Roman" w:hAnsi="Times New Roman" w:cs="Times New Roman"/>
                <w:b/>
                <w:bCs/>
                <w:i/>
                <w:iCs/>
                <w:color w:val="000000"/>
                <w:sz w:val="20"/>
                <w:szCs w:val="20"/>
                <w:lang w:eastAsia="en-CA"/>
              </w:rPr>
            </w:pPr>
          </w:p>
        </w:tc>
        <w:tc>
          <w:tcPr>
            <w:tcW w:w="430" w:type="pct"/>
            <w:tcBorders>
              <w:top w:val="nil"/>
              <w:left w:val="nil"/>
              <w:bottom w:val="nil"/>
              <w:right w:val="nil"/>
            </w:tcBorders>
            <w:noWrap/>
            <w:vAlign w:val="bottom"/>
            <w:hideMark/>
          </w:tcPr>
          <w:p w14:paraId="65A91C3B"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92" w:type="pct"/>
            <w:tcBorders>
              <w:top w:val="nil"/>
              <w:left w:val="nil"/>
              <w:bottom w:val="nil"/>
              <w:right w:val="nil"/>
            </w:tcBorders>
            <w:noWrap/>
            <w:vAlign w:val="bottom"/>
            <w:hideMark/>
          </w:tcPr>
          <w:p w14:paraId="23ACEBE3"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87" w:type="pct"/>
            <w:tcBorders>
              <w:top w:val="nil"/>
              <w:left w:val="nil"/>
              <w:bottom w:val="nil"/>
              <w:right w:val="nil"/>
            </w:tcBorders>
            <w:noWrap/>
            <w:vAlign w:val="bottom"/>
            <w:hideMark/>
          </w:tcPr>
          <w:p w14:paraId="3BE21EE2"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65" w:type="pct"/>
            <w:tcBorders>
              <w:top w:val="nil"/>
              <w:left w:val="nil"/>
              <w:bottom w:val="nil"/>
              <w:right w:val="nil"/>
            </w:tcBorders>
            <w:noWrap/>
            <w:vAlign w:val="bottom"/>
            <w:hideMark/>
          </w:tcPr>
          <w:p w14:paraId="6CC79F83"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bottom"/>
            <w:hideMark/>
          </w:tcPr>
          <w:p w14:paraId="413F5582"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bottom"/>
            <w:hideMark/>
          </w:tcPr>
          <w:p w14:paraId="35C02BE0"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bottom"/>
            <w:hideMark/>
          </w:tcPr>
          <w:p w14:paraId="28600D70"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43" w:type="pct"/>
            <w:tcBorders>
              <w:top w:val="nil"/>
              <w:left w:val="nil"/>
              <w:bottom w:val="nil"/>
              <w:right w:val="nil"/>
            </w:tcBorders>
            <w:noWrap/>
            <w:vAlign w:val="bottom"/>
            <w:hideMark/>
          </w:tcPr>
          <w:p w14:paraId="07F04C18"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53" w:type="pct"/>
            <w:tcBorders>
              <w:top w:val="nil"/>
              <w:left w:val="nil"/>
              <w:bottom w:val="nil"/>
              <w:right w:val="nil"/>
            </w:tcBorders>
            <w:noWrap/>
            <w:vAlign w:val="bottom"/>
            <w:hideMark/>
          </w:tcPr>
          <w:p w14:paraId="28A3F65C"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392" w:type="pct"/>
            <w:tcBorders>
              <w:top w:val="nil"/>
              <w:left w:val="nil"/>
              <w:bottom w:val="nil"/>
              <w:right w:val="nil"/>
            </w:tcBorders>
            <w:noWrap/>
            <w:vAlign w:val="bottom"/>
            <w:hideMark/>
          </w:tcPr>
          <w:p w14:paraId="352EDF65"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c>
          <w:tcPr>
            <w:tcW w:w="436" w:type="pct"/>
            <w:tcBorders>
              <w:top w:val="nil"/>
              <w:left w:val="nil"/>
              <w:bottom w:val="nil"/>
              <w:right w:val="nil"/>
            </w:tcBorders>
            <w:noWrap/>
            <w:vAlign w:val="bottom"/>
            <w:hideMark/>
          </w:tcPr>
          <w:p w14:paraId="623CF377" w14:textId="77777777" w:rsidR="004D5D50" w:rsidRPr="00617362" w:rsidRDefault="004D5D50" w:rsidP="004A2E8B">
            <w:pPr>
              <w:spacing w:after="0" w:line="240" w:lineRule="auto"/>
              <w:jc w:val="center"/>
              <w:rPr>
                <w:rFonts w:ascii="Times New Roman" w:eastAsia="Times New Roman" w:hAnsi="Times New Roman" w:cs="Times New Roman"/>
                <w:sz w:val="20"/>
                <w:szCs w:val="20"/>
                <w:lang w:eastAsia="en-CA"/>
              </w:rPr>
            </w:pPr>
          </w:p>
        </w:tc>
      </w:tr>
      <w:tr w:rsidR="004D5D50" w:rsidRPr="00617362" w14:paraId="51229F91" w14:textId="77777777" w:rsidTr="004A2E8B">
        <w:trPr>
          <w:trHeight w:val="255"/>
        </w:trPr>
        <w:tc>
          <w:tcPr>
            <w:tcW w:w="467" w:type="pct"/>
            <w:tcBorders>
              <w:top w:val="nil"/>
              <w:left w:val="nil"/>
              <w:bottom w:val="nil"/>
              <w:right w:val="nil"/>
            </w:tcBorders>
            <w:noWrap/>
            <w:vAlign w:val="center"/>
            <w:hideMark/>
          </w:tcPr>
          <w:p w14:paraId="748FFE41" w14:textId="77777777" w:rsidR="004D5D50" w:rsidRPr="00617362" w:rsidRDefault="004D5D50" w:rsidP="004A2E8B">
            <w:pPr>
              <w:spacing w:after="0" w:line="240" w:lineRule="auto"/>
              <w:rPr>
                <w:rFonts w:ascii="Times New Roman" w:eastAsia="Times New Roman" w:hAnsi="Times New Roman" w:cs="Times New Roman"/>
                <w:i/>
                <w:iCs/>
                <w:color w:val="000000"/>
                <w:sz w:val="20"/>
                <w:szCs w:val="20"/>
                <w:lang w:eastAsia="en-CA"/>
              </w:rPr>
            </w:pPr>
            <w:r w:rsidRPr="00617362">
              <w:rPr>
                <w:rFonts w:ascii="Times New Roman" w:eastAsia="Times New Roman" w:hAnsi="Times New Roman" w:cs="Times New Roman"/>
                <w:i/>
                <w:iCs/>
                <w:color w:val="000000"/>
                <w:sz w:val="20"/>
                <w:szCs w:val="20"/>
                <w:lang w:eastAsia="en-CA"/>
              </w:rPr>
              <w:t>m</w:t>
            </w:r>
          </w:p>
        </w:tc>
        <w:tc>
          <w:tcPr>
            <w:tcW w:w="408" w:type="pct"/>
            <w:tcBorders>
              <w:top w:val="nil"/>
              <w:left w:val="nil"/>
              <w:bottom w:val="nil"/>
              <w:right w:val="nil"/>
            </w:tcBorders>
            <w:noWrap/>
            <w:vAlign w:val="bottom"/>
            <w:hideMark/>
          </w:tcPr>
          <w:p w14:paraId="531A089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28C9326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5.46</w:t>
            </w:r>
          </w:p>
        </w:tc>
        <w:tc>
          <w:tcPr>
            <w:tcW w:w="392" w:type="pct"/>
            <w:tcBorders>
              <w:top w:val="nil"/>
              <w:left w:val="nil"/>
              <w:bottom w:val="nil"/>
              <w:right w:val="nil"/>
            </w:tcBorders>
            <w:noWrap/>
            <w:vAlign w:val="bottom"/>
            <w:hideMark/>
          </w:tcPr>
          <w:p w14:paraId="499F31D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2.02</w:t>
            </w:r>
          </w:p>
        </w:tc>
        <w:tc>
          <w:tcPr>
            <w:tcW w:w="387" w:type="pct"/>
            <w:tcBorders>
              <w:top w:val="nil"/>
              <w:left w:val="nil"/>
              <w:bottom w:val="nil"/>
              <w:right w:val="nil"/>
            </w:tcBorders>
            <w:noWrap/>
            <w:vAlign w:val="bottom"/>
            <w:hideMark/>
          </w:tcPr>
          <w:p w14:paraId="7B480D8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2.30</w:t>
            </w:r>
          </w:p>
        </w:tc>
        <w:tc>
          <w:tcPr>
            <w:tcW w:w="365" w:type="pct"/>
            <w:tcBorders>
              <w:top w:val="nil"/>
              <w:left w:val="nil"/>
              <w:bottom w:val="nil"/>
              <w:right w:val="nil"/>
            </w:tcBorders>
            <w:noWrap/>
            <w:vAlign w:val="bottom"/>
            <w:hideMark/>
          </w:tcPr>
          <w:p w14:paraId="163CAB26"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2.39</w:t>
            </w:r>
          </w:p>
        </w:tc>
        <w:tc>
          <w:tcPr>
            <w:tcW w:w="343" w:type="pct"/>
            <w:tcBorders>
              <w:top w:val="nil"/>
              <w:left w:val="nil"/>
              <w:bottom w:val="nil"/>
              <w:right w:val="nil"/>
            </w:tcBorders>
            <w:noWrap/>
            <w:vAlign w:val="bottom"/>
            <w:hideMark/>
          </w:tcPr>
          <w:p w14:paraId="307E8AE0"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2.68</w:t>
            </w:r>
          </w:p>
        </w:tc>
        <w:tc>
          <w:tcPr>
            <w:tcW w:w="343" w:type="pct"/>
            <w:tcBorders>
              <w:top w:val="nil"/>
              <w:left w:val="nil"/>
              <w:bottom w:val="nil"/>
              <w:right w:val="nil"/>
            </w:tcBorders>
            <w:noWrap/>
            <w:vAlign w:val="bottom"/>
            <w:hideMark/>
          </w:tcPr>
          <w:p w14:paraId="01A2847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3.84</w:t>
            </w:r>
          </w:p>
        </w:tc>
        <w:tc>
          <w:tcPr>
            <w:tcW w:w="343" w:type="pct"/>
            <w:tcBorders>
              <w:top w:val="nil"/>
              <w:left w:val="nil"/>
              <w:bottom w:val="nil"/>
              <w:right w:val="nil"/>
            </w:tcBorders>
            <w:noWrap/>
            <w:vAlign w:val="bottom"/>
            <w:hideMark/>
          </w:tcPr>
          <w:p w14:paraId="52BFF7C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5.22</w:t>
            </w:r>
          </w:p>
        </w:tc>
        <w:tc>
          <w:tcPr>
            <w:tcW w:w="343" w:type="pct"/>
            <w:tcBorders>
              <w:top w:val="nil"/>
              <w:left w:val="nil"/>
              <w:bottom w:val="nil"/>
              <w:right w:val="nil"/>
            </w:tcBorders>
            <w:noWrap/>
            <w:vAlign w:val="bottom"/>
            <w:hideMark/>
          </w:tcPr>
          <w:p w14:paraId="2991A2D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6.82</w:t>
            </w:r>
          </w:p>
        </w:tc>
        <w:tc>
          <w:tcPr>
            <w:tcW w:w="353" w:type="pct"/>
            <w:tcBorders>
              <w:top w:val="nil"/>
              <w:left w:val="nil"/>
              <w:bottom w:val="nil"/>
              <w:right w:val="nil"/>
            </w:tcBorders>
            <w:noWrap/>
            <w:vAlign w:val="bottom"/>
            <w:hideMark/>
          </w:tcPr>
          <w:p w14:paraId="5321596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9.12</w:t>
            </w:r>
          </w:p>
        </w:tc>
        <w:tc>
          <w:tcPr>
            <w:tcW w:w="392" w:type="pct"/>
            <w:tcBorders>
              <w:top w:val="nil"/>
              <w:left w:val="nil"/>
              <w:bottom w:val="nil"/>
              <w:right w:val="nil"/>
            </w:tcBorders>
            <w:noWrap/>
            <w:vAlign w:val="bottom"/>
            <w:hideMark/>
          </w:tcPr>
          <w:p w14:paraId="417017A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10.79</w:t>
            </w:r>
          </w:p>
        </w:tc>
        <w:tc>
          <w:tcPr>
            <w:tcW w:w="436" w:type="pct"/>
            <w:tcBorders>
              <w:top w:val="nil"/>
              <w:left w:val="nil"/>
              <w:bottom w:val="nil"/>
              <w:right w:val="nil"/>
            </w:tcBorders>
            <w:noWrap/>
            <w:vAlign w:val="bottom"/>
            <w:hideMark/>
          </w:tcPr>
          <w:p w14:paraId="0447CA2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14.65</w:t>
            </w:r>
          </w:p>
        </w:tc>
      </w:tr>
      <w:tr w:rsidR="004D5D50" w:rsidRPr="00617362" w14:paraId="4ABD0D52" w14:textId="77777777" w:rsidTr="004A2E8B">
        <w:trPr>
          <w:trHeight w:val="255"/>
        </w:trPr>
        <w:tc>
          <w:tcPr>
            <w:tcW w:w="467" w:type="pct"/>
            <w:tcBorders>
              <w:top w:val="nil"/>
              <w:left w:val="nil"/>
              <w:bottom w:val="nil"/>
              <w:right w:val="nil"/>
            </w:tcBorders>
            <w:noWrap/>
            <w:vAlign w:val="center"/>
            <w:hideMark/>
          </w:tcPr>
          <w:p w14:paraId="38506B5F" w14:textId="77777777" w:rsidR="004D5D50" w:rsidRPr="00617362" w:rsidRDefault="004D5D50" w:rsidP="004A2E8B">
            <w:pPr>
              <w:spacing w:after="0" w:line="240" w:lineRule="auto"/>
              <w:rPr>
                <w:rFonts w:ascii="Times New Roman" w:eastAsia="Times New Roman" w:hAnsi="Times New Roman" w:cs="Times New Roman"/>
                <w:i/>
                <w:iCs/>
                <w:color w:val="000000"/>
                <w:sz w:val="20"/>
                <w:szCs w:val="20"/>
                <w:lang w:eastAsia="en-CA"/>
              </w:rPr>
            </w:pPr>
            <w:r w:rsidRPr="00617362">
              <w:rPr>
                <w:rFonts w:ascii="Times New Roman" w:eastAsia="Times New Roman" w:hAnsi="Times New Roman" w:cs="Times New Roman"/>
                <w:i/>
                <w:iCs/>
                <w:color w:val="000000"/>
                <w:sz w:val="20"/>
                <w:szCs w:val="20"/>
                <w:lang w:eastAsia="en-CA"/>
              </w:rPr>
              <w:t>b</w:t>
            </w:r>
          </w:p>
        </w:tc>
        <w:tc>
          <w:tcPr>
            <w:tcW w:w="408" w:type="pct"/>
            <w:tcBorders>
              <w:top w:val="nil"/>
              <w:left w:val="nil"/>
              <w:bottom w:val="nil"/>
              <w:right w:val="nil"/>
            </w:tcBorders>
            <w:noWrap/>
            <w:vAlign w:val="bottom"/>
            <w:hideMark/>
          </w:tcPr>
          <w:p w14:paraId="0033F25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63E5548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4.76</w:t>
            </w:r>
          </w:p>
        </w:tc>
        <w:tc>
          <w:tcPr>
            <w:tcW w:w="392" w:type="pct"/>
            <w:tcBorders>
              <w:top w:val="nil"/>
              <w:left w:val="nil"/>
              <w:bottom w:val="nil"/>
              <w:right w:val="nil"/>
            </w:tcBorders>
            <w:noWrap/>
            <w:vAlign w:val="bottom"/>
            <w:hideMark/>
          </w:tcPr>
          <w:p w14:paraId="6FE916E9"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1.93</w:t>
            </w:r>
          </w:p>
        </w:tc>
        <w:tc>
          <w:tcPr>
            <w:tcW w:w="387" w:type="pct"/>
            <w:tcBorders>
              <w:top w:val="nil"/>
              <w:left w:val="nil"/>
              <w:bottom w:val="nil"/>
              <w:right w:val="nil"/>
            </w:tcBorders>
            <w:noWrap/>
            <w:vAlign w:val="bottom"/>
            <w:hideMark/>
          </w:tcPr>
          <w:p w14:paraId="5C20DCA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-1.68</w:t>
            </w:r>
          </w:p>
        </w:tc>
        <w:tc>
          <w:tcPr>
            <w:tcW w:w="365" w:type="pct"/>
            <w:tcBorders>
              <w:top w:val="nil"/>
              <w:left w:val="nil"/>
              <w:bottom w:val="nil"/>
              <w:right w:val="nil"/>
            </w:tcBorders>
            <w:noWrap/>
            <w:vAlign w:val="bottom"/>
            <w:hideMark/>
          </w:tcPr>
          <w:p w14:paraId="73BD139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0.88</w:t>
            </w:r>
          </w:p>
        </w:tc>
        <w:tc>
          <w:tcPr>
            <w:tcW w:w="343" w:type="pct"/>
            <w:tcBorders>
              <w:top w:val="nil"/>
              <w:left w:val="nil"/>
              <w:bottom w:val="nil"/>
              <w:right w:val="nil"/>
            </w:tcBorders>
            <w:noWrap/>
            <w:vAlign w:val="bottom"/>
            <w:hideMark/>
          </w:tcPr>
          <w:p w14:paraId="37A5281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1.90</w:t>
            </w:r>
          </w:p>
        </w:tc>
        <w:tc>
          <w:tcPr>
            <w:tcW w:w="343" w:type="pct"/>
            <w:tcBorders>
              <w:top w:val="nil"/>
              <w:left w:val="nil"/>
              <w:bottom w:val="nil"/>
              <w:right w:val="nil"/>
            </w:tcBorders>
            <w:noWrap/>
            <w:vAlign w:val="bottom"/>
            <w:hideMark/>
          </w:tcPr>
          <w:p w14:paraId="55FF3EF0"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3.36</w:t>
            </w:r>
          </w:p>
        </w:tc>
        <w:tc>
          <w:tcPr>
            <w:tcW w:w="343" w:type="pct"/>
            <w:tcBorders>
              <w:top w:val="nil"/>
              <w:left w:val="nil"/>
              <w:bottom w:val="nil"/>
              <w:right w:val="nil"/>
            </w:tcBorders>
            <w:noWrap/>
            <w:vAlign w:val="bottom"/>
            <w:hideMark/>
          </w:tcPr>
          <w:p w14:paraId="3C1E5574"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4.57</w:t>
            </w:r>
          </w:p>
        </w:tc>
        <w:tc>
          <w:tcPr>
            <w:tcW w:w="343" w:type="pct"/>
            <w:tcBorders>
              <w:top w:val="nil"/>
              <w:left w:val="nil"/>
              <w:bottom w:val="nil"/>
              <w:right w:val="nil"/>
            </w:tcBorders>
            <w:noWrap/>
            <w:vAlign w:val="bottom"/>
            <w:hideMark/>
          </w:tcPr>
          <w:p w14:paraId="72C11BEE"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6.03</w:t>
            </w:r>
          </w:p>
        </w:tc>
        <w:tc>
          <w:tcPr>
            <w:tcW w:w="353" w:type="pct"/>
            <w:tcBorders>
              <w:top w:val="nil"/>
              <w:left w:val="nil"/>
              <w:bottom w:val="nil"/>
              <w:right w:val="nil"/>
            </w:tcBorders>
            <w:noWrap/>
            <w:vAlign w:val="bottom"/>
            <w:hideMark/>
          </w:tcPr>
          <w:p w14:paraId="75595CA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8.18</w:t>
            </w:r>
          </w:p>
        </w:tc>
        <w:tc>
          <w:tcPr>
            <w:tcW w:w="392" w:type="pct"/>
            <w:tcBorders>
              <w:top w:val="nil"/>
              <w:left w:val="nil"/>
              <w:bottom w:val="nil"/>
              <w:right w:val="nil"/>
            </w:tcBorders>
            <w:noWrap/>
            <w:vAlign w:val="bottom"/>
            <w:hideMark/>
          </w:tcPr>
          <w:p w14:paraId="0044D27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9.70</w:t>
            </w:r>
          </w:p>
        </w:tc>
        <w:tc>
          <w:tcPr>
            <w:tcW w:w="436" w:type="pct"/>
            <w:tcBorders>
              <w:top w:val="nil"/>
              <w:left w:val="nil"/>
              <w:bottom w:val="nil"/>
              <w:right w:val="nil"/>
            </w:tcBorders>
            <w:noWrap/>
            <w:vAlign w:val="bottom"/>
            <w:hideMark/>
          </w:tcPr>
          <w:p w14:paraId="6B4B81B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12.40</w:t>
            </w:r>
          </w:p>
        </w:tc>
      </w:tr>
      <w:tr w:rsidR="004D5D50" w:rsidRPr="00617362" w14:paraId="4D0126E4" w14:textId="77777777" w:rsidTr="004A2E8B">
        <w:trPr>
          <w:trHeight w:val="285"/>
        </w:trPr>
        <w:tc>
          <w:tcPr>
            <w:tcW w:w="467" w:type="pct"/>
            <w:tcBorders>
              <w:top w:val="nil"/>
              <w:left w:val="nil"/>
              <w:bottom w:val="nil"/>
              <w:right w:val="nil"/>
            </w:tcBorders>
            <w:noWrap/>
            <w:vAlign w:val="center"/>
            <w:hideMark/>
          </w:tcPr>
          <w:p w14:paraId="51B4ECF6" w14:textId="77777777" w:rsidR="004D5D50" w:rsidRPr="00617362" w:rsidRDefault="004D5D50" w:rsidP="004A2E8B">
            <w:pPr>
              <w:spacing w:after="0" w:line="240" w:lineRule="auto"/>
              <w:rPr>
                <w:rFonts w:ascii="Times New Roman" w:eastAsia="Times New Roman" w:hAnsi="Times New Roman" w:cs="Times New Roman"/>
                <w:i/>
                <w:iCs/>
                <w:color w:val="000000"/>
                <w:sz w:val="20"/>
                <w:szCs w:val="20"/>
                <w:lang w:eastAsia="en-CA"/>
              </w:rPr>
            </w:pPr>
            <w:r w:rsidRPr="00617362">
              <w:rPr>
                <w:rFonts w:ascii="Times New Roman" w:eastAsia="Times New Roman" w:hAnsi="Times New Roman" w:cs="Times New Roman"/>
                <w:i/>
                <w:iCs/>
                <w:color w:val="000000"/>
                <w:sz w:val="20"/>
                <w:szCs w:val="20"/>
                <w:lang w:eastAsia="en-CA"/>
              </w:rPr>
              <w:t>|earn|</w:t>
            </w:r>
          </w:p>
        </w:tc>
        <w:tc>
          <w:tcPr>
            <w:tcW w:w="408" w:type="pct"/>
            <w:tcBorders>
              <w:top w:val="nil"/>
              <w:left w:val="nil"/>
              <w:bottom w:val="nil"/>
              <w:right w:val="nil"/>
            </w:tcBorders>
            <w:noWrap/>
            <w:vAlign w:val="bottom"/>
            <w:hideMark/>
          </w:tcPr>
          <w:p w14:paraId="24F381F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nil"/>
              <w:right w:val="nil"/>
            </w:tcBorders>
            <w:noWrap/>
            <w:vAlign w:val="bottom"/>
            <w:hideMark/>
          </w:tcPr>
          <w:p w14:paraId="2CCDD07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2.59</w:t>
            </w:r>
          </w:p>
        </w:tc>
        <w:tc>
          <w:tcPr>
            <w:tcW w:w="392" w:type="pct"/>
            <w:tcBorders>
              <w:top w:val="nil"/>
              <w:left w:val="nil"/>
              <w:bottom w:val="nil"/>
              <w:right w:val="nil"/>
            </w:tcBorders>
            <w:noWrap/>
            <w:vAlign w:val="bottom"/>
            <w:hideMark/>
          </w:tcPr>
          <w:p w14:paraId="6EC29EF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2.12</w:t>
            </w:r>
          </w:p>
        </w:tc>
        <w:tc>
          <w:tcPr>
            <w:tcW w:w="387" w:type="pct"/>
            <w:tcBorders>
              <w:top w:val="nil"/>
              <w:left w:val="nil"/>
              <w:bottom w:val="nil"/>
              <w:right w:val="nil"/>
            </w:tcBorders>
            <w:noWrap/>
            <w:vAlign w:val="bottom"/>
            <w:hideMark/>
          </w:tcPr>
          <w:p w14:paraId="3B589B9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-35.64</w:t>
            </w:r>
          </w:p>
        </w:tc>
        <w:tc>
          <w:tcPr>
            <w:tcW w:w="365" w:type="pct"/>
            <w:tcBorders>
              <w:top w:val="nil"/>
              <w:left w:val="nil"/>
              <w:bottom w:val="nil"/>
              <w:right w:val="nil"/>
            </w:tcBorders>
            <w:noWrap/>
            <w:vAlign w:val="bottom"/>
            <w:hideMark/>
          </w:tcPr>
          <w:p w14:paraId="51556BB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-2.25</w:t>
            </w:r>
          </w:p>
        </w:tc>
        <w:tc>
          <w:tcPr>
            <w:tcW w:w="343" w:type="pct"/>
            <w:tcBorders>
              <w:top w:val="nil"/>
              <w:left w:val="nil"/>
              <w:bottom w:val="nil"/>
              <w:right w:val="nil"/>
            </w:tcBorders>
            <w:noWrap/>
            <w:vAlign w:val="bottom"/>
            <w:hideMark/>
          </w:tcPr>
          <w:p w14:paraId="5512E58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-0.62</w:t>
            </w:r>
          </w:p>
        </w:tc>
        <w:tc>
          <w:tcPr>
            <w:tcW w:w="343" w:type="pct"/>
            <w:tcBorders>
              <w:top w:val="nil"/>
              <w:left w:val="nil"/>
              <w:bottom w:val="nil"/>
              <w:right w:val="nil"/>
            </w:tcBorders>
            <w:noWrap/>
            <w:vAlign w:val="bottom"/>
            <w:hideMark/>
          </w:tcPr>
          <w:p w14:paraId="50FBA0B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1.13</w:t>
            </w:r>
          </w:p>
        </w:tc>
        <w:tc>
          <w:tcPr>
            <w:tcW w:w="343" w:type="pct"/>
            <w:tcBorders>
              <w:top w:val="nil"/>
              <w:left w:val="nil"/>
              <w:bottom w:val="nil"/>
              <w:right w:val="nil"/>
            </w:tcBorders>
            <w:noWrap/>
            <w:vAlign w:val="bottom"/>
            <w:hideMark/>
          </w:tcPr>
          <w:p w14:paraId="60525DCE"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2.46</w:t>
            </w:r>
          </w:p>
        </w:tc>
        <w:tc>
          <w:tcPr>
            <w:tcW w:w="343" w:type="pct"/>
            <w:tcBorders>
              <w:top w:val="nil"/>
              <w:left w:val="nil"/>
              <w:bottom w:val="nil"/>
              <w:right w:val="nil"/>
            </w:tcBorders>
            <w:noWrap/>
            <w:vAlign w:val="bottom"/>
            <w:hideMark/>
          </w:tcPr>
          <w:p w14:paraId="52E59E4C"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3.97</w:t>
            </w:r>
          </w:p>
        </w:tc>
        <w:tc>
          <w:tcPr>
            <w:tcW w:w="353" w:type="pct"/>
            <w:tcBorders>
              <w:top w:val="nil"/>
              <w:left w:val="nil"/>
              <w:bottom w:val="nil"/>
              <w:right w:val="nil"/>
            </w:tcBorders>
            <w:noWrap/>
            <w:vAlign w:val="bottom"/>
            <w:hideMark/>
          </w:tcPr>
          <w:p w14:paraId="4DF6AA1E"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6.25</w:t>
            </w:r>
          </w:p>
        </w:tc>
        <w:tc>
          <w:tcPr>
            <w:tcW w:w="392" w:type="pct"/>
            <w:tcBorders>
              <w:top w:val="nil"/>
              <w:left w:val="nil"/>
              <w:bottom w:val="nil"/>
              <w:right w:val="nil"/>
            </w:tcBorders>
            <w:noWrap/>
            <w:vAlign w:val="bottom"/>
            <w:hideMark/>
          </w:tcPr>
          <w:p w14:paraId="0AE918F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7.86</w:t>
            </w:r>
          </w:p>
        </w:tc>
        <w:tc>
          <w:tcPr>
            <w:tcW w:w="436" w:type="pct"/>
            <w:tcBorders>
              <w:top w:val="nil"/>
              <w:left w:val="nil"/>
              <w:bottom w:val="nil"/>
              <w:right w:val="nil"/>
            </w:tcBorders>
            <w:noWrap/>
            <w:vAlign w:val="bottom"/>
            <w:hideMark/>
          </w:tcPr>
          <w:p w14:paraId="2B6E9970"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11.11</w:t>
            </w:r>
          </w:p>
        </w:tc>
      </w:tr>
      <w:tr w:rsidR="004D5D50" w:rsidRPr="00617362" w14:paraId="30139581" w14:textId="77777777" w:rsidTr="004A2E8B">
        <w:trPr>
          <w:trHeight w:val="255"/>
        </w:trPr>
        <w:tc>
          <w:tcPr>
            <w:tcW w:w="467" w:type="pct"/>
            <w:tcBorders>
              <w:top w:val="nil"/>
              <w:left w:val="nil"/>
              <w:bottom w:val="single" w:sz="4" w:space="0" w:color="auto"/>
              <w:right w:val="nil"/>
            </w:tcBorders>
            <w:noWrap/>
            <w:vAlign w:val="center"/>
            <w:hideMark/>
          </w:tcPr>
          <w:p w14:paraId="403DE46D" w14:textId="77777777" w:rsidR="004D5D50" w:rsidRPr="00617362" w:rsidRDefault="004D5D50" w:rsidP="004A2E8B">
            <w:pPr>
              <w:spacing w:after="0" w:line="240" w:lineRule="auto"/>
              <w:rPr>
                <w:rFonts w:ascii="Times New Roman" w:eastAsia="Times New Roman" w:hAnsi="Times New Roman" w:cs="Times New Roman"/>
                <w:i/>
                <w:iCs/>
                <w:color w:val="000000"/>
                <w:sz w:val="20"/>
                <w:szCs w:val="20"/>
                <w:lang w:eastAsia="en-CA"/>
              </w:rPr>
            </w:pPr>
            <w:proofErr w:type="spellStart"/>
            <w:r w:rsidRPr="00617362">
              <w:rPr>
                <w:rFonts w:ascii="Times New Roman" w:eastAsia="Times New Roman" w:hAnsi="Times New Roman" w:cs="Times New Roman"/>
                <w:i/>
                <w:iCs/>
                <w:color w:val="000000"/>
                <w:sz w:val="20"/>
                <w:szCs w:val="20"/>
                <w:lang w:eastAsia="en-CA"/>
              </w:rPr>
              <w:t>rd</w:t>
            </w:r>
            <w:proofErr w:type="spellEnd"/>
          </w:p>
        </w:tc>
        <w:tc>
          <w:tcPr>
            <w:tcW w:w="408" w:type="pct"/>
            <w:tcBorders>
              <w:top w:val="nil"/>
              <w:left w:val="nil"/>
              <w:bottom w:val="single" w:sz="4" w:space="0" w:color="auto"/>
              <w:right w:val="nil"/>
            </w:tcBorders>
            <w:noWrap/>
            <w:vAlign w:val="bottom"/>
            <w:hideMark/>
          </w:tcPr>
          <w:p w14:paraId="2170FD2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129,074</w:t>
            </w:r>
          </w:p>
        </w:tc>
        <w:tc>
          <w:tcPr>
            <w:tcW w:w="430" w:type="pct"/>
            <w:tcBorders>
              <w:top w:val="nil"/>
              <w:left w:val="nil"/>
              <w:bottom w:val="single" w:sz="4" w:space="0" w:color="auto"/>
              <w:right w:val="nil"/>
            </w:tcBorders>
            <w:noWrap/>
            <w:vAlign w:val="bottom"/>
            <w:hideMark/>
          </w:tcPr>
          <w:p w14:paraId="06AC3C3A"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1.58</w:t>
            </w:r>
          </w:p>
        </w:tc>
        <w:tc>
          <w:tcPr>
            <w:tcW w:w="392" w:type="pct"/>
            <w:tcBorders>
              <w:top w:val="nil"/>
              <w:left w:val="nil"/>
              <w:bottom w:val="single" w:sz="4" w:space="0" w:color="auto"/>
              <w:right w:val="nil"/>
            </w:tcBorders>
            <w:noWrap/>
            <w:vAlign w:val="bottom"/>
            <w:hideMark/>
          </w:tcPr>
          <w:p w14:paraId="188F3100"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2.08</w:t>
            </w:r>
          </w:p>
        </w:tc>
        <w:tc>
          <w:tcPr>
            <w:tcW w:w="387" w:type="pct"/>
            <w:tcBorders>
              <w:top w:val="nil"/>
              <w:left w:val="nil"/>
              <w:bottom w:val="single" w:sz="4" w:space="0" w:color="auto"/>
              <w:right w:val="nil"/>
            </w:tcBorders>
            <w:noWrap/>
            <w:vAlign w:val="bottom"/>
            <w:hideMark/>
          </w:tcPr>
          <w:p w14:paraId="48577BC1"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65" w:type="pct"/>
            <w:tcBorders>
              <w:top w:val="nil"/>
              <w:left w:val="nil"/>
              <w:bottom w:val="single" w:sz="4" w:space="0" w:color="auto"/>
              <w:right w:val="nil"/>
            </w:tcBorders>
            <w:noWrap/>
            <w:vAlign w:val="bottom"/>
            <w:hideMark/>
          </w:tcPr>
          <w:p w14:paraId="5F338223"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single" w:sz="4" w:space="0" w:color="auto"/>
              <w:right w:val="nil"/>
            </w:tcBorders>
            <w:noWrap/>
            <w:vAlign w:val="bottom"/>
            <w:hideMark/>
          </w:tcPr>
          <w:p w14:paraId="56146F8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single" w:sz="4" w:space="0" w:color="auto"/>
              <w:right w:val="nil"/>
            </w:tcBorders>
            <w:noWrap/>
            <w:vAlign w:val="bottom"/>
            <w:hideMark/>
          </w:tcPr>
          <w:p w14:paraId="69085135"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0.00</w:t>
            </w:r>
          </w:p>
        </w:tc>
        <w:tc>
          <w:tcPr>
            <w:tcW w:w="343" w:type="pct"/>
            <w:tcBorders>
              <w:top w:val="nil"/>
              <w:left w:val="nil"/>
              <w:bottom w:val="single" w:sz="4" w:space="0" w:color="auto"/>
              <w:right w:val="nil"/>
            </w:tcBorders>
            <w:noWrap/>
            <w:vAlign w:val="bottom"/>
            <w:hideMark/>
          </w:tcPr>
          <w:p w14:paraId="7F20480D"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0.04</w:t>
            </w:r>
          </w:p>
        </w:tc>
        <w:tc>
          <w:tcPr>
            <w:tcW w:w="343" w:type="pct"/>
            <w:tcBorders>
              <w:top w:val="nil"/>
              <w:left w:val="nil"/>
              <w:bottom w:val="single" w:sz="4" w:space="0" w:color="auto"/>
              <w:right w:val="nil"/>
            </w:tcBorders>
            <w:noWrap/>
            <w:vAlign w:val="bottom"/>
            <w:hideMark/>
          </w:tcPr>
          <w:p w14:paraId="147906D9"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2.97</w:t>
            </w:r>
          </w:p>
        </w:tc>
        <w:tc>
          <w:tcPr>
            <w:tcW w:w="353" w:type="pct"/>
            <w:tcBorders>
              <w:top w:val="nil"/>
              <w:left w:val="nil"/>
              <w:bottom w:val="single" w:sz="4" w:space="0" w:color="auto"/>
              <w:right w:val="nil"/>
            </w:tcBorders>
            <w:noWrap/>
            <w:vAlign w:val="bottom"/>
            <w:hideMark/>
          </w:tcPr>
          <w:p w14:paraId="02086A8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5.70</w:t>
            </w:r>
          </w:p>
        </w:tc>
        <w:tc>
          <w:tcPr>
            <w:tcW w:w="392" w:type="pct"/>
            <w:tcBorders>
              <w:top w:val="nil"/>
              <w:left w:val="nil"/>
              <w:bottom w:val="single" w:sz="4" w:space="0" w:color="auto"/>
              <w:right w:val="nil"/>
            </w:tcBorders>
            <w:noWrap/>
            <w:vAlign w:val="bottom"/>
            <w:hideMark/>
          </w:tcPr>
          <w:p w14:paraId="17EAAF22"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7.71</w:t>
            </w:r>
          </w:p>
        </w:tc>
        <w:tc>
          <w:tcPr>
            <w:tcW w:w="436" w:type="pct"/>
            <w:tcBorders>
              <w:top w:val="nil"/>
              <w:left w:val="nil"/>
              <w:bottom w:val="single" w:sz="4" w:space="0" w:color="auto"/>
              <w:right w:val="nil"/>
            </w:tcBorders>
            <w:noWrap/>
            <w:vAlign w:val="bottom"/>
            <w:hideMark/>
          </w:tcPr>
          <w:p w14:paraId="214D5DC8" w14:textId="77777777" w:rsidR="004D5D50" w:rsidRPr="00617362"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D4DA0">
              <w:rPr>
                <w:rFonts w:ascii="Times New Roman" w:eastAsia="Times New Roman" w:hAnsi="Times New Roman" w:cs="Times New Roman"/>
                <w:color w:val="000000"/>
                <w:sz w:val="20"/>
                <w:szCs w:val="20"/>
                <w:lang w:eastAsia="en-GB"/>
              </w:rPr>
              <w:t>11.76</w:t>
            </w:r>
          </w:p>
        </w:tc>
      </w:tr>
    </w:tbl>
    <w:p w14:paraId="7A5B3327" w14:textId="77777777" w:rsidR="004D5D50" w:rsidRDefault="004D5D50" w:rsidP="004D5D50">
      <w:pPr>
        <w:rPr>
          <w:rFonts w:ascii="Times New Roman" w:hAnsi="Times New Roman" w:cs="Times New Roman"/>
          <w:b/>
          <w:sz w:val="20"/>
          <w:szCs w:val="20"/>
        </w:rPr>
      </w:pPr>
      <w:r>
        <w:rPr>
          <w:rFonts w:ascii="Times New Roman" w:hAnsi="Times New Roman" w:cs="Times New Roman"/>
          <w:b/>
          <w:sz w:val="20"/>
          <w:szCs w:val="20"/>
        </w:rPr>
        <w:br w:type="page"/>
      </w:r>
    </w:p>
    <w:p w14:paraId="17C64F57" w14:textId="77777777" w:rsidR="004D5D50" w:rsidRPr="006A0B5D" w:rsidRDefault="004D5D50" w:rsidP="004D5D5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TABLE A2</w:t>
      </w:r>
    </w:p>
    <w:p w14:paraId="2DDE6CF0" w14:textId="77777777" w:rsidR="004D5D50" w:rsidRPr="00460990" w:rsidRDefault="004D5D50" w:rsidP="004D5D50">
      <w:pPr>
        <w:jc w:val="center"/>
        <w:rPr>
          <w:rFonts w:ascii="Times New Roman" w:hAnsi="Times New Roman" w:cs="Times New Roman"/>
          <w:b/>
          <w:bCs/>
          <w:sz w:val="20"/>
          <w:szCs w:val="20"/>
        </w:rPr>
      </w:pPr>
      <w:r w:rsidRPr="00460990">
        <w:rPr>
          <w:rFonts w:ascii="Times New Roman" w:hAnsi="Times New Roman" w:cs="Times New Roman"/>
          <w:b/>
          <w:bCs/>
          <w:sz w:val="20"/>
          <w:szCs w:val="20"/>
        </w:rPr>
        <w:t xml:space="preserve">Valuation </w:t>
      </w:r>
      <w:r>
        <w:rPr>
          <w:rFonts w:ascii="Times New Roman" w:hAnsi="Times New Roman" w:cs="Times New Roman"/>
          <w:b/>
          <w:bCs/>
          <w:sz w:val="20"/>
          <w:szCs w:val="20"/>
        </w:rPr>
        <w:t>M</w:t>
      </w:r>
      <w:r w:rsidRPr="00460990">
        <w:rPr>
          <w:rFonts w:ascii="Times New Roman" w:hAnsi="Times New Roman" w:cs="Times New Roman"/>
          <w:b/>
          <w:bCs/>
          <w:sz w:val="20"/>
          <w:szCs w:val="20"/>
        </w:rPr>
        <w:t xml:space="preserve">odel </w:t>
      </w:r>
      <w:r>
        <w:rPr>
          <w:rFonts w:ascii="Times New Roman" w:hAnsi="Times New Roman" w:cs="Times New Roman"/>
          <w:b/>
          <w:bCs/>
          <w:sz w:val="20"/>
          <w:szCs w:val="20"/>
        </w:rPr>
        <w:t>E</w:t>
      </w:r>
      <w:r w:rsidRPr="00460990">
        <w:rPr>
          <w:rFonts w:ascii="Times New Roman" w:hAnsi="Times New Roman" w:cs="Times New Roman"/>
          <w:b/>
          <w:bCs/>
          <w:sz w:val="20"/>
          <w:szCs w:val="20"/>
        </w:rPr>
        <w:t>stimation</w:t>
      </w:r>
      <w:r>
        <w:rPr>
          <w:rFonts w:ascii="Times New Roman" w:hAnsi="Times New Roman" w:cs="Times New Roman"/>
          <w:b/>
          <w:bCs/>
          <w:sz w:val="20"/>
          <w:szCs w:val="20"/>
        </w:rPr>
        <w:t>: All Other Industries</w:t>
      </w:r>
    </w:p>
    <w:p w14:paraId="4905ECBB" w14:textId="77777777" w:rsidR="004D5D50" w:rsidRDefault="004D5D50" w:rsidP="004D5D50">
      <w:pPr>
        <w:spacing w:after="0"/>
        <w:jc w:val="both"/>
        <w:rPr>
          <w:rFonts w:ascii="Times New Roman" w:hAnsi="Times New Roman" w:cs="Times New Roman"/>
          <w:sz w:val="20"/>
          <w:szCs w:val="20"/>
        </w:rPr>
      </w:pPr>
      <w:r>
        <w:rPr>
          <w:rFonts w:ascii="Times New Roman" w:hAnsi="Times New Roman" w:cs="Times New Roman"/>
          <w:sz w:val="20"/>
          <w:szCs w:val="20"/>
        </w:rPr>
        <w:t>This table reports the results of estimating the valuation model in eq. (5) using annual cross-sectional regressions (Fama-MacBeth style) for the Fama-French 12 industries not shown in the main text. Panel A reports the output for consumer non-durables, consumer durables, and energy. Panel B reports the output for chemicals and allied products, telephone and TV transmission, and wholesale. Panel C reports the output for medical, and everything else (except finance). Columns (1), (5), and (9) report the OLS estimation results. Columns (2), (6), and (10) report estimation results from quantile regressions estimated at the 25</w:t>
      </w:r>
      <w:r w:rsidRPr="000827E3">
        <w:rPr>
          <w:rFonts w:ascii="Times New Roman" w:hAnsi="Times New Roman" w:cs="Times New Roman"/>
          <w:sz w:val="20"/>
          <w:szCs w:val="20"/>
        </w:rPr>
        <w:t>th</w:t>
      </w:r>
      <w:r>
        <w:rPr>
          <w:rFonts w:ascii="Times New Roman" w:hAnsi="Times New Roman" w:cs="Times New Roman"/>
          <w:sz w:val="20"/>
          <w:szCs w:val="20"/>
        </w:rPr>
        <w:t xml:space="preserve"> percentile. Columns (3), (7), and (11) report estimation results from quantile regressions estimated at the 75</w:t>
      </w:r>
      <w:r w:rsidRPr="000827E3">
        <w:rPr>
          <w:rFonts w:ascii="Times New Roman" w:hAnsi="Times New Roman" w:cs="Times New Roman"/>
          <w:sz w:val="20"/>
          <w:szCs w:val="20"/>
        </w:rPr>
        <w:t>th</w:t>
      </w:r>
      <w:r>
        <w:rPr>
          <w:rFonts w:ascii="Times New Roman" w:hAnsi="Times New Roman" w:cs="Times New Roman"/>
          <w:sz w:val="20"/>
          <w:szCs w:val="20"/>
        </w:rPr>
        <w:t xml:space="preserve"> percentile. Columns (4), (8), and (12) report the so-called IQR coefficients, which equal the difference in coefficients on the same regressor between quantile regressions estimated at the 75</w:t>
      </w:r>
      <w:r w:rsidRPr="000827E3">
        <w:rPr>
          <w:rFonts w:ascii="Times New Roman" w:hAnsi="Times New Roman" w:cs="Times New Roman"/>
          <w:sz w:val="20"/>
          <w:szCs w:val="20"/>
          <w:vertAlign w:val="superscript"/>
        </w:rPr>
        <w:t>th</w:t>
      </w:r>
      <w:r>
        <w:rPr>
          <w:rFonts w:ascii="Times New Roman" w:hAnsi="Times New Roman" w:cs="Times New Roman"/>
          <w:sz w:val="20"/>
          <w:szCs w:val="20"/>
        </w:rPr>
        <w:t xml:space="preserve"> and 25</w:t>
      </w:r>
      <w:r w:rsidRPr="00AE2784">
        <w:rPr>
          <w:rFonts w:ascii="Times New Roman" w:hAnsi="Times New Roman" w:cs="Times New Roman"/>
          <w:sz w:val="20"/>
          <w:szCs w:val="20"/>
          <w:vertAlign w:val="superscript"/>
        </w:rPr>
        <w:t>th</w:t>
      </w:r>
      <w:r>
        <w:rPr>
          <w:rFonts w:ascii="Times New Roman" w:hAnsi="Times New Roman" w:cs="Times New Roman"/>
          <w:sz w:val="20"/>
          <w:szCs w:val="20"/>
        </w:rPr>
        <w:t xml:space="preserve"> percentiles. The regression model is:</w:t>
      </w:r>
    </w:p>
    <w:p w14:paraId="0357AEF5" w14:textId="77777777" w:rsidR="004D5D50" w:rsidRPr="001A533F" w:rsidRDefault="004D5D50" w:rsidP="004D5D50">
      <w:pPr>
        <w:spacing w:line="240" w:lineRule="auto"/>
        <w:jc w:val="center"/>
        <w:rPr>
          <w:rFonts w:ascii="Times New Roman" w:hAnsi="Times New Roman" w:cs="Times New Roman"/>
        </w:rPr>
      </w:pPr>
      <w:proofErr w:type="spellStart"/>
      <w:r w:rsidRPr="001A533F">
        <w:rPr>
          <w:rFonts w:ascii="Times New Roman" w:hAnsi="Times New Roman" w:cs="Times New Roman"/>
          <w:i/>
        </w:rPr>
        <w:t>m</w:t>
      </w:r>
      <w:r w:rsidRPr="001A533F">
        <w:rPr>
          <w:rFonts w:ascii="Times New Roman" w:hAnsi="Times New Roman" w:cs="Times New Roman"/>
          <w:i/>
          <w:vertAlign w:val="subscript"/>
        </w:rPr>
        <w:t>it</w:t>
      </w:r>
      <w:proofErr w:type="spellEnd"/>
      <w:r w:rsidRPr="001A533F">
        <w:rPr>
          <w:rFonts w:ascii="Times New Roman" w:hAnsi="Times New Roman" w:cs="Times New Roman"/>
          <w:i/>
        </w:rPr>
        <w:t xml:space="preserve"> = α</w:t>
      </w:r>
      <w:r w:rsidRPr="001A533F">
        <w:rPr>
          <w:rFonts w:ascii="Times New Roman" w:hAnsi="Times New Roman" w:cs="Times New Roman"/>
          <w:i/>
          <w:vertAlign w:val="subscript"/>
        </w:rPr>
        <w:t>0jt</w:t>
      </w:r>
      <w:r w:rsidRPr="001A533F">
        <w:rPr>
          <w:rFonts w:ascii="Times New Roman" w:hAnsi="Times New Roman" w:cs="Times New Roman"/>
          <w:i/>
        </w:rPr>
        <w:t xml:space="preserve"> + α</w:t>
      </w:r>
      <w:r w:rsidRPr="001A533F">
        <w:rPr>
          <w:rFonts w:ascii="Times New Roman" w:hAnsi="Times New Roman" w:cs="Times New Roman"/>
          <w:i/>
          <w:vertAlign w:val="subscript"/>
        </w:rPr>
        <w:t>1jt</w:t>
      </w:r>
      <w:r w:rsidRPr="001A533F">
        <w:rPr>
          <w:rFonts w:ascii="Times New Roman" w:hAnsi="Times New Roman" w:cs="Times New Roman"/>
          <w:i/>
        </w:rPr>
        <w:t>b</w:t>
      </w:r>
      <w:r w:rsidRPr="001A533F">
        <w:rPr>
          <w:rFonts w:ascii="Times New Roman" w:hAnsi="Times New Roman" w:cs="Times New Roman"/>
          <w:i/>
          <w:vertAlign w:val="subscript"/>
        </w:rPr>
        <w:t xml:space="preserve">it </w:t>
      </w:r>
      <w:r w:rsidRPr="001A533F">
        <w:rPr>
          <w:rFonts w:ascii="Times New Roman" w:hAnsi="Times New Roman" w:cs="Times New Roman"/>
          <w:i/>
        </w:rPr>
        <w:t>+ α</w:t>
      </w:r>
      <w:r w:rsidRPr="001A533F">
        <w:rPr>
          <w:rFonts w:ascii="Times New Roman" w:hAnsi="Times New Roman" w:cs="Times New Roman"/>
          <w:i/>
          <w:vertAlign w:val="subscript"/>
        </w:rPr>
        <w:t xml:space="preserve">2jt </w:t>
      </w:r>
      <w:r w:rsidRPr="001A533F">
        <w:rPr>
          <w:rFonts w:ascii="Times New Roman" w:hAnsi="Times New Roman" w:cs="Times New Roman"/>
        </w:rPr>
        <w:t>|</w:t>
      </w:r>
      <w:proofErr w:type="spellStart"/>
      <w:r w:rsidRPr="001A533F">
        <w:rPr>
          <w:rFonts w:ascii="Times New Roman" w:hAnsi="Times New Roman" w:cs="Times New Roman"/>
          <w:i/>
        </w:rPr>
        <w:t>earn</w:t>
      </w:r>
      <w:r w:rsidRPr="001A533F">
        <w:rPr>
          <w:rFonts w:ascii="Times New Roman" w:hAnsi="Times New Roman" w:cs="Times New Roman"/>
          <w:i/>
          <w:vertAlign w:val="subscript"/>
        </w:rPr>
        <w:t>it</w:t>
      </w:r>
      <w:proofErr w:type="spellEnd"/>
      <w:r w:rsidRPr="001A533F">
        <w:rPr>
          <w:rFonts w:ascii="Times New Roman" w:hAnsi="Times New Roman" w:cs="Times New Roman"/>
        </w:rPr>
        <w:t>|</w:t>
      </w:r>
      <w:r w:rsidRPr="001A533F">
        <w:rPr>
          <w:rFonts w:ascii="Times New Roman" w:hAnsi="Times New Roman" w:cs="Times New Roman"/>
          <w:i/>
        </w:rPr>
        <w:t>+ α</w:t>
      </w:r>
      <w:r w:rsidRPr="001A533F">
        <w:rPr>
          <w:rFonts w:ascii="Times New Roman" w:hAnsi="Times New Roman" w:cs="Times New Roman"/>
          <w:i/>
          <w:vertAlign w:val="subscript"/>
        </w:rPr>
        <w:t>3jt</w:t>
      </w:r>
      <w:r w:rsidRPr="001A533F">
        <w:rPr>
          <w:rFonts w:ascii="Times New Roman" w:hAnsi="Times New Roman" w:cs="Times New Roman"/>
          <w:i/>
        </w:rPr>
        <w:t>I</w:t>
      </w:r>
      <w:r w:rsidRPr="001A533F">
        <w:rPr>
          <w:rFonts w:ascii="Times New Roman" w:hAnsi="Times New Roman" w:cs="Times New Roman"/>
          <w:i/>
          <w:vertAlign w:val="subscript"/>
        </w:rPr>
        <w:t>(EARN&lt;0)</w:t>
      </w:r>
      <w:r w:rsidRPr="001A533F">
        <w:rPr>
          <w:rFonts w:ascii="Times New Roman" w:hAnsi="Times New Roman" w:cs="Times New Roman"/>
        </w:rPr>
        <w:t>×|</w:t>
      </w:r>
      <w:proofErr w:type="spellStart"/>
      <w:r w:rsidRPr="001A533F">
        <w:rPr>
          <w:rFonts w:ascii="Times New Roman" w:hAnsi="Times New Roman" w:cs="Times New Roman"/>
          <w:i/>
        </w:rPr>
        <w:t>earn</w:t>
      </w:r>
      <w:r w:rsidRPr="001A533F">
        <w:rPr>
          <w:rFonts w:ascii="Times New Roman" w:hAnsi="Times New Roman" w:cs="Times New Roman"/>
          <w:i/>
          <w:vertAlign w:val="subscript"/>
        </w:rPr>
        <w:t>it</w:t>
      </w:r>
      <w:proofErr w:type="spellEnd"/>
      <w:r w:rsidRPr="001A533F">
        <w:rPr>
          <w:rFonts w:ascii="Times New Roman" w:hAnsi="Times New Roman" w:cs="Times New Roman"/>
        </w:rPr>
        <w:t>|</w:t>
      </w:r>
      <w:r w:rsidRPr="001A533F">
        <w:rPr>
          <w:rFonts w:ascii="Times New Roman" w:hAnsi="Times New Roman" w:cs="Times New Roman"/>
          <w:i/>
        </w:rPr>
        <w:t xml:space="preserve"> + α</w:t>
      </w:r>
      <w:r w:rsidRPr="001A533F">
        <w:rPr>
          <w:rFonts w:ascii="Times New Roman" w:hAnsi="Times New Roman" w:cs="Times New Roman"/>
          <w:i/>
          <w:vertAlign w:val="subscript"/>
        </w:rPr>
        <w:t>4jt</w:t>
      </w:r>
      <w:r w:rsidRPr="001A533F">
        <w:rPr>
          <w:rFonts w:ascii="Times New Roman" w:hAnsi="Times New Roman" w:cs="Times New Roman"/>
          <w:i/>
        </w:rPr>
        <w:t>LEV</w:t>
      </w:r>
      <w:r w:rsidRPr="001A533F">
        <w:rPr>
          <w:rFonts w:ascii="Times New Roman" w:hAnsi="Times New Roman" w:cs="Times New Roman"/>
          <w:i/>
          <w:vertAlign w:val="subscript"/>
        </w:rPr>
        <w:t>it</w:t>
      </w:r>
      <w:r w:rsidRPr="001A533F">
        <w:rPr>
          <w:rFonts w:ascii="Times New Roman" w:hAnsi="Times New Roman" w:cs="Times New Roman"/>
          <w:i/>
        </w:rPr>
        <w:t xml:space="preserve"> + α</w:t>
      </w:r>
      <w:r w:rsidRPr="001A533F">
        <w:rPr>
          <w:rFonts w:ascii="Times New Roman" w:hAnsi="Times New Roman" w:cs="Times New Roman"/>
          <w:i/>
          <w:vertAlign w:val="subscript"/>
        </w:rPr>
        <w:t>5jt</w:t>
      </w:r>
      <w:r w:rsidRPr="001A533F">
        <w:rPr>
          <w:rFonts w:ascii="Times New Roman" w:hAnsi="Times New Roman" w:cs="Times New Roman"/>
          <w:i/>
        </w:rPr>
        <w:t>rd</w:t>
      </w:r>
      <w:r w:rsidRPr="001A533F">
        <w:rPr>
          <w:rFonts w:ascii="Times New Roman" w:hAnsi="Times New Roman" w:cs="Times New Roman"/>
          <w:i/>
          <w:vertAlign w:val="subscript"/>
        </w:rPr>
        <w:t>it</w:t>
      </w:r>
      <w:r w:rsidRPr="001A533F">
        <w:rPr>
          <w:rFonts w:ascii="Times New Roman" w:hAnsi="Times New Roman" w:cs="Times New Roman"/>
          <w:i/>
        </w:rPr>
        <w:t xml:space="preserve"> + </w:t>
      </w:r>
      <w:proofErr w:type="spellStart"/>
      <w:r w:rsidRPr="001A533F">
        <w:rPr>
          <w:rFonts w:ascii="Times New Roman" w:hAnsi="Times New Roman" w:cs="Times New Roman"/>
          <w:i/>
        </w:rPr>
        <w:t>ε</w:t>
      </w:r>
      <w:r w:rsidRPr="001A533F">
        <w:rPr>
          <w:rFonts w:ascii="Times New Roman" w:hAnsi="Times New Roman" w:cs="Times New Roman"/>
          <w:i/>
          <w:vertAlign w:val="subscript"/>
        </w:rPr>
        <w:t>it</w:t>
      </w:r>
      <w:proofErr w:type="spellEnd"/>
      <w:r w:rsidRPr="001A533F">
        <w:rPr>
          <w:rFonts w:ascii="Times New Roman" w:hAnsi="Times New Roman" w:cs="Times New Roman"/>
          <w:i/>
        </w:rPr>
        <w:t>,</w:t>
      </w:r>
    </w:p>
    <w:p w14:paraId="55DFAB7E" w14:textId="77777777" w:rsidR="004D5D50" w:rsidRDefault="004D5D50" w:rsidP="004D5D50">
      <w:pPr>
        <w:jc w:val="both"/>
        <w:rPr>
          <w:rFonts w:ascii="Times New Roman" w:hAnsi="Times New Roman" w:cs="Times New Roman"/>
          <w:sz w:val="20"/>
          <w:szCs w:val="20"/>
        </w:rPr>
      </w:pPr>
      <w:r w:rsidRPr="005E44FC">
        <w:rPr>
          <w:rFonts w:ascii="Times New Roman" w:hAnsi="Times New Roman" w:cs="Times New Roman"/>
          <w:sz w:val="20"/>
          <w:szCs w:val="20"/>
        </w:rPr>
        <w:t xml:space="preserve">where </w:t>
      </w:r>
      <w:proofErr w:type="spellStart"/>
      <w:r w:rsidRPr="001A533F">
        <w:rPr>
          <w:rFonts w:ascii="Times New Roman" w:hAnsi="Times New Roman" w:cs="Times New Roman"/>
          <w:i/>
        </w:rPr>
        <w:t>m</w:t>
      </w:r>
      <w:r w:rsidRPr="001A533F">
        <w:rPr>
          <w:rFonts w:ascii="Times New Roman" w:hAnsi="Times New Roman" w:cs="Times New Roman"/>
          <w:i/>
          <w:vertAlign w:val="subscript"/>
        </w:rPr>
        <w:t>it</w:t>
      </w:r>
      <w:proofErr w:type="spellEnd"/>
      <w:r w:rsidRPr="005E44FC">
        <w:rPr>
          <w:rFonts w:ascii="Times New Roman" w:hAnsi="Times New Roman" w:cs="Times New Roman"/>
          <w:sz w:val="20"/>
          <w:szCs w:val="20"/>
          <w:vertAlign w:val="subscript"/>
        </w:rPr>
        <w:t xml:space="preserve"> </w:t>
      </w:r>
      <w:r w:rsidRPr="005E44FC">
        <w:rPr>
          <w:rFonts w:ascii="Times New Roman" w:hAnsi="Times New Roman" w:cs="Times New Roman"/>
          <w:sz w:val="20"/>
          <w:szCs w:val="20"/>
        </w:rPr>
        <w:t>is log</w:t>
      </w:r>
      <w:r>
        <w:rPr>
          <w:rFonts w:ascii="Times New Roman" w:hAnsi="Times New Roman" w:cs="Times New Roman"/>
          <w:sz w:val="20"/>
          <w:szCs w:val="20"/>
        </w:rPr>
        <w:t xml:space="preserve"> (modified)</w:t>
      </w:r>
      <w:r w:rsidRPr="005E44FC">
        <w:rPr>
          <w:rFonts w:ascii="Times New Roman" w:hAnsi="Times New Roman" w:cs="Times New Roman"/>
          <w:sz w:val="20"/>
          <w:szCs w:val="20"/>
        </w:rPr>
        <w:t xml:space="preserve"> market value of equity</w:t>
      </w:r>
      <w:r w:rsidRPr="001A533F">
        <w:rPr>
          <w:rFonts w:ascii="Times New Roman" w:hAnsi="Times New Roman" w:cs="Times New Roman"/>
        </w:rPr>
        <w:t xml:space="preserve">, </w:t>
      </w:r>
      <w:r w:rsidRPr="001A533F">
        <w:rPr>
          <w:rFonts w:ascii="Times New Roman" w:hAnsi="Times New Roman" w:cs="Times New Roman"/>
          <w:i/>
        </w:rPr>
        <w:t>b</w:t>
      </w:r>
      <w:r w:rsidRPr="001A533F">
        <w:rPr>
          <w:rFonts w:ascii="Times New Roman" w:hAnsi="Times New Roman" w:cs="Times New Roman"/>
          <w:i/>
          <w:vertAlign w:val="subscript"/>
        </w:rPr>
        <w:t>it</w:t>
      </w:r>
      <w:r w:rsidRPr="005E44FC">
        <w:rPr>
          <w:rFonts w:ascii="Times New Roman" w:hAnsi="Times New Roman" w:cs="Times New Roman"/>
          <w:sz w:val="24"/>
          <w:szCs w:val="24"/>
        </w:rPr>
        <w:t xml:space="preserve"> </w:t>
      </w:r>
      <w:r w:rsidRPr="005E44FC">
        <w:rPr>
          <w:rFonts w:ascii="Times New Roman" w:hAnsi="Times New Roman" w:cs="Times New Roman"/>
          <w:sz w:val="20"/>
          <w:szCs w:val="20"/>
        </w:rPr>
        <w:t xml:space="preserve">is log book value of </w:t>
      </w:r>
      <w:r w:rsidRPr="00E9403C">
        <w:rPr>
          <w:rFonts w:ascii="Times New Roman" w:hAnsi="Times New Roman" w:cs="Times New Roman"/>
          <w:sz w:val="20"/>
          <w:szCs w:val="20"/>
        </w:rPr>
        <w:t xml:space="preserve">equity, </w:t>
      </w:r>
      <w:r w:rsidRPr="00DD74AD">
        <w:rPr>
          <w:rFonts w:ascii="Times New Roman" w:hAnsi="Times New Roman" w:cs="Times New Roman"/>
          <w:sz w:val="20"/>
          <w:szCs w:val="20"/>
        </w:rPr>
        <w:t>|</w:t>
      </w:r>
      <w:proofErr w:type="spellStart"/>
      <w:r w:rsidRPr="00DD74AD">
        <w:rPr>
          <w:rFonts w:ascii="Times New Roman" w:hAnsi="Times New Roman" w:cs="Times New Roman"/>
          <w:i/>
          <w:sz w:val="20"/>
          <w:szCs w:val="20"/>
        </w:rPr>
        <w:t>earn</w:t>
      </w:r>
      <w:r w:rsidRPr="00DD74AD">
        <w:rPr>
          <w:rFonts w:ascii="Times New Roman" w:hAnsi="Times New Roman" w:cs="Times New Roman"/>
          <w:i/>
          <w:sz w:val="20"/>
          <w:szCs w:val="20"/>
          <w:vertAlign w:val="subscript"/>
        </w:rPr>
        <w:t>it</w:t>
      </w:r>
      <w:proofErr w:type="spellEnd"/>
      <w:r w:rsidRPr="00DD74AD">
        <w:rPr>
          <w:rFonts w:ascii="Times New Roman" w:hAnsi="Times New Roman" w:cs="Times New Roman"/>
          <w:sz w:val="20"/>
          <w:szCs w:val="20"/>
        </w:rPr>
        <w:t>|</w:t>
      </w:r>
      <w:r w:rsidRPr="00E9403C">
        <w:rPr>
          <w:rFonts w:ascii="Times New Roman" w:hAnsi="Times New Roman" w:cs="Times New Roman"/>
          <w:sz w:val="20"/>
          <w:szCs w:val="20"/>
        </w:rPr>
        <w:t xml:space="preserve"> </w:t>
      </w:r>
      <w:r w:rsidRPr="00D928EC">
        <w:rPr>
          <w:rFonts w:ascii="Times New Roman" w:hAnsi="Times New Roman" w:cs="Times New Roman"/>
          <w:sz w:val="20"/>
          <w:szCs w:val="20"/>
        </w:rPr>
        <w:t>is log absolute adjusted earnings,</w:t>
      </w:r>
      <w:r w:rsidRPr="00301DCC">
        <w:rPr>
          <w:rFonts w:ascii="Times New Roman" w:hAnsi="Times New Roman" w:cs="Times New Roman"/>
          <w:sz w:val="20"/>
          <w:szCs w:val="20"/>
        </w:rPr>
        <w:t xml:space="preserve"> </w:t>
      </w:r>
      <w:r w:rsidRPr="00DD74AD">
        <w:rPr>
          <w:rFonts w:ascii="Times New Roman" w:hAnsi="Times New Roman" w:cs="Times New Roman"/>
          <w:i/>
          <w:sz w:val="20"/>
          <w:szCs w:val="20"/>
        </w:rPr>
        <w:t>I</w:t>
      </w:r>
      <w:r w:rsidRPr="00DD74AD">
        <w:rPr>
          <w:rFonts w:ascii="Times New Roman" w:hAnsi="Times New Roman" w:cs="Times New Roman"/>
          <w:i/>
          <w:sz w:val="20"/>
          <w:szCs w:val="20"/>
          <w:vertAlign w:val="subscript"/>
        </w:rPr>
        <w:t>(EARN&lt;0)</w:t>
      </w:r>
      <w:r w:rsidRPr="00E9403C">
        <w:rPr>
          <w:rFonts w:ascii="Times New Roman" w:hAnsi="Times New Roman" w:cs="Times New Roman"/>
          <w:sz w:val="20"/>
          <w:szCs w:val="20"/>
          <w:vertAlign w:val="subscript"/>
        </w:rPr>
        <w:t xml:space="preserve"> </w:t>
      </w:r>
      <w:r w:rsidRPr="00D928EC">
        <w:rPr>
          <w:rFonts w:ascii="Times New Roman" w:hAnsi="Times New Roman" w:cs="Times New Roman"/>
          <w:sz w:val="20"/>
          <w:szCs w:val="20"/>
        </w:rPr>
        <w:t xml:space="preserve">is </w:t>
      </w:r>
      <w:r w:rsidRPr="00EF22A6">
        <w:rPr>
          <w:rFonts w:ascii="Times New Roman" w:hAnsi="Times New Roman" w:cs="Times New Roman"/>
          <w:sz w:val="20"/>
          <w:szCs w:val="20"/>
        </w:rPr>
        <w:t>an indicator</w:t>
      </w:r>
      <w:r w:rsidRPr="00EF22A6">
        <w:rPr>
          <w:rFonts w:ascii="Times New Roman" w:hAnsi="Times New Roman" w:cs="Times New Roman"/>
          <w:sz w:val="20"/>
          <w:szCs w:val="20"/>
          <w:vertAlign w:val="subscript"/>
        </w:rPr>
        <w:t xml:space="preserve"> </w:t>
      </w:r>
      <w:r w:rsidRPr="00EF22A6">
        <w:rPr>
          <w:rFonts w:ascii="Times New Roman" w:hAnsi="Times New Roman" w:cs="Times New Roman"/>
          <w:sz w:val="20"/>
          <w:szCs w:val="20"/>
        </w:rPr>
        <w:t>for firms with negative adjusted earnings</w:t>
      </w:r>
      <w:r w:rsidRPr="00EF22A6">
        <w:rPr>
          <w:rFonts w:ascii="Times New Roman" w:hAnsi="Times New Roman" w:cs="Times New Roman"/>
          <w:i/>
          <w:sz w:val="20"/>
          <w:szCs w:val="20"/>
        </w:rPr>
        <w:t>,</w:t>
      </w:r>
      <w:r w:rsidRPr="00DD74AD">
        <w:rPr>
          <w:rFonts w:ascii="Times New Roman" w:hAnsi="Times New Roman" w:cs="Times New Roman"/>
          <w:i/>
          <w:sz w:val="20"/>
          <w:szCs w:val="20"/>
          <w:vertAlign w:val="subscript"/>
        </w:rPr>
        <w:t xml:space="preserve"> </w:t>
      </w:r>
      <w:proofErr w:type="spellStart"/>
      <w:r w:rsidRPr="00DD74AD">
        <w:rPr>
          <w:rFonts w:ascii="Times New Roman" w:hAnsi="Times New Roman" w:cs="Times New Roman"/>
          <w:i/>
          <w:sz w:val="20"/>
          <w:szCs w:val="20"/>
        </w:rPr>
        <w:t>LEV</w:t>
      </w:r>
      <w:r w:rsidRPr="00DD74AD">
        <w:rPr>
          <w:rFonts w:ascii="Times New Roman" w:hAnsi="Times New Roman" w:cs="Times New Roman"/>
          <w:i/>
          <w:sz w:val="20"/>
          <w:szCs w:val="20"/>
          <w:vertAlign w:val="subscript"/>
        </w:rPr>
        <w:t>it</w:t>
      </w:r>
      <w:proofErr w:type="spellEnd"/>
      <w:r w:rsidRPr="00DD74AD">
        <w:rPr>
          <w:rFonts w:ascii="Times New Roman" w:hAnsi="Times New Roman" w:cs="Times New Roman"/>
          <w:i/>
          <w:sz w:val="20"/>
          <w:szCs w:val="20"/>
          <w:vertAlign w:val="subscript"/>
        </w:rPr>
        <w:t xml:space="preserve"> </w:t>
      </w:r>
      <w:r w:rsidRPr="00E9403C">
        <w:rPr>
          <w:rFonts w:ascii="Times New Roman" w:hAnsi="Times New Roman" w:cs="Times New Roman"/>
          <w:sz w:val="20"/>
          <w:szCs w:val="20"/>
        </w:rPr>
        <w:t>is book leverage,</w:t>
      </w:r>
      <w:r w:rsidRPr="00DD74AD">
        <w:rPr>
          <w:rFonts w:ascii="Times New Roman" w:hAnsi="Times New Roman" w:cs="Times New Roman"/>
          <w:i/>
          <w:sz w:val="20"/>
          <w:szCs w:val="20"/>
          <w:vertAlign w:val="subscript"/>
        </w:rPr>
        <w:t xml:space="preserve"> </w:t>
      </w:r>
      <w:proofErr w:type="spellStart"/>
      <w:r w:rsidRPr="00DD74AD">
        <w:rPr>
          <w:rFonts w:ascii="Times New Roman" w:hAnsi="Times New Roman" w:cs="Times New Roman"/>
          <w:i/>
          <w:sz w:val="20"/>
          <w:szCs w:val="20"/>
        </w:rPr>
        <w:t>rd</w:t>
      </w:r>
      <w:r w:rsidRPr="00DD74AD">
        <w:rPr>
          <w:rFonts w:ascii="Times New Roman" w:hAnsi="Times New Roman" w:cs="Times New Roman"/>
          <w:i/>
          <w:sz w:val="20"/>
          <w:szCs w:val="20"/>
          <w:vertAlign w:val="subscript"/>
        </w:rPr>
        <w:t>it</w:t>
      </w:r>
      <w:proofErr w:type="spellEnd"/>
      <w:r w:rsidRPr="00E9403C">
        <w:rPr>
          <w:rFonts w:ascii="Times New Roman" w:hAnsi="Times New Roman" w:cs="Times New Roman"/>
          <w:sz w:val="20"/>
          <w:szCs w:val="20"/>
        </w:rPr>
        <w:t xml:space="preserve"> is log </w:t>
      </w:r>
      <w:r>
        <w:rPr>
          <w:rFonts w:ascii="Times New Roman" w:hAnsi="Times New Roman" w:cs="Times New Roman"/>
          <w:sz w:val="20"/>
          <w:szCs w:val="20"/>
        </w:rPr>
        <w:t xml:space="preserve">(1 + </w:t>
      </w:r>
      <w:r w:rsidRPr="00E9403C">
        <w:rPr>
          <w:rFonts w:ascii="Times New Roman" w:hAnsi="Times New Roman" w:cs="Times New Roman"/>
          <w:sz w:val="20"/>
          <w:szCs w:val="20"/>
        </w:rPr>
        <w:t>capitalized R&amp;D</w:t>
      </w:r>
      <w:r>
        <w:rPr>
          <w:rFonts w:ascii="Times New Roman" w:hAnsi="Times New Roman" w:cs="Times New Roman"/>
          <w:sz w:val="20"/>
          <w:szCs w:val="20"/>
        </w:rPr>
        <w:t xml:space="preserve">), and </w:t>
      </w:r>
      <w:proofErr w:type="spellStart"/>
      <w:r w:rsidRPr="001A533F">
        <w:rPr>
          <w:rFonts w:ascii="Times New Roman" w:hAnsi="Times New Roman" w:cs="Times New Roman"/>
          <w:i/>
        </w:rPr>
        <w:t>ε</w:t>
      </w:r>
      <w:r w:rsidRPr="001A533F">
        <w:rPr>
          <w:rFonts w:ascii="Times New Roman" w:hAnsi="Times New Roman" w:cs="Times New Roman"/>
          <w:i/>
          <w:vertAlign w:val="subscript"/>
        </w:rPr>
        <w:t>it</w:t>
      </w:r>
      <w:proofErr w:type="spellEnd"/>
      <w:r>
        <w:rPr>
          <w:rFonts w:ascii="Times New Roman" w:hAnsi="Times New Roman" w:cs="Times New Roman"/>
          <w:i/>
          <w:sz w:val="24"/>
          <w:szCs w:val="24"/>
          <w:vertAlign w:val="subscript"/>
        </w:rPr>
        <w:t xml:space="preserve"> </w:t>
      </w:r>
      <w:r w:rsidRPr="00A3594E">
        <w:rPr>
          <w:rFonts w:ascii="Times New Roman" w:hAnsi="Times New Roman" w:cs="Times New Roman"/>
          <w:sz w:val="20"/>
          <w:szCs w:val="20"/>
        </w:rPr>
        <w:t>is an error term.</w:t>
      </w:r>
      <w:r>
        <w:rPr>
          <w:rFonts w:ascii="Times New Roman" w:hAnsi="Times New Roman" w:cs="Times New Roman"/>
          <w:sz w:val="20"/>
          <w:szCs w:val="20"/>
        </w:rPr>
        <w:t xml:space="preserve"> The estimation sample includes 129,074 firm-year observations. The sample period runs from 1975 to 2022 (48 years). Detailed variables definitions are provided in the Appendix of the paper.</w:t>
      </w:r>
    </w:p>
    <w:p w14:paraId="00C2ED59" w14:textId="77777777" w:rsidR="004D5D50" w:rsidRPr="0023366F" w:rsidRDefault="004D5D50" w:rsidP="004D5D50">
      <w:pPr>
        <w:jc w:val="both"/>
        <w:rPr>
          <w:rFonts w:ascii="Times New Roman" w:hAnsi="Times New Roman" w:cs="Times New Roman"/>
          <w:sz w:val="20"/>
          <w:szCs w:val="20"/>
          <w:lang w:val="en-US"/>
        </w:rPr>
      </w:pPr>
      <w:r w:rsidRPr="0023366F">
        <w:rPr>
          <w:rFonts w:ascii="Times New Roman" w:hAnsi="Times New Roman" w:cs="Times New Roman"/>
          <w:sz w:val="20"/>
          <w:szCs w:val="20"/>
          <w:lang w:val="en-US"/>
        </w:rPr>
        <w:t>Panel A: Consumer Non-Durables, Consumer Durables, and Energy</w:t>
      </w:r>
    </w:p>
    <w:tbl>
      <w:tblPr>
        <w:tblW w:w="5000" w:type="pct"/>
        <w:tblLook w:val="04A0" w:firstRow="1" w:lastRow="0" w:firstColumn="1" w:lastColumn="0" w:noHBand="0" w:noVBand="1"/>
      </w:tblPr>
      <w:tblGrid>
        <w:gridCol w:w="1807"/>
        <w:gridCol w:w="451"/>
        <w:gridCol w:w="983"/>
        <w:gridCol w:w="982"/>
        <w:gridCol w:w="875"/>
        <w:gridCol w:w="899"/>
        <w:gridCol w:w="222"/>
        <w:gridCol w:w="840"/>
        <w:gridCol w:w="840"/>
        <w:gridCol w:w="839"/>
        <w:gridCol w:w="800"/>
        <w:gridCol w:w="222"/>
        <w:gridCol w:w="800"/>
        <w:gridCol w:w="800"/>
        <w:gridCol w:w="800"/>
        <w:gridCol w:w="800"/>
      </w:tblGrid>
      <w:tr w:rsidR="004D5D50" w:rsidRPr="00B54CBE" w14:paraId="52BC8932" w14:textId="77777777" w:rsidTr="004A2E8B">
        <w:trPr>
          <w:trHeight w:val="213"/>
        </w:trPr>
        <w:tc>
          <w:tcPr>
            <w:tcW w:w="529" w:type="pct"/>
            <w:tcBorders>
              <w:top w:val="single" w:sz="4" w:space="0" w:color="auto"/>
              <w:left w:val="nil"/>
              <w:bottom w:val="nil"/>
              <w:right w:val="nil"/>
            </w:tcBorders>
            <w:noWrap/>
            <w:vAlign w:val="bottom"/>
            <w:hideMark/>
          </w:tcPr>
          <w:p w14:paraId="51182A60" w14:textId="77777777" w:rsidR="004D5D50" w:rsidRPr="0023366F" w:rsidRDefault="004D5D50" w:rsidP="004A2E8B">
            <w:pPr>
              <w:spacing w:after="0" w:line="240" w:lineRule="auto"/>
              <w:rPr>
                <w:rFonts w:ascii="Times New Roman" w:eastAsia="Times New Roman" w:hAnsi="Times New Roman" w:cs="Times New Roman"/>
                <w:sz w:val="20"/>
                <w:szCs w:val="20"/>
                <w:lang w:val="en-US" w:eastAsia="en-CA"/>
              </w:rPr>
            </w:pPr>
          </w:p>
        </w:tc>
        <w:tc>
          <w:tcPr>
            <w:tcW w:w="312" w:type="pct"/>
            <w:tcBorders>
              <w:top w:val="single" w:sz="4" w:space="0" w:color="auto"/>
              <w:left w:val="nil"/>
              <w:bottom w:val="nil"/>
              <w:right w:val="nil"/>
            </w:tcBorders>
            <w:noWrap/>
            <w:vAlign w:val="bottom"/>
            <w:hideMark/>
          </w:tcPr>
          <w:p w14:paraId="271E83D0" w14:textId="77777777" w:rsidR="004D5D50" w:rsidRPr="0023366F" w:rsidRDefault="004D5D50" w:rsidP="004A2E8B">
            <w:pPr>
              <w:spacing w:after="0" w:line="240" w:lineRule="auto"/>
              <w:rPr>
                <w:rFonts w:ascii="Times New Roman" w:eastAsia="Times New Roman" w:hAnsi="Times New Roman" w:cs="Times New Roman"/>
                <w:sz w:val="20"/>
                <w:szCs w:val="20"/>
                <w:lang w:val="en-US" w:eastAsia="en-CA"/>
              </w:rPr>
            </w:pPr>
          </w:p>
        </w:tc>
        <w:tc>
          <w:tcPr>
            <w:tcW w:w="1443" w:type="pct"/>
            <w:gridSpan w:val="4"/>
            <w:tcBorders>
              <w:top w:val="single" w:sz="4" w:space="0" w:color="auto"/>
              <w:left w:val="nil"/>
              <w:right w:val="nil"/>
            </w:tcBorders>
            <w:noWrap/>
            <w:vAlign w:val="bottom"/>
            <w:hideMark/>
          </w:tcPr>
          <w:p w14:paraId="58B386D2"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B54CBE">
              <w:rPr>
                <w:rFonts w:ascii="Times New Roman" w:eastAsia="Times New Roman" w:hAnsi="Times New Roman" w:cs="Times New Roman"/>
                <w:b/>
                <w:bCs/>
                <w:color w:val="000000"/>
                <w:sz w:val="20"/>
                <w:szCs w:val="20"/>
                <w:lang w:eastAsia="en-CA"/>
              </w:rPr>
              <w:t>FF 12 industry: Consumer Non-Durables</w:t>
            </w:r>
          </w:p>
        </w:tc>
        <w:tc>
          <w:tcPr>
            <w:tcW w:w="125" w:type="pct"/>
            <w:tcBorders>
              <w:top w:val="single" w:sz="4" w:space="0" w:color="auto"/>
              <w:left w:val="nil"/>
              <w:right w:val="nil"/>
            </w:tcBorders>
            <w:noWrap/>
            <w:vAlign w:val="bottom"/>
            <w:hideMark/>
          </w:tcPr>
          <w:p w14:paraId="7A481255"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1280" w:type="pct"/>
            <w:gridSpan w:val="4"/>
            <w:tcBorders>
              <w:top w:val="single" w:sz="4" w:space="0" w:color="auto"/>
              <w:left w:val="nil"/>
              <w:right w:val="nil"/>
            </w:tcBorders>
            <w:noWrap/>
            <w:vAlign w:val="bottom"/>
            <w:hideMark/>
          </w:tcPr>
          <w:p w14:paraId="39F4443C"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B54CBE">
              <w:rPr>
                <w:rFonts w:ascii="Times New Roman" w:eastAsia="Times New Roman" w:hAnsi="Times New Roman" w:cs="Times New Roman"/>
                <w:b/>
                <w:bCs/>
                <w:color w:val="000000"/>
                <w:sz w:val="20"/>
                <w:szCs w:val="20"/>
                <w:lang w:eastAsia="en-CA"/>
              </w:rPr>
              <w:t xml:space="preserve">FF 12 industry: Consumer Durables </w:t>
            </w:r>
          </w:p>
        </w:tc>
        <w:tc>
          <w:tcPr>
            <w:tcW w:w="86" w:type="pct"/>
            <w:tcBorders>
              <w:top w:val="single" w:sz="4" w:space="0" w:color="auto"/>
              <w:left w:val="nil"/>
              <w:right w:val="nil"/>
            </w:tcBorders>
            <w:noWrap/>
            <w:vAlign w:val="bottom"/>
            <w:hideMark/>
          </w:tcPr>
          <w:p w14:paraId="6AEA874A"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1226" w:type="pct"/>
            <w:gridSpan w:val="4"/>
            <w:tcBorders>
              <w:top w:val="single" w:sz="4" w:space="0" w:color="auto"/>
              <w:left w:val="nil"/>
              <w:right w:val="nil"/>
            </w:tcBorders>
            <w:noWrap/>
            <w:vAlign w:val="bottom"/>
            <w:hideMark/>
          </w:tcPr>
          <w:p w14:paraId="42550563"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B54CBE">
              <w:rPr>
                <w:rFonts w:ascii="Times New Roman" w:eastAsia="Times New Roman" w:hAnsi="Times New Roman" w:cs="Times New Roman"/>
                <w:b/>
                <w:bCs/>
                <w:color w:val="000000"/>
                <w:sz w:val="20"/>
                <w:szCs w:val="20"/>
                <w:lang w:eastAsia="en-CA"/>
              </w:rPr>
              <w:t xml:space="preserve">FF 12 industry: </w:t>
            </w:r>
            <w:r>
              <w:rPr>
                <w:rFonts w:ascii="Times New Roman" w:eastAsia="Times New Roman" w:hAnsi="Times New Roman" w:cs="Times New Roman"/>
                <w:b/>
                <w:bCs/>
                <w:color w:val="000000"/>
                <w:sz w:val="20"/>
                <w:szCs w:val="20"/>
                <w:lang w:eastAsia="en-CA"/>
              </w:rPr>
              <w:t>Energy</w:t>
            </w:r>
          </w:p>
        </w:tc>
      </w:tr>
      <w:tr w:rsidR="004D5D50" w:rsidRPr="00B54CBE" w14:paraId="5AE84948" w14:textId="77777777" w:rsidTr="004A2E8B">
        <w:trPr>
          <w:trHeight w:val="255"/>
        </w:trPr>
        <w:tc>
          <w:tcPr>
            <w:tcW w:w="529" w:type="pct"/>
            <w:tcBorders>
              <w:top w:val="nil"/>
              <w:left w:val="nil"/>
              <w:bottom w:val="nil"/>
              <w:right w:val="nil"/>
            </w:tcBorders>
            <w:noWrap/>
            <w:vAlign w:val="bottom"/>
            <w:hideMark/>
          </w:tcPr>
          <w:p w14:paraId="25E82206"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312" w:type="pct"/>
            <w:tcBorders>
              <w:top w:val="nil"/>
              <w:left w:val="nil"/>
              <w:bottom w:val="nil"/>
              <w:right w:val="nil"/>
            </w:tcBorders>
            <w:noWrap/>
            <w:vAlign w:val="bottom"/>
            <w:hideMark/>
          </w:tcPr>
          <w:p w14:paraId="556E185F"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right w:val="nil"/>
            </w:tcBorders>
            <w:noWrap/>
            <w:vAlign w:val="bottom"/>
            <w:hideMark/>
          </w:tcPr>
          <w:p w14:paraId="7BA9C65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OLS</w:t>
            </w:r>
          </w:p>
        </w:tc>
        <w:tc>
          <w:tcPr>
            <w:tcW w:w="379" w:type="pct"/>
            <w:tcBorders>
              <w:top w:val="nil"/>
              <w:left w:val="nil"/>
              <w:right w:val="nil"/>
            </w:tcBorders>
            <w:noWrap/>
            <w:vAlign w:val="bottom"/>
            <w:hideMark/>
          </w:tcPr>
          <w:p w14:paraId="3B2A923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25%</w:t>
            </w:r>
          </w:p>
        </w:tc>
        <w:tc>
          <w:tcPr>
            <w:tcW w:w="338" w:type="pct"/>
            <w:tcBorders>
              <w:top w:val="nil"/>
              <w:left w:val="nil"/>
              <w:right w:val="nil"/>
            </w:tcBorders>
            <w:noWrap/>
            <w:vAlign w:val="bottom"/>
            <w:hideMark/>
          </w:tcPr>
          <w:p w14:paraId="6B37C14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75%</w:t>
            </w:r>
          </w:p>
        </w:tc>
        <w:tc>
          <w:tcPr>
            <w:tcW w:w="346" w:type="pct"/>
            <w:tcBorders>
              <w:top w:val="nil"/>
              <w:left w:val="nil"/>
              <w:right w:val="nil"/>
            </w:tcBorders>
            <w:noWrap/>
            <w:vAlign w:val="bottom"/>
            <w:hideMark/>
          </w:tcPr>
          <w:p w14:paraId="54FFED8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IQR</w:t>
            </w:r>
          </w:p>
        </w:tc>
        <w:tc>
          <w:tcPr>
            <w:tcW w:w="125" w:type="pct"/>
            <w:tcBorders>
              <w:top w:val="nil"/>
              <w:left w:val="nil"/>
              <w:right w:val="nil"/>
            </w:tcBorders>
            <w:noWrap/>
            <w:vAlign w:val="bottom"/>
            <w:hideMark/>
          </w:tcPr>
          <w:p w14:paraId="794861B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right w:val="nil"/>
            </w:tcBorders>
            <w:noWrap/>
            <w:vAlign w:val="bottom"/>
            <w:hideMark/>
          </w:tcPr>
          <w:p w14:paraId="68DA2F4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OLS</w:t>
            </w:r>
          </w:p>
        </w:tc>
        <w:tc>
          <w:tcPr>
            <w:tcW w:w="324" w:type="pct"/>
            <w:tcBorders>
              <w:top w:val="nil"/>
              <w:left w:val="nil"/>
              <w:right w:val="nil"/>
            </w:tcBorders>
            <w:noWrap/>
            <w:vAlign w:val="bottom"/>
            <w:hideMark/>
          </w:tcPr>
          <w:p w14:paraId="1554A9D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25%</w:t>
            </w:r>
          </w:p>
        </w:tc>
        <w:tc>
          <w:tcPr>
            <w:tcW w:w="324" w:type="pct"/>
            <w:tcBorders>
              <w:top w:val="nil"/>
              <w:left w:val="nil"/>
              <w:right w:val="nil"/>
            </w:tcBorders>
            <w:noWrap/>
            <w:vAlign w:val="bottom"/>
            <w:hideMark/>
          </w:tcPr>
          <w:p w14:paraId="6C033D1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75%</w:t>
            </w:r>
          </w:p>
        </w:tc>
        <w:tc>
          <w:tcPr>
            <w:tcW w:w="307" w:type="pct"/>
            <w:tcBorders>
              <w:top w:val="nil"/>
              <w:left w:val="nil"/>
              <w:right w:val="nil"/>
            </w:tcBorders>
            <w:noWrap/>
            <w:vAlign w:val="bottom"/>
            <w:hideMark/>
          </w:tcPr>
          <w:p w14:paraId="534AB15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IQR</w:t>
            </w:r>
          </w:p>
        </w:tc>
        <w:tc>
          <w:tcPr>
            <w:tcW w:w="86" w:type="pct"/>
            <w:tcBorders>
              <w:top w:val="nil"/>
              <w:left w:val="nil"/>
              <w:right w:val="nil"/>
            </w:tcBorders>
            <w:noWrap/>
            <w:vAlign w:val="bottom"/>
            <w:hideMark/>
          </w:tcPr>
          <w:p w14:paraId="7381E2F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right w:val="nil"/>
            </w:tcBorders>
            <w:noWrap/>
            <w:vAlign w:val="bottom"/>
            <w:hideMark/>
          </w:tcPr>
          <w:p w14:paraId="58ED1CC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OLS</w:t>
            </w:r>
          </w:p>
        </w:tc>
        <w:tc>
          <w:tcPr>
            <w:tcW w:w="314" w:type="pct"/>
            <w:tcBorders>
              <w:top w:val="nil"/>
              <w:left w:val="nil"/>
              <w:right w:val="nil"/>
            </w:tcBorders>
            <w:noWrap/>
            <w:vAlign w:val="bottom"/>
            <w:hideMark/>
          </w:tcPr>
          <w:p w14:paraId="1B770D7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25%</w:t>
            </w:r>
          </w:p>
        </w:tc>
        <w:tc>
          <w:tcPr>
            <w:tcW w:w="314" w:type="pct"/>
            <w:tcBorders>
              <w:top w:val="nil"/>
              <w:left w:val="nil"/>
              <w:right w:val="nil"/>
            </w:tcBorders>
            <w:noWrap/>
            <w:vAlign w:val="bottom"/>
            <w:hideMark/>
          </w:tcPr>
          <w:p w14:paraId="414B4C2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75%</w:t>
            </w:r>
          </w:p>
        </w:tc>
        <w:tc>
          <w:tcPr>
            <w:tcW w:w="284" w:type="pct"/>
            <w:tcBorders>
              <w:top w:val="nil"/>
              <w:left w:val="nil"/>
              <w:right w:val="nil"/>
            </w:tcBorders>
            <w:noWrap/>
            <w:vAlign w:val="bottom"/>
            <w:hideMark/>
          </w:tcPr>
          <w:p w14:paraId="00B5D63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IQR</w:t>
            </w:r>
          </w:p>
        </w:tc>
      </w:tr>
      <w:tr w:rsidR="004D5D50" w:rsidRPr="00B54CBE" w14:paraId="7907106B" w14:textId="77777777" w:rsidTr="004A2E8B">
        <w:trPr>
          <w:trHeight w:val="245"/>
        </w:trPr>
        <w:tc>
          <w:tcPr>
            <w:tcW w:w="529" w:type="pct"/>
            <w:tcBorders>
              <w:top w:val="nil"/>
              <w:left w:val="nil"/>
              <w:bottom w:val="nil"/>
              <w:right w:val="nil"/>
            </w:tcBorders>
            <w:noWrap/>
            <w:vAlign w:val="bottom"/>
          </w:tcPr>
          <w:p w14:paraId="1C5043AC" w14:textId="77777777" w:rsidR="004D5D50" w:rsidRPr="00B54CBE"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312" w:type="pct"/>
            <w:tcBorders>
              <w:top w:val="nil"/>
              <w:left w:val="nil"/>
              <w:bottom w:val="nil"/>
              <w:right w:val="nil"/>
            </w:tcBorders>
            <w:noWrap/>
            <w:vAlign w:val="bottom"/>
          </w:tcPr>
          <w:p w14:paraId="4E40EDBB"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left w:val="nil"/>
              <w:bottom w:val="single" w:sz="4" w:space="0" w:color="auto"/>
              <w:right w:val="nil"/>
            </w:tcBorders>
            <w:noWrap/>
            <w:vAlign w:val="bottom"/>
          </w:tcPr>
          <w:p w14:paraId="2BED0D6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(1)</w:t>
            </w:r>
          </w:p>
        </w:tc>
        <w:tc>
          <w:tcPr>
            <w:tcW w:w="379" w:type="pct"/>
            <w:tcBorders>
              <w:left w:val="nil"/>
              <w:bottom w:val="single" w:sz="4" w:space="0" w:color="auto"/>
              <w:right w:val="nil"/>
            </w:tcBorders>
            <w:noWrap/>
            <w:vAlign w:val="bottom"/>
          </w:tcPr>
          <w:p w14:paraId="4027120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(2)</w:t>
            </w:r>
          </w:p>
        </w:tc>
        <w:tc>
          <w:tcPr>
            <w:tcW w:w="338" w:type="pct"/>
            <w:tcBorders>
              <w:left w:val="nil"/>
              <w:bottom w:val="single" w:sz="4" w:space="0" w:color="auto"/>
              <w:right w:val="nil"/>
            </w:tcBorders>
            <w:noWrap/>
            <w:vAlign w:val="bottom"/>
          </w:tcPr>
          <w:p w14:paraId="35EBCE4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(3)</w:t>
            </w:r>
          </w:p>
        </w:tc>
        <w:tc>
          <w:tcPr>
            <w:tcW w:w="346" w:type="pct"/>
            <w:tcBorders>
              <w:left w:val="nil"/>
              <w:bottom w:val="single" w:sz="4" w:space="0" w:color="auto"/>
              <w:right w:val="nil"/>
            </w:tcBorders>
            <w:noWrap/>
            <w:vAlign w:val="bottom"/>
          </w:tcPr>
          <w:p w14:paraId="3254EF3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(4)</w:t>
            </w:r>
          </w:p>
        </w:tc>
        <w:tc>
          <w:tcPr>
            <w:tcW w:w="125" w:type="pct"/>
            <w:tcBorders>
              <w:left w:val="nil"/>
              <w:bottom w:val="nil"/>
              <w:right w:val="nil"/>
            </w:tcBorders>
            <w:noWrap/>
            <w:vAlign w:val="bottom"/>
          </w:tcPr>
          <w:p w14:paraId="7F6A6CD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left w:val="nil"/>
              <w:bottom w:val="single" w:sz="4" w:space="0" w:color="auto"/>
              <w:right w:val="nil"/>
            </w:tcBorders>
            <w:noWrap/>
            <w:vAlign w:val="bottom"/>
          </w:tcPr>
          <w:p w14:paraId="30DD8B9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(5)</w:t>
            </w:r>
          </w:p>
        </w:tc>
        <w:tc>
          <w:tcPr>
            <w:tcW w:w="324" w:type="pct"/>
            <w:tcBorders>
              <w:left w:val="nil"/>
              <w:bottom w:val="single" w:sz="4" w:space="0" w:color="auto"/>
              <w:right w:val="nil"/>
            </w:tcBorders>
            <w:noWrap/>
            <w:vAlign w:val="bottom"/>
          </w:tcPr>
          <w:p w14:paraId="3E409E2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(6)</w:t>
            </w:r>
          </w:p>
        </w:tc>
        <w:tc>
          <w:tcPr>
            <w:tcW w:w="324" w:type="pct"/>
            <w:tcBorders>
              <w:left w:val="nil"/>
              <w:bottom w:val="single" w:sz="4" w:space="0" w:color="auto"/>
              <w:right w:val="nil"/>
            </w:tcBorders>
            <w:noWrap/>
            <w:vAlign w:val="bottom"/>
          </w:tcPr>
          <w:p w14:paraId="4FFF515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(7)</w:t>
            </w:r>
          </w:p>
        </w:tc>
        <w:tc>
          <w:tcPr>
            <w:tcW w:w="307" w:type="pct"/>
            <w:tcBorders>
              <w:left w:val="nil"/>
              <w:bottom w:val="single" w:sz="4" w:space="0" w:color="auto"/>
              <w:right w:val="nil"/>
            </w:tcBorders>
            <w:noWrap/>
            <w:vAlign w:val="bottom"/>
          </w:tcPr>
          <w:p w14:paraId="10E18D3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(8)</w:t>
            </w:r>
          </w:p>
        </w:tc>
        <w:tc>
          <w:tcPr>
            <w:tcW w:w="86" w:type="pct"/>
            <w:tcBorders>
              <w:left w:val="nil"/>
              <w:bottom w:val="nil"/>
              <w:right w:val="nil"/>
            </w:tcBorders>
            <w:noWrap/>
            <w:vAlign w:val="bottom"/>
          </w:tcPr>
          <w:p w14:paraId="37F4544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left w:val="nil"/>
              <w:bottom w:val="single" w:sz="4" w:space="0" w:color="auto"/>
              <w:right w:val="nil"/>
            </w:tcBorders>
            <w:noWrap/>
            <w:vAlign w:val="bottom"/>
          </w:tcPr>
          <w:p w14:paraId="3352BA1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(9)</w:t>
            </w:r>
          </w:p>
        </w:tc>
        <w:tc>
          <w:tcPr>
            <w:tcW w:w="314" w:type="pct"/>
            <w:tcBorders>
              <w:left w:val="nil"/>
              <w:bottom w:val="single" w:sz="4" w:space="0" w:color="auto"/>
              <w:right w:val="nil"/>
            </w:tcBorders>
            <w:noWrap/>
            <w:vAlign w:val="bottom"/>
          </w:tcPr>
          <w:p w14:paraId="07BA772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(10)</w:t>
            </w:r>
          </w:p>
        </w:tc>
        <w:tc>
          <w:tcPr>
            <w:tcW w:w="314" w:type="pct"/>
            <w:tcBorders>
              <w:left w:val="nil"/>
              <w:bottom w:val="single" w:sz="4" w:space="0" w:color="auto"/>
              <w:right w:val="nil"/>
            </w:tcBorders>
            <w:noWrap/>
            <w:vAlign w:val="bottom"/>
          </w:tcPr>
          <w:p w14:paraId="1778CDE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(11)</w:t>
            </w:r>
          </w:p>
        </w:tc>
        <w:tc>
          <w:tcPr>
            <w:tcW w:w="284" w:type="pct"/>
            <w:tcBorders>
              <w:left w:val="nil"/>
              <w:bottom w:val="single" w:sz="4" w:space="0" w:color="auto"/>
              <w:right w:val="nil"/>
            </w:tcBorders>
            <w:noWrap/>
            <w:vAlign w:val="bottom"/>
          </w:tcPr>
          <w:p w14:paraId="107F26F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(12)</w:t>
            </w:r>
          </w:p>
        </w:tc>
      </w:tr>
      <w:tr w:rsidR="004D5D50" w:rsidRPr="00B54CBE" w14:paraId="5882977D" w14:textId="77777777" w:rsidTr="004A2E8B">
        <w:trPr>
          <w:trHeight w:val="300"/>
        </w:trPr>
        <w:tc>
          <w:tcPr>
            <w:tcW w:w="529" w:type="pct"/>
            <w:tcBorders>
              <w:top w:val="nil"/>
              <w:left w:val="nil"/>
              <w:bottom w:val="nil"/>
              <w:right w:val="nil"/>
            </w:tcBorders>
            <w:noWrap/>
            <w:vAlign w:val="bottom"/>
            <w:hideMark/>
          </w:tcPr>
          <w:p w14:paraId="1F0DE3A4" w14:textId="77777777" w:rsidR="004D5D50" w:rsidRPr="00B54CBE" w:rsidRDefault="004D5D50" w:rsidP="004A2E8B">
            <w:pPr>
              <w:spacing w:after="0" w:line="240" w:lineRule="auto"/>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Intercept</w:t>
            </w:r>
          </w:p>
        </w:tc>
        <w:tc>
          <w:tcPr>
            <w:tcW w:w="312" w:type="pct"/>
            <w:tcBorders>
              <w:top w:val="nil"/>
              <w:left w:val="nil"/>
              <w:bottom w:val="nil"/>
              <w:right w:val="nil"/>
            </w:tcBorders>
            <w:noWrap/>
            <w:vAlign w:val="bottom"/>
            <w:hideMark/>
          </w:tcPr>
          <w:p w14:paraId="72E2CD56" w14:textId="77777777" w:rsidR="004D5D50" w:rsidRPr="00B54CBE" w:rsidRDefault="004D5D50" w:rsidP="004A2E8B">
            <w:pPr>
              <w:spacing w:after="0" w:line="240" w:lineRule="auto"/>
              <w:rPr>
                <w:rFonts w:ascii="Times New Roman" w:eastAsia="Times New Roman" w:hAnsi="Times New Roman" w:cs="Times New Roman"/>
                <w:color w:val="000000"/>
                <w:sz w:val="20"/>
                <w:szCs w:val="20"/>
                <w:lang w:eastAsia="en-CA"/>
              </w:rPr>
            </w:pPr>
          </w:p>
        </w:tc>
        <w:tc>
          <w:tcPr>
            <w:tcW w:w="379" w:type="pct"/>
            <w:tcBorders>
              <w:top w:val="nil"/>
              <w:left w:val="nil"/>
              <w:bottom w:val="nil"/>
              <w:right w:val="nil"/>
            </w:tcBorders>
            <w:noWrap/>
            <w:vAlign w:val="bottom"/>
            <w:hideMark/>
          </w:tcPr>
          <w:p w14:paraId="01EC566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1.696</w:t>
            </w:r>
          </w:p>
        </w:tc>
        <w:tc>
          <w:tcPr>
            <w:tcW w:w="379" w:type="pct"/>
            <w:tcBorders>
              <w:top w:val="nil"/>
              <w:left w:val="nil"/>
              <w:bottom w:val="nil"/>
              <w:right w:val="nil"/>
            </w:tcBorders>
            <w:noWrap/>
            <w:vAlign w:val="bottom"/>
            <w:hideMark/>
          </w:tcPr>
          <w:p w14:paraId="62BA7DB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1.230</w:t>
            </w:r>
          </w:p>
        </w:tc>
        <w:tc>
          <w:tcPr>
            <w:tcW w:w="338" w:type="pct"/>
            <w:tcBorders>
              <w:top w:val="nil"/>
              <w:left w:val="nil"/>
              <w:bottom w:val="nil"/>
              <w:right w:val="nil"/>
            </w:tcBorders>
            <w:noWrap/>
            <w:vAlign w:val="bottom"/>
            <w:hideMark/>
          </w:tcPr>
          <w:p w14:paraId="27758AF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2.113</w:t>
            </w:r>
          </w:p>
        </w:tc>
        <w:tc>
          <w:tcPr>
            <w:tcW w:w="346" w:type="pct"/>
            <w:tcBorders>
              <w:top w:val="nil"/>
              <w:left w:val="nil"/>
              <w:bottom w:val="nil"/>
              <w:right w:val="nil"/>
            </w:tcBorders>
            <w:noWrap/>
            <w:vAlign w:val="bottom"/>
            <w:hideMark/>
          </w:tcPr>
          <w:p w14:paraId="6361A42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0.883</w:t>
            </w:r>
          </w:p>
        </w:tc>
        <w:tc>
          <w:tcPr>
            <w:tcW w:w="125" w:type="pct"/>
            <w:tcBorders>
              <w:top w:val="nil"/>
              <w:left w:val="nil"/>
              <w:bottom w:val="nil"/>
              <w:right w:val="nil"/>
            </w:tcBorders>
            <w:noWrap/>
            <w:vAlign w:val="bottom"/>
            <w:hideMark/>
          </w:tcPr>
          <w:p w14:paraId="33E4999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63E4C24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1.746</w:t>
            </w:r>
          </w:p>
        </w:tc>
        <w:tc>
          <w:tcPr>
            <w:tcW w:w="324" w:type="pct"/>
            <w:tcBorders>
              <w:top w:val="nil"/>
              <w:left w:val="nil"/>
              <w:bottom w:val="nil"/>
              <w:right w:val="nil"/>
            </w:tcBorders>
            <w:noWrap/>
            <w:vAlign w:val="bottom"/>
            <w:hideMark/>
          </w:tcPr>
          <w:p w14:paraId="59FE96EE"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1.298</w:t>
            </w:r>
          </w:p>
        </w:tc>
        <w:tc>
          <w:tcPr>
            <w:tcW w:w="324" w:type="pct"/>
            <w:tcBorders>
              <w:top w:val="nil"/>
              <w:left w:val="nil"/>
              <w:bottom w:val="nil"/>
              <w:right w:val="nil"/>
            </w:tcBorders>
            <w:noWrap/>
            <w:vAlign w:val="bottom"/>
            <w:hideMark/>
          </w:tcPr>
          <w:p w14:paraId="16F1009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2.225</w:t>
            </w:r>
          </w:p>
        </w:tc>
        <w:tc>
          <w:tcPr>
            <w:tcW w:w="307" w:type="pct"/>
            <w:tcBorders>
              <w:top w:val="nil"/>
              <w:left w:val="nil"/>
              <w:bottom w:val="nil"/>
              <w:right w:val="nil"/>
            </w:tcBorders>
            <w:noWrap/>
            <w:vAlign w:val="bottom"/>
            <w:hideMark/>
          </w:tcPr>
          <w:p w14:paraId="36AFF89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0.927</w:t>
            </w:r>
          </w:p>
        </w:tc>
        <w:tc>
          <w:tcPr>
            <w:tcW w:w="86" w:type="pct"/>
            <w:tcBorders>
              <w:top w:val="nil"/>
              <w:left w:val="nil"/>
              <w:bottom w:val="nil"/>
              <w:right w:val="nil"/>
            </w:tcBorders>
            <w:noWrap/>
            <w:vAlign w:val="bottom"/>
            <w:hideMark/>
          </w:tcPr>
          <w:p w14:paraId="17E1B0D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484A3A7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1.511</w:t>
            </w:r>
          </w:p>
        </w:tc>
        <w:tc>
          <w:tcPr>
            <w:tcW w:w="314" w:type="pct"/>
            <w:tcBorders>
              <w:top w:val="nil"/>
              <w:left w:val="nil"/>
              <w:bottom w:val="nil"/>
              <w:right w:val="nil"/>
            </w:tcBorders>
            <w:noWrap/>
            <w:vAlign w:val="bottom"/>
            <w:hideMark/>
          </w:tcPr>
          <w:p w14:paraId="62B0D11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0.960</w:t>
            </w:r>
          </w:p>
        </w:tc>
        <w:tc>
          <w:tcPr>
            <w:tcW w:w="314" w:type="pct"/>
            <w:tcBorders>
              <w:top w:val="nil"/>
              <w:left w:val="nil"/>
              <w:bottom w:val="nil"/>
              <w:right w:val="nil"/>
            </w:tcBorders>
            <w:noWrap/>
            <w:vAlign w:val="bottom"/>
            <w:hideMark/>
          </w:tcPr>
          <w:p w14:paraId="34519F7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1.967</w:t>
            </w:r>
          </w:p>
        </w:tc>
        <w:tc>
          <w:tcPr>
            <w:tcW w:w="284" w:type="pct"/>
            <w:tcBorders>
              <w:top w:val="nil"/>
              <w:left w:val="nil"/>
              <w:bottom w:val="nil"/>
              <w:right w:val="nil"/>
            </w:tcBorders>
            <w:noWrap/>
            <w:vAlign w:val="bottom"/>
            <w:hideMark/>
          </w:tcPr>
          <w:p w14:paraId="3A5E8E3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1.007</w:t>
            </w:r>
          </w:p>
        </w:tc>
      </w:tr>
      <w:tr w:rsidR="004D5D50" w:rsidRPr="00B54CBE" w14:paraId="65A8B60B" w14:textId="77777777" w:rsidTr="004A2E8B">
        <w:trPr>
          <w:trHeight w:val="300"/>
        </w:trPr>
        <w:tc>
          <w:tcPr>
            <w:tcW w:w="529" w:type="pct"/>
            <w:tcBorders>
              <w:top w:val="nil"/>
              <w:left w:val="nil"/>
              <w:bottom w:val="nil"/>
              <w:right w:val="nil"/>
            </w:tcBorders>
            <w:noWrap/>
            <w:vAlign w:val="bottom"/>
            <w:hideMark/>
          </w:tcPr>
          <w:p w14:paraId="24FA898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2" w:type="pct"/>
            <w:tcBorders>
              <w:top w:val="nil"/>
              <w:left w:val="nil"/>
              <w:bottom w:val="nil"/>
              <w:right w:val="nil"/>
            </w:tcBorders>
            <w:noWrap/>
            <w:vAlign w:val="bottom"/>
            <w:hideMark/>
          </w:tcPr>
          <w:p w14:paraId="3A79CD57"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bottom w:val="nil"/>
              <w:right w:val="nil"/>
            </w:tcBorders>
            <w:noWrap/>
            <w:vAlign w:val="bottom"/>
            <w:hideMark/>
          </w:tcPr>
          <w:p w14:paraId="6DC7544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79" w:type="pct"/>
            <w:tcBorders>
              <w:top w:val="nil"/>
              <w:left w:val="nil"/>
              <w:bottom w:val="nil"/>
              <w:right w:val="nil"/>
            </w:tcBorders>
            <w:noWrap/>
            <w:vAlign w:val="bottom"/>
            <w:hideMark/>
          </w:tcPr>
          <w:p w14:paraId="12F9012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8" w:type="pct"/>
            <w:tcBorders>
              <w:top w:val="nil"/>
              <w:left w:val="nil"/>
              <w:bottom w:val="nil"/>
              <w:right w:val="nil"/>
            </w:tcBorders>
            <w:noWrap/>
            <w:vAlign w:val="bottom"/>
            <w:hideMark/>
          </w:tcPr>
          <w:p w14:paraId="75AF365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46" w:type="pct"/>
            <w:tcBorders>
              <w:top w:val="nil"/>
              <w:left w:val="nil"/>
              <w:bottom w:val="nil"/>
              <w:right w:val="nil"/>
            </w:tcBorders>
            <w:noWrap/>
            <w:vAlign w:val="bottom"/>
            <w:hideMark/>
          </w:tcPr>
          <w:p w14:paraId="5DC5D39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125" w:type="pct"/>
            <w:tcBorders>
              <w:top w:val="nil"/>
              <w:left w:val="nil"/>
              <w:bottom w:val="nil"/>
              <w:right w:val="nil"/>
            </w:tcBorders>
            <w:noWrap/>
            <w:vAlign w:val="bottom"/>
            <w:hideMark/>
          </w:tcPr>
          <w:p w14:paraId="09535C7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5E0E15F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5D6CB5E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2E8B930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07" w:type="pct"/>
            <w:tcBorders>
              <w:top w:val="nil"/>
              <w:left w:val="nil"/>
              <w:bottom w:val="nil"/>
              <w:right w:val="nil"/>
            </w:tcBorders>
            <w:noWrap/>
            <w:vAlign w:val="bottom"/>
            <w:hideMark/>
          </w:tcPr>
          <w:p w14:paraId="3B95005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6" w:type="pct"/>
            <w:tcBorders>
              <w:top w:val="nil"/>
              <w:left w:val="nil"/>
              <w:bottom w:val="nil"/>
              <w:right w:val="nil"/>
            </w:tcBorders>
            <w:noWrap/>
            <w:vAlign w:val="bottom"/>
            <w:hideMark/>
          </w:tcPr>
          <w:p w14:paraId="5E39C57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69586BB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002972B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5122E6DE"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84" w:type="pct"/>
            <w:tcBorders>
              <w:top w:val="nil"/>
              <w:left w:val="nil"/>
              <w:bottom w:val="nil"/>
              <w:right w:val="nil"/>
            </w:tcBorders>
            <w:noWrap/>
            <w:vAlign w:val="bottom"/>
            <w:hideMark/>
          </w:tcPr>
          <w:p w14:paraId="42FFAD5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B54CBE" w14:paraId="2FFCD12B" w14:textId="77777777" w:rsidTr="004A2E8B">
        <w:trPr>
          <w:trHeight w:val="300"/>
        </w:trPr>
        <w:tc>
          <w:tcPr>
            <w:tcW w:w="529" w:type="pct"/>
            <w:tcBorders>
              <w:top w:val="nil"/>
              <w:left w:val="nil"/>
              <w:bottom w:val="nil"/>
              <w:right w:val="nil"/>
            </w:tcBorders>
            <w:noWrap/>
            <w:vAlign w:val="bottom"/>
            <w:hideMark/>
          </w:tcPr>
          <w:p w14:paraId="145CB7FD" w14:textId="77777777" w:rsidR="004D5D50" w:rsidRPr="00B54CBE" w:rsidRDefault="004D5D50" w:rsidP="004A2E8B">
            <w:pPr>
              <w:spacing w:after="0" w:line="240" w:lineRule="auto"/>
              <w:rPr>
                <w:rFonts w:ascii="Times New Roman" w:eastAsia="Times New Roman" w:hAnsi="Times New Roman" w:cs="Times New Roman"/>
                <w:i/>
                <w:iCs/>
                <w:color w:val="000000"/>
                <w:sz w:val="20"/>
                <w:szCs w:val="20"/>
                <w:lang w:eastAsia="en-CA"/>
              </w:rPr>
            </w:pPr>
            <w:r w:rsidRPr="00B54CBE">
              <w:rPr>
                <w:rFonts w:ascii="Times New Roman" w:eastAsia="Times New Roman" w:hAnsi="Times New Roman" w:cs="Times New Roman"/>
                <w:i/>
                <w:iCs/>
                <w:color w:val="000000"/>
                <w:sz w:val="20"/>
                <w:szCs w:val="20"/>
                <w:lang w:eastAsia="en-CA"/>
              </w:rPr>
              <w:t>b</w:t>
            </w:r>
          </w:p>
        </w:tc>
        <w:tc>
          <w:tcPr>
            <w:tcW w:w="312" w:type="pct"/>
            <w:tcBorders>
              <w:top w:val="nil"/>
              <w:left w:val="nil"/>
              <w:bottom w:val="nil"/>
              <w:right w:val="nil"/>
            </w:tcBorders>
            <w:noWrap/>
            <w:vAlign w:val="bottom"/>
            <w:hideMark/>
          </w:tcPr>
          <w:p w14:paraId="440B1F48" w14:textId="77777777" w:rsidR="004D5D50" w:rsidRPr="00B54CBE"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379" w:type="pct"/>
            <w:tcBorders>
              <w:top w:val="nil"/>
              <w:left w:val="nil"/>
              <w:bottom w:val="nil"/>
              <w:right w:val="nil"/>
            </w:tcBorders>
            <w:noWrap/>
            <w:vAlign w:val="bottom"/>
            <w:hideMark/>
          </w:tcPr>
          <w:p w14:paraId="79BBD3B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0.533</w:t>
            </w:r>
          </w:p>
        </w:tc>
        <w:tc>
          <w:tcPr>
            <w:tcW w:w="379" w:type="pct"/>
            <w:tcBorders>
              <w:top w:val="nil"/>
              <w:left w:val="nil"/>
              <w:bottom w:val="nil"/>
              <w:right w:val="nil"/>
            </w:tcBorders>
            <w:noWrap/>
            <w:vAlign w:val="bottom"/>
            <w:hideMark/>
          </w:tcPr>
          <w:p w14:paraId="35B6D78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0.510</w:t>
            </w:r>
          </w:p>
        </w:tc>
        <w:tc>
          <w:tcPr>
            <w:tcW w:w="338" w:type="pct"/>
            <w:tcBorders>
              <w:top w:val="nil"/>
              <w:left w:val="nil"/>
              <w:bottom w:val="nil"/>
              <w:right w:val="nil"/>
            </w:tcBorders>
            <w:noWrap/>
            <w:vAlign w:val="bottom"/>
            <w:hideMark/>
          </w:tcPr>
          <w:p w14:paraId="4277E04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0.504</w:t>
            </w:r>
          </w:p>
        </w:tc>
        <w:tc>
          <w:tcPr>
            <w:tcW w:w="346" w:type="pct"/>
            <w:tcBorders>
              <w:top w:val="nil"/>
              <w:left w:val="nil"/>
              <w:bottom w:val="nil"/>
              <w:right w:val="nil"/>
            </w:tcBorders>
            <w:noWrap/>
            <w:vAlign w:val="bottom"/>
            <w:hideMark/>
          </w:tcPr>
          <w:p w14:paraId="0BE3525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-0.007</w:t>
            </w:r>
          </w:p>
        </w:tc>
        <w:tc>
          <w:tcPr>
            <w:tcW w:w="125" w:type="pct"/>
            <w:tcBorders>
              <w:top w:val="nil"/>
              <w:left w:val="nil"/>
              <w:bottom w:val="nil"/>
              <w:right w:val="nil"/>
            </w:tcBorders>
            <w:noWrap/>
            <w:vAlign w:val="bottom"/>
            <w:hideMark/>
          </w:tcPr>
          <w:p w14:paraId="2ADAB1F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22E9385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0.506</w:t>
            </w:r>
          </w:p>
        </w:tc>
        <w:tc>
          <w:tcPr>
            <w:tcW w:w="324" w:type="pct"/>
            <w:tcBorders>
              <w:top w:val="nil"/>
              <w:left w:val="nil"/>
              <w:bottom w:val="nil"/>
              <w:right w:val="nil"/>
            </w:tcBorders>
            <w:noWrap/>
            <w:vAlign w:val="bottom"/>
            <w:hideMark/>
          </w:tcPr>
          <w:p w14:paraId="6822B6D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0.513</w:t>
            </w:r>
          </w:p>
        </w:tc>
        <w:tc>
          <w:tcPr>
            <w:tcW w:w="324" w:type="pct"/>
            <w:tcBorders>
              <w:top w:val="nil"/>
              <w:left w:val="nil"/>
              <w:bottom w:val="nil"/>
              <w:right w:val="nil"/>
            </w:tcBorders>
            <w:noWrap/>
            <w:vAlign w:val="bottom"/>
            <w:hideMark/>
          </w:tcPr>
          <w:p w14:paraId="16CC7AF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0.458</w:t>
            </w:r>
          </w:p>
        </w:tc>
        <w:tc>
          <w:tcPr>
            <w:tcW w:w="307" w:type="pct"/>
            <w:tcBorders>
              <w:top w:val="nil"/>
              <w:left w:val="nil"/>
              <w:bottom w:val="nil"/>
              <w:right w:val="nil"/>
            </w:tcBorders>
            <w:noWrap/>
            <w:vAlign w:val="bottom"/>
            <w:hideMark/>
          </w:tcPr>
          <w:p w14:paraId="3D9740E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-0.055</w:t>
            </w:r>
          </w:p>
        </w:tc>
        <w:tc>
          <w:tcPr>
            <w:tcW w:w="86" w:type="pct"/>
            <w:tcBorders>
              <w:top w:val="nil"/>
              <w:left w:val="nil"/>
              <w:bottom w:val="nil"/>
              <w:right w:val="nil"/>
            </w:tcBorders>
            <w:noWrap/>
            <w:vAlign w:val="bottom"/>
            <w:hideMark/>
          </w:tcPr>
          <w:p w14:paraId="6EA1EDE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5531A1A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0.703</w:t>
            </w:r>
          </w:p>
        </w:tc>
        <w:tc>
          <w:tcPr>
            <w:tcW w:w="314" w:type="pct"/>
            <w:tcBorders>
              <w:top w:val="nil"/>
              <w:left w:val="nil"/>
              <w:bottom w:val="nil"/>
              <w:right w:val="nil"/>
            </w:tcBorders>
            <w:noWrap/>
            <w:vAlign w:val="bottom"/>
            <w:hideMark/>
          </w:tcPr>
          <w:p w14:paraId="6C131D3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0.725</w:t>
            </w:r>
          </w:p>
        </w:tc>
        <w:tc>
          <w:tcPr>
            <w:tcW w:w="314" w:type="pct"/>
            <w:tcBorders>
              <w:top w:val="nil"/>
              <w:left w:val="nil"/>
              <w:bottom w:val="nil"/>
              <w:right w:val="nil"/>
            </w:tcBorders>
            <w:noWrap/>
            <w:vAlign w:val="bottom"/>
            <w:hideMark/>
          </w:tcPr>
          <w:p w14:paraId="3454C4D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0.698</w:t>
            </w:r>
          </w:p>
        </w:tc>
        <w:tc>
          <w:tcPr>
            <w:tcW w:w="284" w:type="pct"/>
            <w:tcBorders>
              <w:top w:val="nil"/>
              <w:left w:val="nil"/>
              <w:bottom w:val="nil"/>
              <w:right w:val="nil"/>
            </w:tcBorders>
            <w:noWrap/>
            <w:vAlign w:val="bottom"/>
            <w:hideMark/>
          </w:tcPr>
          <w:p w14:paraId="33110BC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-0.027</w:t>
            </w:r>
          </w:p>
        </w:tc>
      </w:tr>
      <w:tr w:rsidR="004D5D50" w:rsidRPr="00B54CBE" w14:paraId="1B29CB6C" w14:textId="77777777" w:rsidTr="004A2E8B">
        <w:trPr>
          <w:trHeight w:val="300"/>
        </w:trPr>
        <w:tc>
          <w:tcPr>
            <w:tcW w:w="529" w:type="pct"/>
            <w:tcBorders>
              <w:top w:val="nil"/>
              <w:left w:val="nil"/>
              <w:bottom w:val="nil"/>
              <w:right w:val="nil"/>
            </w:tcBorders>
            <w:noWrap/>
            <w:vAlign w:val="bottom"/>
            <w:hideMark/>
          </w:tcPr>
          <w:p w14:paraId="10F1213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2" w:type="pct"/>
            <w:tcBorders>
              <w:top w:val="nil"/>
              <w:left w:val="nil"/>
              <w:bottom w:val="nil"/>
              <w:right w:val="nil"/>
            </w:tcBorders>
            <w:noWrap/>
            <w:vAlign w:val="bottom"/>
            <w:hideMark/>
          </w:tcPr>
          <w:p w14:paraId="0D94C0A2"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bottom w:val="nil"/>
              <w:right w:val="nil"/>
            </w:tcBorders>
            <w:noWrap/>
            <w:vAlign w:val="bottom"/>
            <w:hideMark/>
          </w:tcPr>
          <w:p w14:paraId="1EAEC56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79" w:type="pct"/>
            <w:tcBorders>
              <w:top w:val="nil"/>
              <w:left w:val="nil"/>
              <w:bottom w:val="nil"/>
              <w:right w:val="nil"/>
            </w:tcBorders>
            <w:noWrap/>
            <w:vAlign w:val="bottom"/>
            <w:hideMark/>
          </w:tcPr>
          <w:p w14:paraId="31D8670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8" w:type="pct"/>
            <w:tcBorders>
              <w:top w:val="nil"/>
              <w:left w:val="nil"/>
              <w:bottom w:val="nil"/>
              <w:right w:val="nil"/>
            </w:tcBorders>
            <w:noWrap/>
            <w:vAlign w:val="bottom"/>
            <w:hideMark/>
          </w:tcPr>
          <w:p w14:paraId="55F614A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46" w:type="pct"/>
            <w:tcBorders>
              <w:top w:val="nil"/>
              <w:left w:val="nil"/>
              <w:bottom w:val="nil"/>
              <w:right w:val="nil"/>
            </w:tcBorders>
            <w:noWrap/>
            <w:vAlign w:val="bottom"/>
            <w:hideMark/>
          </w:tcPr>
          <w:p w14:paraId="5C82DD4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0.748</w:t>
            </w:r>
            <w:r>
              <w:rPr>
                <w:rFonts w:ascii="Times New Roman" w:eastAsia="Times New Roman" w:hAnsi="Times New Roman" w:cs="Times New Roman"/>
                <w:color w:val="000000"/>
                <w:sz w:val="20"/>
                <w:szCs w:val="20"/>
                <w:lang w:eastAsia="en-GB"/>
              </w:rPr>
              <w:t>)</w:t>
            </w:r>
          </w:p>
        </w:tc>
        <w:tc>
          <w:tcPr>
            <w:tcW w:w="125" w:type="pct"/>
            <w:tcBorders>
              <w:top w:val="nil"/>
              <w:left w:val="nil"/>
              <w:bottom w:val="nil"/>
              <w:right w:val="nil"/>
            </w:tcBorders>
            <w:noWrap/>
            <w:vAlign w:val="bottom"/>
            <w:hideMark/>
          </w:tcPr>
          <w:p w14:paraId="236EBBE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6A2AD2E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07EA915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4CD55AE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07" w:type="pct"/>
            <w:tcBorders>
              <w:top w:val="nil"/>
              <w:left w:val="nil"/>
              <w:bottom w:val="nil"/>
              <w:right w:val="nil"/>
            </w:tcBorders>
            <w:noWrap/>
            <w:vAlign w:val="bottom"/>
            <w:hideMark/>
          </w:tcPr>
          <w:p w14:paraId="300DAD5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0.015</w:t>
            </w:r>
            <w:r>
              <w:rPr>
                <w:rFonts w:ascii="Times New Roman" w:eastAsia="Times New Roman" w:hAnsi="Times New Roman" w:cs="Times New Roman"/>
                <w:color w:val="000000"/>
                <w:sz w:val="20"/>
                <w:szCs w:val="20"/>
                <w:lang w:eastAsia="en-GB"/>
              </w:rPr>
              <w:t>)</w:t>
            </w:r>
          </w:p>
        </w:tc>
        <w:tc>
          <w:tcPr>
            <w:tcW w:w="86" w:type="pct"/>
            <w:tcBorders>
              <w:top w:val="nil"/>
              <w:left w:val="nil"/>
              <w:bottom w:val="nil"/>
              <w:right w:val="nil"/>
            </w:tcBorders>
            <w:noWrap/>
            <w:vAlign w:val="bottom"/>
            <w:hideMark/>
          </w:tcPr>
          <w:p w14:paraId="17BF660E"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24BAE83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316AC07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6765C00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84" w:type="pct"/>
            <w:tcBorders>
              <w:top w:val="nil"/>
              <w:left w:val="nil"/>
              <w:bottom w:val="nil"/>
              <w:right w:val="nil"/>
            </w:tcBorders>
            <w:noWrap/>
            <w:vAlign w:val="bottom"/>
            <w:hideMark/>
          </w:tcPr>
          <w:p w14:paraId="4585055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0.056</w:t>
            </w:r>
            <w:r>
              <w:rPr>
                <w:rFonts w:ascii="Times New Roman" w:eastAsia="Times New Roman" w:hAnsi="Times New Roman" w:cs="Times New Roman"/>
                <w:color w:val="000000"/>
                <w:sz w:val="20"/>
                <w:szCs w:val="20"/>
                <w:lang w:eastAsia="en-GB"/>
              </w:rPr>
              <w:t>)</w:t>
            </w:r>
          </w:p>
        </w:tc>
      </w:tr>
      <w:tr w:rsidR="004D5D50" w:rsidRPr="00B54CBE" w14:paraId="031CA878" w14:textId="77777777" w:rsidTr="004A2E8B">
        <w:trPr>
          <w:trHeight w:val="300"/>
        </w:trPr>
        <w:tc>
          <w:tcPr>
            <w:tcW w:w="529" w:type="pct"/>
            <w:tcBorders>
              <w:top w:val="nil"/>
              <w:left w:val="nil"/>
              <w:bottom w:val="nil"/>
              <w:right w:val="nil"/>
            </w:tcBorders>
            <w:noWrap/>
            <w:vAlign w:val="bottom"/>
            <w:hideMark/>
          </w:tcPr>
          <w:p w14:paraId="2D6D9D4A" w14:textId="77777777" w:rsidR="004D5D50" w:rsidRPr="00B54CBE" w:rsidRDefault="004D5D50" w:rsidP="004A2E8B">
            <w:pPr>
              <w:spacing w:after="0" w:line="240" w:lineRule="auto"/>
              <w:rPr>
                <w:rFonts w:ascii="Times New Roman" w:eastAsia="Times New Roman" w:hAnsi="Times New Roman" w:cs="Times New Roman"/>
                <w:i/>
                <w:iCs/>
                <w:color w:val="000000"/>
                <w:sz w:val="20"/>
                <w:szCs w:val="20"/>
                <w:lang w:eastAsia="en-CA"/>
              </w:rPr>
            </w:pPr>
            <w:r w:rsidRPr="00B54CBE">
              <w:rPr>
                <w:rFonts w:ascii="Times New Roman" w:eastAsia="Times New Roman" w:hAnsi="Times New Roman" w:cs="Times New Roman"/>
                <w:i/>
                <w:iCs/>
                <w:color w:val="000000"/>
                <w:sz w:val="20"/>
                <w:szCs w:val="20"/>
                <w:lang w:eastAsia="en-CA"/>
              </w:rPr>
              <w:t>|earn|</w:t>
            </w:r>
          </w:p>
        </w:tc>
        <w:tc>
          <w:tcPr>
            <w:tcW w:w="312" w:type="pct"/>
            <w:tcBorders>
              <w:top w:val="nil"/>
              <w:left w:val="nil"/>
              <w:bottom w:val="nil"/>
              <w:right w:val="nil"/>
            </w:tcBorders>
            <w:noWrap/>
            <w:vAlign w:val="bottom"/>
            <w:hideMark/>
          </w:tcPr>
          <w:p w14:paraId="6137FC6B" w14:textId="77777777" w:rsidR="004D5D50" w:rsidRPr="00B54CBE"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379" w:type="pct"/>
            <w:tcBorders>
              <w:top w:val="nil"/>
              <w:left w:val="nil"/>
              <w:bottom w:val="nil"/>
              <w:right w:val="nil"/>
            </w:tcBorders>
            <w:noWrap/>
            <w:vAlign w:val="bottom"/>
            <w:hideMark/>
          </w:tcPr>
          <w:p w14:paraId="3BDB7B3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0.448</w:t>
            </w:r>
          </w:p>
        </w:tc>
        <w:tc>
          <w:tcPr>
            <w:tcW w:w="379" w:type="pct"/>
            <w:tcBorders>
              <w:top w:val="nil"/>
              <w:left w:val="nil"/>
              <w:bottom w:val="nil"/>
              <w:right w:val="nil"/>
            </w:tcBorders>
            <w:noWrap/>
            <w:vAlign w:val="bottom"/>
            <w:hideMark/>
          </w:tcPr>
          <w:p w14:paraId="6E13183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0.522</w:t>
            </w:r>
          </w:p>
        </w:tc>
        <w:tc>
          <w:tcPr>
            <w:tcW w:w="338" w:type="pct"/>
            <w:tcBorders>
              <w:top w:val="nil"/>
              <w:left w:val="nil"/>
              <w:bottom w:val="nil"/>
              <w:right w:val="nil"/>
            </w:tcBorders>
            <w:noWrap/>
            <w:vAlign w:val="bottom"/>
            <w:hideMark/>
          </w:tcPr>
          <w:p w14:paraId="6D93EB8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0.477</w:t>
            </w:r>
          </w:p>
        </w:tc>
        <w:tc>
          <w:tcPr>
            <w:tcW w:w="346" w:type="pct"/>
            <w:tcBorders>
              <w:top w:val="nil"/>
              <w:left w:val="nil"/>
              <w:bottom w:val="nil"/>
              <w:right w:val="nil"/>
            </w:tcBorders>
            <w:noWrap/>
            <w:vAlign w:val="bottom"/>
            <w:hideMark/>
          </w:tcPr>
          <w:p w14:paraId="5EBEE70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-0.045</w:t>
            </w:r>
          </w:p>
        </w:tc>
        <w:tc>
          <w:tcPr>
            <w:tcW w:w="125" w:type="pct"/>
            <w:tcBorders>
              <w:top w:val="nil"/>
              <w:left w:val="nil"/>
              <w:bottom w:val="nil"/>
              <w:right w:val="nil"/>
            </w:tcBorders>
            <w:noWrap/>
            <w:vAlign w:val="bottom"/>
            <w:hideMark/>
          </w:tcPr>
          <w:p w14:paraId="5CB169F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1D3BA0B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0.392</w:t>
            </w:r>
          </w:p>
        </w:tc>
        <w:tc>
          <w:tcPr>
            <w:tcW w:w="324" w:type="pct"/>
            <w:tcBorders>
              <w:top w:val="nil"/>
              <w:left w:val="nil"/>
              <w:bottom w:val="nil"/>
              <w:right w:val="nil"/>
            </w:tcBorders>
            <w:noWrap/>
            <w:vAlign w:val="bottom"/>
            <w:hideMark/>
          </w:tcPr>
          <w:p w14:paraId="13927BB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0.451</w:t>
            </w:r>
          </w:p>
        </w:tc>
        <w:tc>
          <w:tcPr>
            <w:tcW w:w="324" w:type="pct"/>
            <w:tcBorders>
              <w:top w:val="nil"/>
              <w:left w:val="nil"/>
              <w:bottom w:val="nil"/>
              <w:right w:val="nil"/>
            </w:tcBorders>
            <w:noWrap/>
            <w:vAlign w:val="bottom"/>
            <w:hideMark/>
          </w:tcPr>
          <w:p w14:paraId="75A08AB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0.419</w:t>
            </w:r>
          </w:p>
        </w:tc>
        <w:tc>
          <w:tcPr>
            <w:tcW w:w="307" w:type="pct"/>
            <w:tcBorders>
              <w:top w:val="nil"/>
              <w:left w:val="nil"/>
              <w:bottom w:val="nil"/>
              <w:right w:val="nil"/>
            </w:tcBorders>
            <w:noWrap/>
            <w:vAlign w:val="bottom"/>
            <w:hideMark/>
          </w:tcPr>
          <w:p w14:paraId="2AF5B47E"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-0.032</w:t>
            </w:r>
          </w:p>
        </w:tc>
        <w:tc>
          <w:tcPr>
            <w:tcW w:w="86" w:type="pct"/>
            <w:tcBorders>
              <w:top w:val="nil"/>
              <w:left w:val="nil"/>
              <w:bottom w:val="nil"/>
              <w:right w:val="nil"/>
            </w:tcBorders>
            <w:noWrap/>
            <w:vAlign w:val="bottom"/>
            <w:hideMark/>
          </w:tcPr>
          <w:p w14:paraId="2F1A19E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1761258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0.185</w:t>
            </w:r>
          </w:p>
        </w:tc>
        <w:tc>
          <w:tcPr>
            <w:tcW w:w="314" w:type="pct"/>
            <w:tcBorders>
              <w:top w:val="nil"/>
              <w:left w:val="nil"/>
              <w:bottom w:val="nil"/>
              <w:right w:val="nil"/>
            </w:tcBorders>
            <w:noWrap/>
            <w:vAlign w:val="bottom"/>
            <w:hideMark/>
          </w:tcPr>
          <w:p w14:paraId="04E9D87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0.219</w:t>
            </w:r>
          </w:p>
        </w:tc>
        <w:tc>
          <w:tcPr>
            <w:tcW w:w="314" w:type="pct"/>
            <w:tcBorders>
              <w:top w:val="nil"/>
              <w:left w:val="nil"/>
              <w:bottom w:val="nil"/>
              <w:right w:val="nil"/>
            </w:tcBorders>
            <w:noWrap/>
            <w:vAlign w:val="bottom"/>
            <w:hideMark/>
          </w:tcPr>
          <w:p w14:paraId="1A21B24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0.166</w:t>
            </w:r>
          </w:p>
        </w:tc>
        <w:tc>
          <w:tcPr>
            <w:tcW w:w="284" w:type="pct"/>
            <w:tcBorders>
              <w:top w:val="nil"/>
              <w:left w:val="nil"/>
              <w:bottom w:val="nil"/>
              <w:right w:val="nil"/>
            </w:tcBorders>
            <w:noWrap/>
            <w:vAlign w:val="bottom"/>
            <w:hideMark/>
          </w:tcPr>
          <w:p w14:paraId="19C058D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-0.053</w:t>
            </w:r>
          </w:p>
        </w:tc>
      </w:tr>
      <w:tr w:rsidR="004D5D50" w:rsidRPr="00B54CBE" w14:paraId="22D1FF28" w14:textId="77777777" w:rsidTr="004A2E8B">
        <w:trPr>
          <w:trHeight w:val="300"/>
        </w:trPr>
        <w:tc>
          <w:tcPr>
            <w:tcW w:w="529" w:type="pct"/>
            <w:tcBorders>
              <w:top w:val="nil"/>
              <w:left w:val="nil"/>
              <w:bottom w:val="nil"/>
              <w:right w:val="nil"/>
            </w:tcBorders>
            <w:noWrap/>
            <w:vAlign w:val="bottom"/>
            <w:hideMark/>
          </w:tcPr>
          <w:p w14:paraId="7D77A2D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2" w:type="pct"/>
            <w:tcBorders>
              <w:top w:val="nil"/>
              <w:left w:val="nil"/>
              <w:bottom w:val="nil"/>
              <w:right w:val="nil"/>
            </w:tcBorders>
            <w:noWrap/>
            <w:vAlign w:val="bottom"/>
            <w:hideMark/>
          </w:tcPr>
          <w:p w14:paraId="71AEE221"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bottom w:val="nil"/>
              <w:right w:val="nil"/>
            </w:tcBorders>
            <w:noWrap/>
            <w:vAlign w:val="bottom"/>
            <w:hideMark/>
          </w:tcPr>
          <w:p w14:paraId="5D25FC9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79" w:type="pct"/>
            <w:tcBorders>
              <w:top w:val="nil"/>
              <w:left w:val="nil"/>
              <w:bottom w:val="nil"/>
              <w:right w:val="nil"/>
            </w:tcBorders>
            <w:noWrap/>
            <w:vAlign w:val="bottom"/>
            <w:hideMark/>
          </w:tcPr>
          <w:p w14:paraId="1558A07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8" w:type="pct"/>
            <w:tcBorders>
              <w:top w:val="nil"/>
              <w:left w:val="nil"/>
              <w:bottom w:val="nil"/>
              <w:right w:val="nil"/>
            </w:tcBorders>
            <w:noWrap/>
            <w:vAlign w:val="bottom"/>
            <w:hideMark/>
          </w:tcPr>
          <w:p w14:paraId="041022F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46" w:type="pct"/>
            <w:tcBorders>
              <w:top w:val="nil"/>
              <w:left w:val="nil"/>
              <w:bottom w:val="nil"/>
              <w:right w:val="nil"/>
            </w:tcBorders>
            <w:noWrap/>
            <w:vAlign w:val="bottom"/>
            <w:hideMark/>
          </w:tcPr>
          <w:p w14:paraId="7A1A004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0.009</w:t>
            </w:r>
            <w:r>
              <w:rPr>
                <w:rFonts w:ascii="Times New Roman" w:eastAsia="Times New Roman" w:hAnsi="Times New Roman" w:cs="Times New Roman"/>
                <w:color w:val="000000"/>
                <w:sz w:val="20"/>
                <w:szCs w:val="20"/>
                <w:lang w:eastAsia="en-GB"/>
              </w:rPr>
              <w:t>)</w:t>
            </w:r>
          </w:p>
        </w:tc>
        <w:tc>
          <w:tcPr>
            <w:tcW w:w="125" w:type="pct"/>
            <w:tcBorders>
              <w:top w:val="nil"/>
              <w:left w:val="nil"/>
              <w:bottom w:val="nil"/>
              <w:right w:val="nil"/>
            </w:tcBorders>
            <w:noWrap/>
            <w:vAlign w:val="bottom"/>
            <w:hideMark/>
          </w:tcPr>
          <w:p w14:paraId="52894D2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7861B53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57712BC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2BAA8CB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07" w:type="pct"/>
            <w:tcBorders>
              <w:top w:val="nil"/>
              <w:left w:val="nil"/>
              <w:bottom w:val="nil"/>
              <w:right w:val="nil"/>
            </w:tcBorders>
            <w:noWrap/>
            <w:vAlign w:val="bottom"/>
            <w:hideMark/>
          </w:tcPr>
          <w:p w14:paraId="48E57DF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0.195</w:t>
            </w:r>
            <w:r>
              <w:rPr>
                <w:rFonts w:ascii="Times New Roman" w:eastAsia="Times New Roman" w:hAnsi="Times New Roman" w:cs="Times New Roman"/>
                <w:color w:val="000000"/>
                <w:sz w:val="20"/>
                <w:szCs w:val="20"/>
                <w:lang w:eastAsia="en-GB"/>
              </w:rPr>
              <w:t>)</w:t>
            </w:r>
          </w:p>
        </w:tc>
        <w:tc>
          <w:tcPr>
            <w:tcW w:w="86" w:type="pct"/>
            <w:tcBorders>
              <w:top w:val="nil"/>
              <w:left w:val="nil"/>
              <w:bottom w:val="nil"/>
              <w:right w:val="nil"/>
            </w:tcBorders>
            <w:noWrap/>
            <w:vAlign w:val="bottom"/>
            <w:hideMark/>
          </w:tcPr>
          <w:p w14:paraId="271DF74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43A4E98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28A01F3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21D935E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84" w:type="pct"/>
            <w:tcBorders>
              <w:top w:val="nil"/>
              <w:left w:val="nil"/>
              <w:bottom w:val="nil"/>
              <w:right w:val="nil"/>
            </w:tcBorders>
            <w:noWrap/>
            <w:vAlign w:val="bottom"/>
            <w:hideMark/>
          </w:tcPr>
          <w:p w14:paraId="24F6957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B54CBE" w14:paraId="685DBFB3" w14:textId="77777777" w:rsidTr="004A2E8B">
        <w:trPr>
          <w:trHeight w:val="300"/>
        </w:trPr>
        <w:tc>
          <w:tcPr>
            <w:tcW w:w="529" w:type="pct"/>
            <w:tcBorders>
              <w:top w:val="nil"/>
              <w:left w:val="nil"/>
              <w:bottom w:val="nil"/>
              <w:right w:val="nil"/>
            </w:tcBorders>
            <w:noWrap/>
            <w:vAlign w:val="bottom"/>
          </w:tcPr>
          <w:p w14:paraId="6D366916" w14:textId="77777777" w:rsidR="004D5D50" w:rsidRPr="00B54CBE" w:rsidRDefault="004D5D50" w:rsidP="004A2E8B">
            <w:pPr>
              <w:spacing w:after="0" w:line="240" w:lineRule="auto"/>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i/>
                <w:iCs/>
                <w:color w:val="000000"/>
                <w:sz w:val="20"/>
                <w:szCs w:val="20"/>
                <w:lang w:eastAsia="en-CA"/>
              </w:rPr>
              <w:t>|earn|×I</w:t>
            </w:r>
            <w:r w:rsidRPr="00B54CBE">
              <w:rPr>
                <w:rFonts w:ascii="Times New Roman" w:eastAsia="Times New Roman" w:hAnsi="Times New Roman" w:cs="Times New Roman"/>
                <w:i/>
                <w:iCs/>
                <w:color w:val="000000"/>
                <w:sz w:val="20"/>
                <w:szCs w:val="20"/>
                <w:vertAlign w:val="subscript"/>
                <w:lang w:eastAsia="en-CA"/>
              </w:rPr>
              <w:t>EARN&lt;0</w:t>
            </w:r>
          </w:p>
        </w:tc>
        <w:tc>
          <w:tcPr>
            <w:tcW w:w="312" w:type="pct"/>
            <w:tcBorders>
              <w:top w:val="nil"/>
              <w:left w:val="nil"/>
              <w:bottom w:val="nil"/>
              <w:right w:val="nil"/>
            </w:tcBorders>
            <w:noWrap/>
            <w:vAlign w:val="bottom"/>
          </w:tcPr>
          <w:p w14:paraId="5B6A5CBD"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bottom w:val="nil"/>
              <w:right w:val="nil"/>
            </w:tcBorders>
            <w:noWrap/>
            <w:vAlign w:val="bottom"/>
          </w:tcPr>
          <w:p w14:paraId="1A74A04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3321F">
              <w:rPr>
                <w:rFonts w:ascii="Times New Roman" w:eastAsia="Times New Roman" w:hAnsi="Times New Roman" w:cs="Times New Roman"/>
                <w:color w:val="000000"/>
                <w:sz w:val="20"/>
                <w:szCs w:val="20"/>
                <w:lang w:eastAsia="en-GB"/>
              </w:rPr>
              <w:t>-0.300</w:t>
            </w:r>
          </w:p>
        </w:tc>
        <w:tc>
          <w:tcPr>
            <w:tcW w:w="379" w:type="pct"/>
            <w:tcBorders>
              <w:top w:val="nil"/>
              <w:left w:val="nil"/>
              <w:bottom w:val="nil"/>
              <w:right w:val="nil"/>
            </w:tcBorders>
            <w:noWrap/>
            <w:vAlign w:val="bottom"/>
          </w:tcPr>
          <w:p w14:paraId="07362AB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3321F">
              <w:rPr>
                <w:rFonts w:ascii="Times New Roman" w:eastAsia="Times New Roman" w:hAnsi="Times New Roman" w:cs="Times New Roman"/>
                <w:color w:val="000000"/>
                <w:sz w:val="20"/>
                <w:szCs w:val="20"/>
                <w:lang w:eastAsia="en-GB"/>
              </w:rPr>
              <w:t>-0.352</w:t>
            </w:r>
          </w:p>
        </w:tc>
        <w:tc>
          <w:tcPr>
            <w:tcW w:w="338" w:type="pct"/>
            <w:tcBorders>
              <w:top w:val="nil"/>
              <w:left w:val="nil"/>
              <w:bottom w:val="nil"/>
              <w:right w:val="nil"/>
            </w:tcBorders>
            <w:noWrap/>
            <w:vAlign w:val="bottom"/>
          </w:tcPr>
          <w:p w14:paraId="4411CE0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3321F">
              <w:rPr>
                <w:rFonts w:ascii="Times New Roman" w:eastAsia="Times New Roman" w:hAnsi="Times New Roman" w:cs="Times New Roman"/>
                <w:color w:val="000000"/>
                <w:sz w:val="20"/>
                <w:szCs w:val="20"/>
                <w:lang w:eastAsia="en-GB"/>
              </w:rPr>
              <w:t>-0.274</w:t>
            </w:r>
          </w:p>
        </w:tc>
        <w:tc>
          <w:tcPr>
            <w:tcW w:w="346" w:type="pct"/>
            <w:tcBorders>
              <w:top w:val="nil"/>
              <w:left w:val="nil"/>
              <w:bottom w:val="nil"/>
              <w:right w:val="nil"/>
            </w:tcBorders>
            <w:noWrap/>
            <w:vAlign w:val="bottom"/>
          </w:tcPr>
          <w:p w14:paraId="7A18CB2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3321F">
              <w:rPr>
                <w:rFonts w:ascii="Times New Roman" w:eastAsia="Times New Roman" w:hAnsi="Times New Roman" w:cs="Times New Roman"/>
                <w:color w:val="000000"/>
                <w:sz w:val="20"/>
                <w:szCs w:val="20"/>
                <w:lang w:eastAsia="en-GB"/>
              </w:rPr>
              <w:t>0.078</w:t>
            </w:r>
          </w:p>
        </w:tc>
        <w:tc>
          <w:tcPr>
            <w:tcW w:w="125" w:type="pct"/>
            <w:tcBorders>
              <w:top w:val="nil"/>
              <w:left w:val="nil"/>
              <w:bottom w:val="nil"/>
              <w:right w:val="nil"/>
            </w:tcBorders>
            <w:noWrap/>
            <w:vAlign w:val="bottom"/>
          </w:tcPr>
          <w:p w14:paraId="2437CD9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tcPr>
          <w:p w14:paraId="0BD651D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D8797A">
              <w:rPr>
                <w:rFonts w:ascii="Times New Roman" w:eastAsia="Times New Roman" w:hAnsi="Times New Roman" w:cs="Times New Roman"/>
                <w:color w:val="000000"/>
                <w:sz w:val="20"/>
                <w:szCs w:val="20"/>
                <w:lang w:eastAsia="en-GB"/>
              </w:rPr>
              <w:t>-0.210</w:t>
            </w:r>
          </w:p>
        </w:tc>
        <w:tc>
          <w:tcPr>
            <w:tcW w:w="324" w:type="pct"/>
            <w:tcBorders>
              <w:top w:val="nil"/>
              <w:left w:val="nil"/>
              <w:bottom w:val="nil"/>
              <w:right w:val="nil"/>
            </w:tcBorders>
            <w:noWrap/>
            <w:vAlign w:val="bottom"/>
          </w:tcPr>
          <w:p w14:paraId="380EDCAE"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D8797A">
              <w:rPr>
                <w:rFonts w:ascii="Times New Roman" w:eastAsia="Times New Roman" w:hAnsi="Times New Roman" w:cs="Times New Roman"/>
                <w:color w:val="000000"/>
                <w:sz w:val="20"/>
                <w:szCs w:val="20"/>
                <w:lang w:eastAsia="en-GB"/>
              </w:rPr>
              <w:t>-0.300</w:t>
            </w:r>
          </w:p>
        </w:tc>
        <w:tc>
          <w:tcPr>
            <w:tcW w:w="324" w:type="pct"/>
            <w:tcBorders>
              <w:top w:val="nil"/>
              <w:left w:val="nil"/>
              <w:bottom w:val="nil"/>
              <w:right w:val="nil"/>
            </w:tcBorders>
            <w:noWrap/>
            <w:vAlign w:val="bottom"/>
          </w:tcPr>
          <w:p w14:paraId="2D34D9C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D8797A">
              <w:rPr>
                <w:rFonts w:ascii="Times New Roman" w:eastAsia="Times New Roman" w:hAnsi="Times New Roman" w:cs="Times New Roman"/>
                <w:color w:val="000000"/>
                <w:sz w:val="20"/>
                <w:szCs w:val="20"/>
                <w:lang w:eastAsia="en-GB"/>
              </w:rPr>
              <w:t>-0.164</w:t>
            </w:r>
          </w:p>
        </w:tc>
        <w:tc>
          <w:tcPr>
            <w:tcW w:w="307" w:type="pct"/>
            <w:tcBorders>
              <w:top w:val="nil"/>
              <w:left w:val="nil"/>
              <w:bottom w:val="nil"/>
              <w:right w:val="nil"/>
            </w:tcBorders>
            <w:noWrap/>
            <w:vAlign w:val="bottom"/>
          </w:tcPr>
          <w:p w14:paraId="5F94581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D8797A">
              <w:rPr>
                <w:rFonts w:ascii="Times New Roman" w:eastAsia="Times New Roman" w:hAnsi="Times New Roman" w:cs="Times New Roman"/>
                <w:color w:val="000000"/>
                <w:sz w:val="20"/>
                <w:szCs w:val="20"/>
                <w:lang w:eastAsia="en-GB"/>
              </w:rPr>
              <w:t>0.136</w:t>
            </w:r>
          </w:p>
        </w:tc>
        <w:tc>
          <w:tcPr>
            <w:tcW w:w="86" w:type="pct"/>
            <w:tcBorders>
              <w:top w:val="nil"/>
              <w:left w:val="nil"/>
              <w:bottom w:val="nil"/>
              <w:right w:val="nil"/>
            </w:tcBorders>
            <w:noWrap/>
            <w:vAlign w:val="bottom"/>
          </w:tcPr>
          <w:p w14:paraId="5904B3F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tcPr>
          <w:p w14:paraId="2479C2E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B54CBE">
              <w:rPr>
                <w:rFonts w:ascii="Times New Roman" w:eastAsia="Times New Roman" w:hAnsi="Times New Roman" w:cs="Times New Roman"/>
                <w:color w:val="000000"/>
                <w:sz w:val="20"/>
                <w:szCs w:val="20"/>
                <w:lang w:eastAsia="en-GB"/>
              </w:rPr>
              <w:t>-0.148</w:t>
            </w:r>
          </w:p>
        </w:tc>
        <w:tc>
          <w:tcPr>
            <w:tcW w:w="314" w:type="pct"/>
            <w:tcBorders>
              <w:top w:val="nil"/>
              <w:left w:val="nil"/>
              <w:bottom w:val="nil"/>
              <w:right w:val="nil"/>
            </w:tcBorders>
            <w:noWrap/>
            <w:vAlign w:val="bottom"/>
          </w:tcPr>
          <w:p w14:paraId="6E36270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B54CBE">
              <w:rPr>
                <w:rFonts w:ascii="Times New Roman" w:eastAsia="Times New Roman" w:hAnsi="Times New Roman" w:cs="Times New Roman"/>
                <w:color w:val="000000"/>
                <w:sz w:val="20"/>
                <w:szCs w:val="20"/>
                <w:lang w:eastAsia="en-GB"/>
              </w:rPr>
              <w:t>-0.181</w:t>
            </w:r>
          </w:p>
        </w:tc>
        <w:tc>
          <w:tcPr>
            <w:tcW w:w="314" w:type="pct"/>
            <w:tcBorders>
              <w:top w:val="nil"/>
              <w:left w:val="nil"/>
              <w:bottom w:val="nil"/>
              <w:right w:val="nil"/>
            </w:tcBorders>
            <w:noWrap/>
            <w:vAlign w:val="bottom"/>
          </w:tcPr>
          <w:p w14:paraId="2E830F1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B54CBE">
              <w:rPr>
                <w:rFonts w:ascii="Times New Roman" w:eastAsia="Times New Roman" w:hAnsi="Times New Roman" w:cs="Times New Roman"/>
                <w:color w:val="000000"/>
                <w:sz w:val="20"/>
                <w:szCs w:val="20"/>
                <w:lang w:eastAsia="en-GB"/>
              </w:rPr>
              <w:t>-0.112</w:t>
            </w:r>
          </w:p>
        </w:tc>
        <w:tc>
          <w:tcPr>
            <w:tcW w:w="284" w:type="pct"/>
            <w:tcBorders>
              <w:top w:val="nil"/>
              <w:left w:val="nil"/>
              <w:bottom w:val="nil"/>
              <w:right w:val="nil"/>
            </w:tcBorders>
            <w:noWrap/>
            <w:vAlign w:val="bottom"/>
          </w:tcPr>
          <w:p w14:paraId="74E74C0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B54CBE">
              <w:rPr>
                <w:rFonts w:ascii="Times New Roman" w:eastAsia="Times New Roman" w:hAnsi="Times New Roman" w:cs="Times New Roman"/>
                <w:color w:val="000000"/>
                <w:sz w:val="20"/>
                <w:szCs w:val="20"/>
                <w:lang w:eastAsia="en-GB"/>
              </w:rPr>
              <w:t>0.069</w:t>
            </w:r>
          </w:p>
        </w:tc>
      </w:tr>
      <w:tr w:rsidR="004D5D50" w:rsidRPr="00B54CBE" w14:paraId="6E4C61FB" w14:textId="77777777" w:rsidTr="004A2E8B">
        <w:trPr>
          <w:trHeight w:val="300"/>
        </w:trPr>
        <w:tc>
          <w:tcPr>
            <w:tcW w:w="529" w:type="pct"/>
            <w:tcBorders>
              <w:top w:val="nil"/>
              <w:left w:val="nil"/>
              <w:bottom w:val="nil"/>
              <w:right w:val="nil"/>
            </w:tcBorders>
            <w:noWrap/>
            <w:vAlign w:val="bottom"/>
            <w:hideMark/>
          </w:tcPr>
          <w:p w14:paraId="6F9037B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2" w:type="pct"/>
            <w:tcBorders>
              <w:top w:val="nil"/>
              <w:left w:val="nil"/>
              <w:bottom w:val="nil"/>
              <w:right w:val="nil"/>
            </w:tcBorders>
            <w:noWrap/>
            <w:vAlign w:val="bottom"/>
            <w:hideMark/>
          </w:tcPr>
          <w:p w14:paraId="0AB6C486"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bottom w:val="nil"/>
              <w:right w:val="nil"/>
            </w:tcBorders>
            <w:noWrap/>
            <w:vAlign w:val="bottom"/>
            <w:hideMark/>
          </w:tcPr>
          <w:p w14:paraId="209DF62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79" w:type="pct"/>
            <w:tcBorders>
              <w:top w:val="nil"/>
              <w:left w:val="nil"/>
              <w:bottom w:val="nil"/>
              <w:right w:val="nil"/>
            </w:tcBorders>
            <w:noWrap/>
            <w:vAlign w:val="bottom"/>
            <w:hideMark/>
          </w:tcPr>
          <w:p w14:paraId="66F9668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8" w:type="pct"/>
            <w:tcBorders>
              <w:top w:val="nil"/>
              <w:left w:val="nil"/>
              <w:bottom w:val="nil"/>
              <w:right w:val="nil"/>
            </w:tcBorders>
            <w:noWrap/>
            <w:vAlign w:val="bottom"/>
            <w:hideMark/>
          </w:tcPr>
          <w:p w14:paraId="08DFF90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46" w:type="pct"/>
            <w:tcBorders>
              <w:top w:val="nil"/>
              <w:left w:val="nil"/>
              <w:bottom w:val="nil"/>
              <w:right w:val="nil"/>
            </w:tcBorders>
            <w:noWrap/>
            <w:vAlign w:val="bottom"/>
            <w:hideMark/>
          </w:tcPr>
          <w:p w14:paraId="1361582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0.003</w:t>
            </w:r>
            <w:r>
              <w:rPr>
                <w:rFonts w:ascii="Times New Roman" w:eastAsia="Times New Roman" w:hAnsi="Times New Roman" w:cs="Times New Roman"/>
                <w:color w:val="000000"/>
                <w:sz w:val="20"/>
                <w:szCs w:val="20"/>
                <w:lang w:eastAsia="en-GB"/>
              </w:rPr>
              <w:t>)</w:t>
            </w:r>
          </w:p>
        </w:tc>
        <w:tc>
          <w:tcPr>
            <w:tcW w:w="125" w:type="pct"/>
            <w:tcBorders>
              <w:top w:val="nil"/>
              <w:left w:val="nil"/>
              <w:bottom w:val="nil"/>
              <w:right w:val="nil"/>
            </w:tcBorders>
            <w:noWrap/>
            <w:vAlign w:val="bottom"/>
            <w:hideMark/>
          </w:tcPr>
          <w:p w14:paraId="187FF5D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0006DD8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226D1BC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4ED02AD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07" w:type="pct"/>
            <w:tcBorders>
              <w:top w:val="nil"/>
              <w:left w:val="nil"/>
              <w:bottom w:val="nil"/>
              <w:right w:val="nil"/>
            </w:tcBorders>
            <w:noWrap/>
            <w:vAlign w:val="bottom"/>
            <w:hideMark/>
          </w:tcPr>
          <w:p w14:paraId="2308576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86" w:type="pct"/>
            <w:tcBorders>
              <w:top w:val="nil"/>
              <w:left w:val="nil"/>
              <w:bottom w:val="nil"/>
              <w:right w:val="nil"/>
            </w:tcBorders>
            <w:noWrap/>
            <w:vAlign w:val="bottom"/>
            <w:hideMark/>
          </w:tcPr>
          <w:p w14:paraId="120D76A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298D26D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271858A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6C0DE83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0.002</w:t>
            </w:r>
            <w:r>
              <w:rPr>
                <w:rFonts w:ascii="Times New Roman" w:eastAsia="Times New Roman" w:hAnsi="Times New Roman" w:cs="Times New Roman"/>
                <w:color w:val="000000"/>
                <w:sz w:val="20"/>
                <w:szCs w:val="20"/>
                <w:lang w:eastAsia="en-GB"/>
              </w:rPr>
              <w:t>)</w:t>
            </w:r>
          </w:p>
        </w:tc>
        <w:tc>
          <w:tcPr>
            <w:tcW w:w="284" w:type="pct"/>
            <w:tcBorders>
              <w:top w:val="nil"/>
              <w:left w:val="nil"/>
              <w:bottom w:val="nil"/>
              <w:right w:val="nil"/>
            </w:tcBorders>
            <w:noWrap/>
            <w:vAlign w:val="bottom"/>
            <w:hideMark/>
          </w:tcPr>
          <w:p w14:paraId="6C9369B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r>
      <w:tr w:rsidR="004D5D50" w:rsidRPr="00B54CBE" w14:paraId="1EC99511" w14:textId="77777777" w:rsidTr="004A2E8B">
        <w:trPr>
          <w:trHeight w:val="300"/>
        </w:trPr>
        <w:tc>
          <w:tcPr>
            <w:tcW w:w="529" w:type="pct"/>
            <w:tcBorders>
              <w:top w:val="nil"/>
              <w:left w:val="nil"/>
              <w:bottom w:val="nil"/>
              <w:right w:val="nil"/>
            </w:tcBorders>
            <w:noWrap/>
            <w:vAlign w:val="bottom"/>
            <w:hideMark/>
          </w:tcPr>
          <w:p w14:paraId="0357D0CD" w14:textId="77777777" w:rsidR="004D5D50" w:rsidRPr="00B54CBE" w:rsidRDefault="004D5D50" w:rsidP="004A2E8B">
            <w:pPr>
              <w:spacing w:after="0" w:line="240" w:lineRule="auto"/>
              <w:rPr>
                <w:rFonts w:ascii="Times New Roman" w:eastAsia="Times New Roman" w:hAnsi="Times New Roman" w:cs="Times New Roman"/>
                <w:i/>
                <w:iCs/>
                <w:color w:val="000000"/>
                <w:sz w:val="20"/>
                <w:szCs w:val="20"/>
                <w:lang w:eastAsia="en-CA"/>
              </w:rPr>
            </w:pPr>
            <w:r w:rsidRPr="00B54CBE">
              <w:rPr>
                <w:rFonts w:ascii="Times New Roman" w:eastAsia="Times New Roman" w:hAnsi="Times New Roman" w:cs="Times New Roman"/>
                <w:i/>
                <w:iCs/>
                <w:color w:val="000000"/>
                <w:sz w:val="20"/>
                <w:szCs w:val="20"/>
                <w:lang w:eastAsia="en-CA"/>
              </w:rPr>
              <w:t>LEV</w:t>
            </w:r>
          </w:p>
        </w:tc>
        <w:tc>
          <w:tcPr>
            <w:tcW w:w="312" w:type="pct"/>
            <w:tcBorders>
              <w:top w:val="nil"/>
              <w:left w:val="nil"/>
              <w:bottom w:val="nil"/>
              <w:right w:val="nil"/>
            </w:tcBorders>
            <w:noWrap/>
            <w:vAlign w:val="bottom"/>
            <w:hideMark/>
          </w:tcPr>
          <w:p w14:paraId="5AF1EA44" w14:textId="77777777" w:rsidR="004D5D50" w:rsidRPr="00B54CBE"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379" w:type="pct"/>
            <w:tcBorders>
              <w:top w:val="nil"/>
              <w:left w:val="nil"/>
              <w:bottom w:val="nil"/>
              <w:right w:val="nil"/>
            </w:tcBorders>
            <w:noWrap/>
            <w:vAlign w:val="bottom"/>
            <w:hideMark/>
          </w:tcPr>
          <w:p w14:paraId="0DB5097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-0.063</w:t>
            </w:r>
          </w:p>
        </w:tc>
        <w:tc>
          <w:tcPr>
            <w:tcW w:w="379" w:type="pct"/>
            <w:tcBorders>
              <w:top w:val="nil"/>
              <w:left w:val="nil"/>
              <w:bottom w:val="nil"/>
              <w:right w:val="nil"/>
            </w:tcBorders>
            <w:noWrap/>
            <w:vAlign w:val="bottom"/>
            <w:hideMark/>
          </w:tcPr>
          <w:p w14:paraId="7539277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-0.180</w:t>
            </w:r>
          </w:p>
        </w:tc>
        <w:tc>
          <w:tcPr>
            <w:tcW w:w="338" w:type="pct"/>
            <w:tcBorders>
              <w:top w:val="nil"/>
              <w:left w:val="nil"/>
              <w:bottom w:val="nil"/>
              <w:right w:val="nil"/>
            </w:tcBorders>
            <w:noWrap/>
            <w:vAlign w:val="bottom"/>
            <w:hideMark/>
          </w:tcPr>
          <w:p w14:paraId="2CAC0F7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0.059</w:t>
            </w:r>
          </w:p>
        </w:tc>
        <w:tc>
          <w:tcPr>
            <w:tcW w:w="346" w:type="pct"/>
            <w:tcBorders>
              <w:top w:val="nil"/>
              <w:left w:val="nil"/>
              <w:bottom w:val="nil"/>
              <w:right w:val="nil"/>
            </w:tcBorders>
            <w:noWrap/>
            <w:vAlign w:val="bottom"/>
            <w:hideMark/>
          </w:tcPr>
          <w:p w14:paraId="5FDB3A0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0.239</w:t>
            </w:r>
          </w:p>
        </w:tc>
        <w:tc>
          <w:tcPr>
            <w:tcW w:w="125" w:type="pct"/>
            <w:tcBorders>
              <w:top w:val="nil"/>
              <w:left w:val="nil"/>
              <w:bottom w:val="nil"/>
              <w:right w:val="nil"/>
            </w:tcBorders>
            <w:noWrap/>
            <w:vAlign w:val="bottom"/>
            <w:hideMark/>
          </w:tcPr>
          <w:p w14:paraId="784CFB0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3C47EE8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-0.107</w:t>
            </w:r>
          </w:p>
        </w:tc>
        <w:tc>
          <w:tcPr>
            <w:tcW w:w="324" w:type="pct"/>
            <w:tcBorders>
              <w:top w:val="nil"/>
              <w:left w:val="nil"/>
              <w:bottom w:val="nil"/>
              <w:right w:val="nil"/>
            </w:tcBorders>
            <w:noWrap/>
            <w:vAlign w:val="bottom"/>
            <w:hideMark/>
          </w:tcPr>
          <w:p w14:paraId="2E966B9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-0.226</w:t>
            </w:r>
          </w:p>
        </w:tc>
        <w:tc>
          <w:tcPr>
            <w:tcW w:w="324" w:type="pct"/>
            <w:tcBorders>
              <w:top w:val="nil"/>
              <w:left w:val="nil"/>
              <w:bottom w:val="nil"/>
              <w:right w:val="nil"/>
            </w:tcBorders>
            <w:noWrap/>
            <w:vAlign w:val="bottom"/>
            <w:hideMark/>
          </w:tcPr>
          <w:p w14:paraId="5BA947D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0.007</w:t>
            </w:r>
          </w:p>
        </w:tc>
        <w:tc>
          <w:tcPr>
            <w:tcW w:w="307" w:type="pct"/>
            <w:tcBorders>
              <w:top w:val="nil"/>
              <w:left w:val="nil"/>
              <w:bottom w:val="nil"/>
              <w:right w:val="nil"/>
            </w:tcBorders>
            <w:noWrap/>
            <w:vAlign w:val="bottom"/>
            <w:hideMark/>
          </w:tcPr>
          <w:p w14:paraId="08358C0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0.233</w:t>
            </w:r>
          </w:p>
        </w:tc>
        <w:tc>
          <w:tcPr>
            <w:tcW w:w="86" w:type="pct"/>
            <w:tcBorders>
              <w:top w:val="nil"/>
              <w:left w:val="nil"/>
              <w:bottom w:val="nil"/>
              <w:right w:val="nil"/>
            </w:tcBorders>
            <w:noWrap/>
            <w:vAlign w:val="bottom"/>
            <w:hideMark/>
          </w:tcPr>
          <w:p w14:paraId="09498D4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65BCF6F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0.159</w:t>
            </w:r>
          </w:p>
        </w:tc>
        <w:tc>
          <w:tcPr>
            <w:tcW w:w="314" w:type="pct"/>
            <w:tcBorders>
              <w:top w:val="nil"/>
              <w:left w:val="nil"/>
              <w:bottom w:val="nil"/>
              <w:right w:val="nil"/>
            </w:tcBorders>
            <w:noWrap/>
            <w:vAlign w:val="bottom"/>
            <w:hideMark/>
          </w:tcPr>
          <w:p w14:paraId="1D5B415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0.012</w:t>
            </w:r>
          </w:p>
        </w:tc>
        <w:tc>
          <w:tcPr>
            <w:tcW w:w="314" w:type="pct"/>
            <w:tcBorders>
              <w:top w:val="nil"/>
              <w:left w:val="nil"/>
              <w:bottom w:val="nil"/>
              <w:right w:val="nil"/>
            </w:tcBorders>
            <w:noWrap/>
            <w:vAlign w:val="bottom"/>
            <w:hideMark/>
          </w:tcPr>
          <w:p w14:paraId="50E677C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0.155</w:t>
            </w:r>
          </w:p>
        </w:tc>
        <w:tc>
          <w:tcPr>
            <w:tcW w:w="284" w:type="pct"/>
            <w:tcBorders>
              <w:top w:val="nil"/>
              <w:left w:val="nil"/>
              <w:bottom w:val="nil"/>
              <w:right w:val="nil"/>
            </w:tcBorders>
            <w:noWrap/>
            <w:vAlign w:val="bottom"/>
            <w:hideMark/>
          </w:tcPr>
          <w:p w14:paraId="348CF61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0.143</w:t>
            </w:r>
          </w:p>
        </w:tc>
      </w:tr>
      <w:tr w:rsidR="004D5D50" w:rsidRPr="00B54CBE" w14:paraId="2E211F7C" w14:textId="77777777" w:rsidTr="004A2E8B">
        <w:trPr>
          <w:trHeight w:val="300"/>
        </w:trPr>
        <w:tc>
          <w:tcPr>
            <w:tcW w:w="529" w:type="pct"/>
            <w:tcBorders>
              <w:top w:val="nil"/>
              <w:left w:val="nil"/>
              <w:bottom w:val="nil"/>
              <w:right w:val="nil"/>
            </w:tcBorders>
            <w:noWrap/>
            <w:vAlign w:val="bottom"/>
            <w:hideMark/>
          </w:tcPr>
          <w:p w14:paraId="3668764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2" w:type="pct"/>
            <w:tcBorders>
              <w:top w:val="nil"/>
              <w:left w:val="nil"/>
              <w:bottom w:val="nil"/>
              <w:right w:val="nil"/>
            </w:tcBorders>
            <w:noWrap/>
            <w:vAlign w:val="bottom"/>
            <w:hideMark/>
          </w:tcPr>
          <w:p w14:paraId="608F72F7"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bottom w:val="nil"/>
              <w:right w:val="nil"/>
            </w:tcBorders>
            <w:noWrap/>
            <w:vAlign w:val="bottom"/>
            <w:hideMark/>
          </w:tcPr>
          <w:p w14:paraId="7A3A456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0.300</w:t>
            </w:r>
            <w:r>
              <w:rPr>
                <w:rFonts w:ascii="Times New Roman" w:eastAsia="Times New Roman" w:hAnsi="Times New Roman" w:cs="Times New Roman"/>
                <w:color w:val="000000"/>
                <w:sz w:val="20"/>
                <w:szCs w:val="20"/>
                <w:lang w:eastAsia="en-GB"/>
              </w:rPr>
              <w:t>)</w:t>
            </w:r>
          </w:p>
        </w:tc>
        <w:tc>
          <w:tcPr>
            <w:tcW w:w="379" w:type="pct"/>
            <w:tcBorders>
              <w:top w:val="nil"/>
              <w:left w:val="nil"/>
              <w:bottom w:val="nil"/>
              <w:right w:val="nil"/>
            </w:tcBorders>
            <w:noWrap/>
            <w:vAlign w:val="bottom"/>
            <w:hideMark/>
          </w:tcPr>
          <w:p w14:paraId="2885217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0.045</w:t>
            </w:r>
            <w:r>
              <w:rPr>
                <w:rFonts w:ascii="Times New Roman" w:eastAsia="Times New Roman" w:hAnsi="Times New Roman" w:cs="Times New Roman"/>
                <w:color w:val="000000"/>
                <w:sz w:val="20"/>
                <w:szCs w:val="20"/>
                <w:lang w:eastAsia="en-GB"/>
              </w:rPr>
              <w:t>)</w:t>
            </w:r>
          </w:p>
        </w:tc>
        <w:tc>
          <w:tcPr>
            <w:tcW w:w="338" w:type="pct"/>
            <w:tcBorders>
              <w:top w:val="nil"/>
              <w:left w:val="nil"/>
              <w:bottom w:val="nil"/>
              <w:right w:val="nil"/>
            </w:tcBorders>
            <w:noWrap/>
            <w:vAlign w:val="bottom"/>
            <w:hideMark/>
          </w:tcPr>
          <w:p w14:paraId="166189C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0.448</w:t>
            </w:r>
            <w:r>
              <w:rPr>
                <w:rFonts w:ascii="Times New Roman" w:eastAsia="Times New Roman" w:hAnsi="Times New Roman" w:cs="Times New Roman"/>
                <w:color w:val="000000"/>
                <w:sz w:val="20"/>
                <w:szCs w:val="20"/>
                <w:lang w:eastAsia="en-GB"/>
              </w:rPr>
              <w:t>)</w:t>
            </w:r>
          </w:p>
        </w:tc>
        <w:tc>
          <w:tcPr>
            <w:tcW w:w="346" w:type="pct"/>
            <w:tcBorders>
              <w:top w:val="nil"/>
              <w:left w:val="nil"/>
              <w:bottom w:val="nil"/>
              <w:right w:val="nil"/>
            </w:tcBorders>
            <w:noWrap/>
            <w:vAlign w:val="bottom"/>
            <w:hideMark/>
          </w:tcPr>
          <w:p w14:paraId="36EE7B7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0.030</w:t>
            </w:r>
            <w:r>
              <w:rPr>
                <w:rFonts w:ascii="Times New Roman" w:eastAsia="Times New Roman" w:hAnsi="Times New Roman" w:cs="Times New Roman"/>
                <w:color w:val="000000"/>
                <w:sz w:val="20"/>
                <w:szCs w:val="20"/>
                <w:lang w:eastAsia="en-GB"/>
              </w:rPr>
              <w:t>)</w:t>
            </w:r>
          </w:p>
        </w:tc>
        <w:tc>
          <w:tcPr>
            <w:tcW w:w="125" w:type="pct"/>
            <w:tcBorders>
              <w:top w:val="nil"/>
              <w:left w:val="nil"/>
              <w:bottom w:val="nil"/>
              <w:right w:val="nil"/>
            </w:tcBorders>
            <w:noWrap/>
            <w:vAlign w:val="bottom"/>
            <w:hideMark/>
          </w:tcPr>
          <w:p w14:paraId="76027F1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58D22B1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0.396</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11CBB88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0.132</w:t>
            </w:r>
            <w:r>
              <w:rPr>
                <w:rFonts w:ascii="Times New Roman" w:eastAsia="Times New Roman" w:hAnsi="Times New Roman" w:cs="Times New Roman"/>
                <w:color w:val="000000"/>
                <w:sz w:val="20"/>
                <w:szCs w:val="20"/>
                <w:lang w:eastAsia="en-GB"/>
              </w:rPr>
              <w:t>)</w:t>
            </w:r>
          </w:p>
        </w:tc>
        <w:tc>
          <w:tcPr>
            <w:tcW w:w="324" w:type="pct"/>
            <w:tcBorders>
              <w:top w:val="nil"/>
              <w:left w:val="nil"/>
              <w:bottom w:val="nil"/>
              <w:right w:val="nil"/>
            </w:tcBorders>
            <w:noWrap/>
            <w:vAlign w:val="bottom"/>
            <w:hideMark/>
          </w:tcPr>
          <w:p w14:paraId="4F73864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0.947</w:t>
            </w:r>
            <w:r>
              <w:rPr>
                <w:rFonts w:ascii="Times New Roman" w:eastAsia="Times New Roman" w:hAnsi="Times New Roman" w:cs="Times New Roman"/>
                <w:color w:val="000000"/>
                <w:sz w:val="20"/>
                <w:szCs w:val="20"/>
                <w:lang w:eastAsia="en-GB"/>
              </w:rPr>
              <w:t>)</w:t>
            </w:r>
          </w:p>
        </w:tc>
        <w:tc>
          <w:tcPr>
            <w:tcW w:w="307" w:type="pct"/>
            <w:tcBorders>
              <w:top w:val="nil"/>
              <w:left w:val="nil"/>
              <w:bottom w:val="nil"/>
              <w:right w:val="nil"/>
            </w:tcBorders>
            <w:noWrap/>
            <w:vAlign w:val="bottom"/>
            <w:hideMark/>
          </w:tcPr>
          <w:p w14:paraId="1DF2830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0.075</w:t>
            </w:r>
            <w:r>
              <w:rPr>
                <w:rFonts w:ascii="Times New Roman" w:eastAsia="Times New Roman" w:hAnsi="Times New Roman" w:cs="Times New Roman"/>
                <w:color w:val="000000"/>
                <w:sz w:val="20"/>
                <w:szCs w:val="20"/>
                <w:lang w:eastAsia="en-GB"/>
              </w:rPr>
              <w:t>)</w:t>
            </w:r>
          </w:p>
        </w:tc>
        <w:tc>
          <w:tcPr>
            <w:tcW w:w="86" w:type="pct"/>
            <w:tcBorders>
              <w:top w:val="nil"/>
              <w:left w:val="nil"/>
              <w:bottom w:val="nil"/>
              <w:right w:val="nil"/>
            </w:tcBorders>
            <w:noWrap/>
            <w:vAlign w:val="bottom"/>
            <w:hideMark/>
          </w:tcPr>
          <w:p w14:paraId="7B9A1A81"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61F7BB13"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0.170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77D0BD9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0.921</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1E07179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0.227</w:t>
            </w:r>
            <w:r>
              <w:rPr>
                <w:rFonts w:ascii="Times New Roman" w:eastAsia="Times New Roman" w:hAnsi="Times New Roman" w:cs="Times New Roman"/>
                <w:color w:val="000000"/>
                <w:sz w:val="20"/>
                <w:szCs w:val="20"/>
                <w:lang w:eastAsia="en-GB"/>
              </w:rPr>
              <w:t>)</w:t>
            </w:r>
          </w:p>
        </w:tc>
        <w:tc>
          <w:tcPr>
            <w:tcW w:w="284" w:type="pct"/>
            <w:tcBorders>
              <w:top w:val="nil"/>
              <w:left w:val="nil"/>
              <w:bottom w:val="nil"/>
              <w:right w:val="nil"/>
            </w:tcBorders>
            <w:noWrap/>
            <w:vAlign w:val="bottom"/>
            <w:hideMark/>
          </w:tcPr>
          <w:p w14:paraId="1120B08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0.104</w:t>
            </w:r>
            <w:r>
              <w:rPr>
                <w:rFonts w:ascii="Times New Roman" w:eastAsia="Times New Roman" w:hAnsi="Times New Roman" w:cs="Times New Roman"/>
                <w:color w:val="000000"/>
                <w:sz w:val="20"/>
                <w:szCs w:val="20"/>
                <w:lang w:eastAsia="en-GB"/>
              </w:rPr>
              <w:t>)</w:t>
            </w:r>
          </w:p>
        </w:tc>
      </w:tr>
      <w:tr w:rsidR="004D5D50" w:rsidRPr="00B54CBE" w14:paraId="436D331E" w14:textId="77777777" w:rsidTr="004A2E8B">
        <w:trPr>
          <w:trHeight w:val="300"/>
        </w:trPr>
        <w:tc>
          <w:tcPr>
            <w:tcW w:w="529" w:type="pct"/>
            <w:tcBorders>
              <w:top w:val="nil"/>
              <w:left w:val="nil"/>
              <w:bottom w:val="nil"/>
              <w:right w:val="nil"/>
            </w:tcBorders>
            <w:noWrap/>
            <w:vAlign w:val="bottom"/>
            <w:hideMark/>
          </w:tcPr>
          <w:p w14:paraId="47C195DD" w14:textId="77777777" w:rsidR="004D5D50" w:rsidRPr="00B54CBE" w:rsidRDefault="004D5D50" w:rsidP="004A2E8B">
            <w:pPr>
              <w:spacing w:after="0" w:line="240" w:lineRule="auto"/>
              <w:rPr>
                <w:rFonts w:ascii="Times New Roman" w:eastAsia="Times New Roman" w:hAnsi="Times New Roman" w:cs="Times New Roman"/>
                <w:i/>
                <w:color w:val="000000"/>
                <w:sz w:val="20"/>
                <w:szCs w:val="20"/>
                <w:lang w:eastAsia="en-CA"/>
              </w:rPr>
            </w:pPr>
            <w:proofErr w:type="spellStart"/>
            <w:r w:rsidRPr="00B54CBE">
              <w:rPr>
                <w:rFonts w:ascii="Times New Roman" w:eastAsia="Times New Roman" w:hAnsi="Times New Roman" w:cs="Times New Roman"/>
                <w:i/>
                <w:color w:val="000000"/>
                <w:sz w:val="20"/>
                <w:szCs w:val="20"/>
                <w:lang w:eastAsia="en-CA"/>
              </w:rPr>
              <w:t>rd</w:t>
            </w:r>
            <w:proofErr w:type="spellEnd"/>
          </w:p>
        </w:tc>
        <w:tc>
          <w:tcPr>
            <w:tcW w:w="312" w:type="pct"/>
            <w:tcBorders>
              <w:top w:val="nil"/>
              <w:left w:val="nil"/>
              <w:bottom w:val="nil"/>
              <w:right w:val="nil"/>
            </w:tcBorders>
            <w:noWrap/>
            <w:vAlign w:val="bottom"/>
            <w:hideMark/>
          </w:tcPr>
          <w:p w14:paraId="689F1381" w14:textId="77777777" w:rsidR="004D5D50" w:rsidRPr="00B54CBE" w:rsidRDefault="004D5D50" w:rsidP="004A2E8B">
            <w:pPr>
              <w:spacing w:after="0" w:line="240" w:lineRule="auto"/>
              <w:rPr>
                <w:rFonts w:ascii="Times New Roman" w:eastAsia="Times New Roman" w:hAnsi="Times New Roman" w:cs="Times New Roman"/>
                <w:color w:val="000000"/>
                <w:sz w:val="20"/>
                <w:szCs w:val="20"/>
                <w:lang w:eastAsia="en-CA"/>
              </w:rPr>
            </w:pPr>
          </w:p>
        </w:tc>
        <w:tc>
          <w:tcPr>
            <w:tcW w:w="379" w:type="pct"/>
            <w:tcBorders>
              <w:top w:val="nil"/>
              <w:left w:val="nil"/>
              <w:bottom w:val="nil"/>
              <w:right w:val="nil"/>
            </w:tcBorders>
            <w:noWrap/>
            <w:vAlign w:val="bottom"/>
            <w:hideMark/>
          </w:tcPr>
          <w:p w14:paraId="39BC1BF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0.035</w:t>
            </w:r>
          </w:p>
        </w:tc>
        <w:tc>
          <w:tcPr>
            <w:tcW w:w="379" w:type="pct"/>
            <w:tcBorders>
              <w:top w:val="nil"/>
              <w:left w:val="nil"/>
              <w:bottom w:val="nil"/>
              <w:right w:val="nil"/>
            </w:tcBorders>
            <w:noWrap/>
            <w:vAlign w:val="bottom"/>
            <w:hideMark/>
          </w:tcPr>
          <w:p w14:paraId="008AE13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0.030</w:t>
            </w:r>
          </w:p>
        </w:tc>
        <w:tc>
          <w:tcPr>
            <w:tcW w:w="338" w:type="pct"/>
            <w:tcBorders>
              <w:top w:val="nil"/>
              <w:left w:val="nil"/>
              <w:bottom w:val="nil"/>
              <w:right w:val="nil"/>
            </w:tcBorders>
            <w:noWrap/>
            <w:vAlign w:val="bottom"/>
            <w:hideMark/>
          </w:tcPr>
          <w:p w14:paraId="6AEE3A0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0.020</w:t>
            </w:r>
          </w:p>
        </w:tc>
        <w:tc>
          <w:tcPr>
            <w:tcW w:w="346" w:type="pct"/>
            <w:tcBorders>
              <w:top w:val="nil"/>
              <w:left w:val="nil"/>
              <w:bottom w:val="nil"/>
              <w:right w:val="nil"/>
            </w:tcBorders>
            <w:noWrap/>
            <w:vAlign w:val="bottom"/>
            <w:hideMark/>
          </w:tcPr>
          <w:p w14:paraId="5034992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-0.010</w:t>
            </w:r>
          </w:p>
        </w:tc>
        <w:tc>
          <w:tcPr>
            <w:tcW w:w="125" w:type="pct"/>
            <w:tcBorders>
              <w:top w:val="nil"/>
              <w:left w:val="nil"/>
              <w:bottom w:val="nil"/>
              <w:right w:val="nil"/>
            </w:tcBorders>
            <w:noWrap/>
            <w:vAlign w:val="bottom"/>
            <w:hideMark/>
          </w:tcPr>
          <w:p w14:paraId="0CE4293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nil"/>
              <w:right w:val="nil"/>
            </w:tcBorders>
            <w:noWrap/>
            <w:vAlign w:val="bottom"/>
            <w:hideMark/>
          </w:tcPr>
          <w:p w14:paraId="280CDCD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0.077</w:t>
            </w:r>
          </w:p>
        </w:tc>
        <w:tc>
          <w:tcPr>
            <w:tcW w:w="324" w:type="pct"/>
            <w:tcBorders>
              <w:top w:val="nil"/>
              <w:left w:val="nil"/>
              <w:bottom w:val="nil"/>
              <w:right w:val="nil"/>
            </w:tcBorders>
            <w:noWrap/>
            <w:vAlign w:val="bottom"/>
            <w:hideMark/>
          </w:tcPr>
          <w:p w14:paraId="108226F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0.043</w:t>
            </w:r>
          </w:p>
        </w:tc>
        <w:tc>
          <w:tcPr>
            <w:tcW w:w="324" w:type="pct"/>
            <w:tcBorders>
              <w:top w:val="nil"/>
              <w:left w:val="nil"/>
              <w:bottom w:val="nil"/>
              <w:right w:val="nil"/>
            </w:tcBorders>
            <w:noWrap/>
            <w:vAlign w:val="bottom"/>
            <w:hideMark/>
          </w:tcPr>
          <w:p w14:paraId="6C1D7DF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0.073</w:t>
            </w:r>
          </w:p>
        </w:tc>
        <w:tc>
          <w:tcPr>
            <w:tcW w:w="307" w:type="pct"/>
            <w:tcBorders>
              <w:top w:val="nil"/>
              <w:left w:val="nil"/>
              <w:bottom w:val="nil"/>
              <w:right w:val="nil"/>
            </w:tcBorders>
            <w:noWrap/>
            <w:vAlign w:val="bottom"/>
            <w:hideMark/>
          </w:tcPr>
          <w:p w14:paraId="4275407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0.030</w:t>
            </w:r>
          </w:p>
        </w:tc>
        <w:tc>
          <w:tcPr>
            <w:tcW w:w="86" w:type="pct"/>
            <w:tcBorders>
              <w:top w:val="nil"/>
              <w:left w:val="nil"/>
              <w:bottom w:val="nil"/>
              <w:right w:val="nil"/>
            </w:tcBorders>
            <w:noWrap/>
            <w:vAlign w:val="bottom"/>
            <w:hideMark/>
          </w:tcPr>
          <w:p w14:paraId="2737252B"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nil"/>
              <w:right w:val="nil"/>
            </w:tcBorders>
            <w:noWrap/>
            <w:vAlign w:val="bottom"/>
            <w:hideMark/>
          </w:tcPr>
          <w:p w14:paraId="0999B9D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0.060</w:t>
            </w:r>
          </w:p>
        </w:tc>
        <w:tc>
          <w:tcPr>
            <w:tcW w:w="314" w:type="pct"/>
            <w:tcBorders>
              <w:top w:val="nil"/>
              <w:left w:val="nil"/>
              <w:bottom w:val="nil"/>
              <w:right w:val="nil"/>
            </w:tcBorders>
            <w:noWrap/>
            <w:vAlign w:val="bottom"/>
            <w:hideMark/>
          </w:tcPr>
          <w:p w14:paraId="697B311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0.049</w:t>
            </w:r>
          </w:p>
        </w:tc>
        <w:tc>
          <w:tcPr>
            <w:tcW w:w="314" w:type="pct"/>
            <w:tcBorders>
              <w:top w:val="nil"/>
              <w:left w:val="nil"/>
              <w:bottom w:val="nil"/>
              <w:right w:val="nil"/>
            </w:tcBorders>
            <w:noWrap/>
            <w:vAlign w:val="bottom"/>
            <w:hideMark/>
          </w:tcPr>
          <w:p w14:paraId="3616295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0.051</w:t>
            </w:r>
          </w:p>
        </w:tc>
        <w:tc>
          <w:tcPr>
            <w:tcW w:w="284" w:type="pct"/>
            <w:tcBorders>
              <w:top w:val="nil"/>
              <w:left w:val="nil"/>
              <w:bottom w:val="nil"/>
              <w:right w:val="nil"/>
            </w:tcBorders>
            <w:noWrap/>
            <w:vAlign w:val="bottom"/>
            <w:hideMark/>
          </w:tcPr>
          <w:p w14:paraId="0B3D22D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0.001</w:t>
            </w:r>
          </w:p>
        </w:tc>
      </w:tr>
      <w:tr w:rsidR="004D5D50" w:rsidRPr="00B54CBE" w14:paraId="4921EF23" w14:textId="77777777" w:rsidTr="004A2E8B">
        <w:trPr>
          <w:trHeight w:val="300"/>
        </w:trPr>
        <w:tc>
          <w:tcPr>
            <w:tcW w:w="529" w:type="pct"/>
            <w:tcBorders>
              <w:top w:val="nil"/>
              <w:left w:val="nil"/>
              <w:right w:val="nil"/>
            </w:tcBorders>
            <w:noWrap/>
            <w:vAlign w:val="bottom"/>
            <w:hideMark/>
          </w:tcPr>
          <w:p w14:paraId="4F4EF08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2" w:type="pct"/>
            <w:tcBorders>
              <w:top w:val="nil"/>
              <w:left w:val="nil"/>
              <w:right w:val="nil"/>
            </w:tcBorders>
            <w:noWrap/>
            <w:vAlign w:val="bottom"/>
            <w:hideMark/>
          </w:tcPr>
          <w:p w14:paraId="226E0A5D" w14:textId="77777777" w:rsidR="004D5D50" w:rsidRPr="00B54CBE" w:rsidRDefault="004D5D50" w:rsidP="004A2E8B">
            <w:pPr>
              <w:spacing w:after="0" w:line="240" w:lineRule="auto"/>
              <w:rPr>
                <w:rFonts w:ascii="Times New Roman" w:eastAsia="Times New Roman" w:hAnsi="Times New Roman" w:cs="Times New Roman"/>
                <w:sz w:val="20"/>
                <w:szCs w:val="20"/>
                <w:lang w:eastAsia="en-CA"/>
              </w:rPr>
            </w:pPr>
          </w:p>
        </w:tc>
        <w:tc>
          <w:tcPr>
            <w:tcW w:w="379" w:type="pct"/>
            <w:tcBorders>
              <w:top w:val="nil"/>
              <w:left w:val="nil"/>
              <w:right w:val="nil"/>
            </w:tcBorders>
            <w:noWrap/>
            <w:vAlign w:val="bottom"/>
            <w:hideMark/>
          </w:tcPr>
          <w:p w14:paraId="729068C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79" w:type="pct"/>
            <w:tcBorders>
              <w:top w:val="nil"/>
              <w:left w:val="nil"/>
              <w:right w:val="nil"/>
            </w:tcBorders>
            <w:noWrap/>
            <w:vAlign w:val="bottom"/>
            <w:hideMark/>
          </w:tcPr>
          <w:p w14:paraId="29106FB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0.003</w:t>
            </w:r>
            <w:r>
              <w:rPr>
                <w:rFonts w:ascii="Times New Roman" w:eastAsia="Times New Roman" w:hAnsi="Times New Roman" w:cs="Times New Roman"/>
                <w:color w:val="000000"/>
                <w:sz w:val="20"/>
                <w:szCs w:val="20"/>
                <w:lang w:eastAsia="en-GB"/>
              </w:rPr>
              <w:t>)</w:t>
            </w:r>
          </w:p>
        </w:tc>
        <w:tc>
          <w:tcPr>
            <w:tcW w:w="338" w:type="pct"/>
            <w:tcBorders>
              <w:top w:val="nil"/>
              <w:left w:val="nil"/>
              <w:right w:val="nil"/>
            </w:tcBorders>
            <w:noWrap/>
            <w:vAlign w:val="bottom"/>
            <w:hideMark/>
          </w:tcPr>
          <w:p w14:paraId="769A75A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0.036</w:t>
            </w:r>
            <w:r>
              <w:rPr>
                <w:rFonts w:ascii="Times New Roman" w:eastAsia="Times New Roman" w:hAnsi="Times New Roman" w:cs="Times New Roman"/>
                <w:color w:val="000000"/>
                <w:sz w:val="20"/>
                <w:szCs w:val="20"/>
                <w:lang w:eastAsia="en-GB"/>
              </w:rPr>
              <w:t>)</w:t>
            </w:r>
          </w:p>
        </w:tc>
        <w:tc>
          <w:tcPr>
            <w:tcW w:w="346" w:type="pct"/>
            <w:tcBorders>
              <w:top w:val="nil"/>
              <w:left w:val="nil"/>
              <w:right w:val="nil"/>
            </w:tcBorders>
            <w:noWrap/>
            <w:vAlign w:val="bottom"/>
            <w:hideMark/>
          </w:tcPr>
          <w:p w14:paraId="1EA06E06"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0.481</w:t>
            </w:r>
            <w:r>
              <w:rPr>
                <w:rFonts w:ascii="Times New Roman" w:eastAsia="Times New Roman" w:hAnsi="Times New Roman" w:cs="Times New Roman"/>
                <w:color w:val="000000"/>
                <w:sz w:val="20"/>
                <w:szCs w:val="20"/>
                <w:lang w:eastAsia="en-GB"/>
              </w:rPr>
              <w:t>)</w:t>
            </w:r>
          </w:p>
        </w:tc>
        <w:tc>
          <w:tcPr>
            <w:tcW w:w="125" w:type="pct"/>
            <w:tcBorders>
              <w:top w:val="nil"/>
              <w:left w:val="nil"/>
              <w:right w:val="nil"/>
            </w:tcBorders>
            <w:noWrap/>
            <w:vAlign w:val="bottom"/>
            <w:hideMark/>
          </w:tcPr>
          <w:p w14:paraId="0BA9947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right w:val="nil"/>
            </w:tcBorders>
            <w:noWrap/>
            <w:vAlign w:val="bottom"/>
            <w:hideMark/>
          </w:tcPr>
          <w:p w14:paraId="03B0E96E"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4" w:type="pct"/>
            <w:tcBorders>
              <w:top w:val="nil"/>
              <w:left w:val="nil"/>
              <w:right w:val="nil"/>
            </w:tcBorders>
            <w:noWrap/>
            <w:vAlign w:val="bottom"/>
            <w:hideMark/>
          </w:tcPr>
          <w:p w14:paraId="34F7D8C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0.022</w:t>
            </w:r>
            <w:r>
              <w:rPr>
                <w:rFonts w:ascii="Times New Roman" w:eastAsia="Times New Roman" w:hAnsi="Times New Roman" w:cs="Times New Roman"/>
                <w:color w:val="000000"/>
                <w:sz w:val="20"/>
                <w:szCs w:val="20"/>
                <w:lang w:eastAsia="en-GB"/>
              </w:rPr>
              <w:t>)</w:t>
            </w:r>
          </w:p>
        </w:tc>
        <w:tc>
          <w:tcPr>
            <w:tcW w:w="324" w:type="pct"/>
            <w:tcBorders>
              <w:top w:val="nil"/>
              <w:left w:val="nil"/>
              <w:right w:val="nil"/>
            </w:tcBorders>
            <w:noWrap/>
            <w:vAlign w:val="bottom"/>
            <w:hideMark/>
          </w:tcPr>
          <w:p w14:paraId="234456DC"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07" w:type="pct"/>
            <w:tcBorders>
              <w:top w:val="nil"/>
              <w:left w:val="nil"/>
              <w:right w:val="nil"/>
            </w:tcBorders>
            <w:noWrap/>
            <w:vAlign w:val="bottom"/>
            <w:hideMark/>
          </w:tcPr>
          <w:p w14:paraId="0FC5067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0.030</w:t>
            </w:r>
            <w:r>
              <w:rPr>
                <w:rFonts w:ascii="Times New Roman" w:eastAsia="Times New Roman" w:hAnsi="Times New Roman" w:cs="Times New Roman"/>
                <w:color w:val="000000"/>
                <w:sz w:val="20"/>
                <w:szCs w:val="20"/>
                <w:lang w:eastAsia="en-GB"/>
              </w:rPr>
              <w:t>)</w:t>
            </w:r>
          </w:p>
        </w:tc>
        <w:tc>
          <w:tcPr>
            <w:tcW w:w="86" w:type="pct"/>
            <w:tcBorders>
              <w:top w:val="nil"/>
              <w:left w:val="nil"/>
              <w:right w:val="nil"/>
            </w:tcBorders>
            <w:noWrap/>
            <w:vAlign w:val="bottom"/>
            <w:hideMark/>
          </w:tcPr>
          <w:p w14:paraId="14960D8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right w:val="nil"/>
            </w:tcBorders>
            <w:noWrap/>
            <w:vAlign w:val="bottom"/>
            <w:hideMark/>
          </w:tcPr>
          <w:p w14:paraId="5B92998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right w:val="nil"/>
            </w:tcBorders>
            <w:noWrap/>
            <w:vAlign w:val="bottom"/>
            <w:hideMark/>
          </w:tcPr>
          <w:p w14:paraId="2219094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right w:val="nil"/>
            </w:tcBorders>
            <w:noWrap/>
            <w:vAlign w:val="bottom"/>
            <w:hideMark/>
          </w:tcPr>
          <w:p w14:paraId="3585502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84" w:type="pct"/>
            <w:tcBorders>
              <w:top w:val="nil"/>
              <w:left w:val="nil"/>
              <w:right w:val="nil"/>
            </w:tcBorders>
            <w:noWrap/>
            <w:vAlign w:val="bottom"/>
            <w:hideMark/>
          </w:tcPr>
          <w:p w14:paraId="5660582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0.893</w:t>
            </w:r>
            <w:r>
              <w:rPr>
                <w:rFonts w:ascii="Times New Roman" w:eastAsia="Times New Roman" w:hAnsi="Times New Roman" w:cs="Times New Roman"/>
                <w:color w:val="000000"/>
                <w:sz w:val="20"/>
                <w:szCs w:val="20"/>
                <w:lang w:eastAsia="en-GB"/>
              </w:rPr>
              <w:t>)</w:t>
            </w:r>
          </w:p>
        </w:tc>
      </w:tr>
      <w:tr w:rsidR="004D5D50" w:rsidRPr="00B54CBE" w14:paraId="5871D716" w14:textId="77777777" w:rsidTr="004A2E8B">
        <w:trPr>
          <w:trHeight w:val="452"/>
        </w:trPr>
        <w:tc>
          <w:tcPr>
            <w:tcW w:w="529" w:type="pct"/>
            <w:tcBorders>
              <w:top w:val="nil"/>
              <w:left w:val="nil"/>
              <w:bottom w:val="single" w:sz="4" w:space="0" w:color="auto"/>
              <w:right w:val="nil"/>
            </w:tcBorders>
            <w:noWrap/>
            <w:vAlign w:val="bottom"/>
            <w:hideMark/>
          </w:tcPr>
          <w:p w14:paraId="35DFE2F0" w14:textId="77777777" w:rsidR="004D5D50" w:rsidRPr="0023366F" w:rsidRDefault="004D5D50" w:rsidP="004A2E8B">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xml:space="preserve">Adj. </w:t>
            </w:r>
            <w:r w:rsidRPr="00B54CBE">
              <w:rPr>
                <w:rFonts w:ascii="Times New Roman" w:eastAsia="Times New Roman" w:hAnsi="Times New Roman" w:cs="Times New Roman"/>
                <w:color w:val="000000"/>
                <w:sz w:val="20"/>
                <w:szCs w:val="20"/>
                <w:lang w:eastAsia="en-CA"/>
              </w:rPr>
              <w:t>R</w:t>
            </w:r>
            <w:r w:rsidRPr="0023366F">
              <w:rPr>
                <w:rFonts w:ascii="Times New Roman" w:eastAsia="Times New Roman" w:hAnsi="Times New Roman" w:cs="Times New Roman"/>
                <w:color w:val="000000"/>
                <w:sz w:val="20"/>
                <w:szCs w:val="20"/>
                <w:vertAlign w:val="superscript"/>
                <w:lang w:eastAsia="en-CA"/>
              </w:rPr>
              <w:t>2</w:t>
            </w:r>
            <w:r>
              <w:rPr>
                <w:rFonts w:ascii="Times New Roman" w:eastAsia="Times New Roman" w:hAnsi="Times New Roman" w:cs="Times New Roman"/>
                <w:color w:val="000000"/>
                <w:sz w:val="20"/>
                <w:szCs w:val="20"/>
                <w:vertAlign w:val="superscript"/>
                <w:lang w:eastAsia="en-CA"/>
              </w:rPr>
              <w:t xml:space="preserve"> </w:t>
            </w:r>
            <w:r>
              <w:rPr>
                <w:rFonts w:ascii="Times New Roman" w:eastAsia="Times New Roman" w:hAnsi="Times New Roman" w:cs="Times New Roman"/>
                <w:color w:val="000000"/>
                <w:sz w:val="20"/>
                <w:szCs w:val="20"/>
                <w:lang w:eastAsia="en-CA"/>
              </w:rPr>
              <w:t>[Pseudo R</w:t>
            </w:r>
            <w:r w:rsidRPr="0023366F">
              <w:rPr>
                <w:rFonts w:ascii="Times New Roman" w:eastAsia="Times New Roman" w:hAnsi="Times New Roman" w:cs="Times New Roman"/>
                <w:color w:val="000000"/>
                <w:sz w:val="20"/>
                <w:szCs w:val="20"/>
                <w:vertAlign w:val="superscript"/>
                <w:lang w:eastAsia="en-CA"/>
              </w:rPr>
              <w:t>2</w:t>
            </w:r>
            <w:r>
              <w:rPr>
                <w:rFonts w:ascii="Times New Roman" w:eastAsia="Times New Roman" w:hAnsi="Times New Roman" w:cs="Times New Roman"/>
                <w:color w:val="000000"/>
                <w:sz w:val="20"/>
                <w:szCs w:val="20"/>
                <w:lang w:eastAsia="en-CA"/>
              </w:rPr>
              <w:t>]</w:t>
            </w:r>
          </w:p>
        </w:tc>
        <w:tc>
          <w:tcPr>
            <w:tcW w:w="312" w:type="pct"/>
            <w:tcBorders>
              <w:top w:val="nil"/>
              <w:left w:val="nil"/>
              <w:bottom w:val="single" w:sz="4" w:space="0" w:color="auto"/>
              <w:right w:val="nil"/>
            </w:tcBorders>
            <w:noWrap/>
            <w:vAlign w:val="bottom"/>
            <w:hideMark/>
          </w:tcPr>
          <w:p w14:paraId="6911E721" w14:textId="77777777" w:rsidR="004D5D50" w:rsidRPr="00B54CBE" w:rsidRDefault="004D5D50" w:rsidP="004A2E8B">
            <w:pPr>
              <w:spacing w:after="0" w:line="240" w:lineRule="auto"/>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CA"/>
              </w:rPr>
              <w:t> </w:t>
            </w:r>
          </w:p>
        </w:tc>
        <w:tc>
          <w:tcPr>
            <w:tcW w:w="379" w:type="pct"/>
            <w:tcBorders>
              <w:top w:val="nil"/>
              <w:left w:val="nil"/>
              <w:bottom w:val="single" w:sz="4" w:space="0" w:color="auto"/>
              <w:right w:val="nil"/>
            </w:tcBorders>
            <w:noWrap/>
            <w:vAlign w:val="bottom"/>
            <w:hideMark/>
          </w:tcPr>
          <w:p w14:paraId="6EDCC3F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3321F">
              <w:rPr>
                <w:rFonts w:ascii="Times New Roman" w:eastAsia="Times New Roman" w:hAnsi="Times New Roman" w:cs="Times New Roman"/>
                <w:color w:val="000000"/>
                <w:sz w:val="20"/>
                <w:szCs w:val="20"/>
                <w:lang w:eastAsia="en-GB"/>
              </w:rPr>
              <w:t>0.888</w:t>
            </w:r>
          </w:p>
        </w:tc>
        <w:tc>
          <w:tcPr>
            <w:tcW w:w="379" w:type="pct"/>
            <w:tcBorders>
              <w:top w:val="nil"/>
              <w:left w:val="nil"/>
              <w:bottom w:val="single" w:sz="4" w:space="0" w:color="auto"/>
              <w:right w:val="nil"/>
            </w:tcBorders>
            <w:noWrap/>
            <w:vAlign w:val="bottom"/>
            <w:hideMark/>
          </w:tcPr>
          <w:p w14:paraId="2655BE0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0.668</w:t>
            </w:r>
            <w:r>
              <w:rPr>
                <w:rFonts w:ascii="Times New Roman" w:eastAsia="Times New Roman" w:hAnsi="Times New Roman" w:cs="Times New Roman"/>
                <w:color w:val="000000"/>
                <w:sz w:val="20"/>
                <w:szCs w:val="20"/>
                <w:lang w:eastAsia="en-GB"/>
              </w:rPr>
              <w:t>]</w:t>
            </w:r>
          </w:p>
        </w:tc>
        <w:tc>
          <w:tcPr>
            <w:tcW w:w="338" w:type="pct"/>
            <w:tcBorders>
              <w:top w:val="nil"/>
              <w:left w:val="nil"/>
              <w:bottom w:val="single" w:sz="4" w:space="0" w:color="auto"/>
              <w:right w:val="nil"/>
            </w:tcBorders>
            <w:noWrap/>
            <w:vAlign w:val="bottom"/>
            <w:hideMark/>
          </w:tcPr>
          <w:p w14:paraId="42690045"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3321F">
              <w:rPr>
                <w:rFonts w:ascii="Times New Roman" w:eastAsia="Times New Roman" w:hAnsi="Times New Roman" w:cs="Times New Roman"/>
                <w:color w:val="000000"/>
                <w:sz w:val="20"/>
                <w:szCs w:val="20"/>
                <w:lang w:eastAsia="en-GB"/>
              </w:rPr>
              <w:t>0.699</w:t>
            </w:r>
            <w:r>
              <w:rPr>
                <w:rFonts w:ascii="Times New Roman" w:eastAsia="Times New Roman" w:hAnsi="Times New Roman" w:cs="Times New Roman"/>
                <w:color w:val="000000"/>
                <w:sz w:val="20"/>
                <w:szCs w:val="20"/>
                <w:lang w:eastAsia="en-GB"/>
              </w:rPr>
              <w:t>]</w:t>
            </w:r>
          </w:p>
        </w:tc>
        <w:tc>
          <w:tcPr>
            <w:tcW w:w="346" w:type="pct"/>
            <w:tcBorders>
              <w:top w:val="nil"/>
              <w:left w:val="nil"/>
              <w:bottom w:val="single" w:sz="4" w:space="0" w:color="auto"/>
              <w:right w:val="nil"/>
            </w:tcBorders>
            <w:noWrap/>
            <w:vAlign w:val="bottom"/>
            <w:hideMark/>
          </w:tcPr>
          <w:p w14:paraId="513C211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 </w:t>
            </w:r>
          </w:p>
        </w:tc>
        <w:tc>
          <w:tcPr>
            <w:tcW w:w="125" w:type="pct"/>
            <w:tcBorders>
              <w:top w:val="nil"/>
              <w:left w:val="nil"/>
              <w:bottom w:val="single" w:sz="4" w:space="0" w:color="auto"/>
              <w:right w:val="nil"/>
            </w:tcBorders>
            <w:noWrap/>
            <w:vAlign w:val="bottom"/>
            <w:hideMark/>
          </w:tcPr>
          <w:p w14:paraId="0ACE813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4" w:type="pct"/>
            <w:tcBorders>
              <w:top w:val="nil"/>
              <w:left w:val="nil"/>
              <w:bottom w:val="single" w:sz="4" w:space="0" w:color="auto"/>
              <w:right w:val="nil"/>
            </w:tcBorders>
            <w:noWrap/>
            <w:vAlign w:val="bottom"/>
            <w:hideMark/>
          </w:tcPr>
          <w:p w14:paraId="2F40F41A"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D8797A">
              <w:rPr>
                <w:rFonts w:ascii="Times New Roman" w:eastAsia="Times New Roman" w:hAnsi="Times New Roman" w:cs="Times New Roman"/>
                <w:color w:val="000000"/>
                <w:sz w:val="20"/>
                <w:szCs w:val="20"/>
                <w:lang w:eastAsia="en-GB"/>
              </w:rPr>
              <w:t>0.872</w:t>
            </w:r>
          </w:p>
        </w:tc>
        <w:tc>
          <w:tcPr>
            <w:tcW w:w="324" w:type="pct"/>
            <w:tcBorders>
              <w:top w:val="nil"/>
              <w:left w:val="nil"/>
              <w:bottom w:val="single" w:sz="4" w:space="0" w:color="auto"/>
              <w:right w:val="nil"/>
            </w:tcBorders>
            <w:noWrap/>
            <w:vAlign w:val="bottom"/>
            <w:hideMark/>
          </w:tcPr>
          <w:p w14:paraId="69E15558"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0.671</w:t>
            </w:r>
            <w:r>
              <w:rPr>
                <w:rFonts w:ascii="Times New Roman" w:eastAsia="Times New Roman" w:hAnsi="Times New Roman" w:cs="Times New Roman"/>
                <w:color w:val="000000"/>
                <w:sz w:val="20"/>
                <w:szCs w:val="20"/>
                <w:lang w:eastAsia="en-GB"/>
              </w:rPr>
              <w:t>]</w:t>
            </w:r>
          </w:p>
        </w:tc>
        <w:tc>
          <w:tcPr>
            <w:tcW w:w="324" w:type="pct"/>
            <w:tcBorders>
              <w:top w:val="nil"/>
              <w:left w:val="nil"/>
              <w:bottom w:val="single" w:sz="4" w:space="0" w:color="auto"/>
              <w:right w:val="nil"/>
            </w:tcBorders>
            <w:noWrap/>
            <w:vAlign w:val="bottom"/>
            <w:hideMark/>
          </w:tcPr>
          <w:p w14:paraId="04941140"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D8797A">
              <w:rPr>
                <w:rFonts w:ascii="Times New Roman" w:eastAsia="Times New Roman" w:hAnsi="Times New Roman" w:cs="Times New Roman"/>
                <w:color w:val="000000"/>
                <w:sz w:val="20"/>
                <w:szCs w:val="20"/>
                <w:lang w:eastAsia="en-GB"/>
              </w:rPr>
              <w:t>0.681</w:t>
            </w:r>
            <w:r>
              <w:rPr>
                <w:rFonts w:ascii="Times New Roman" w:eastAsia="Times New Roman" w:hAnsi="Times New Roman" w:cs="Times New Roman"/>
                <w:color w:val="000000"/>
                <w:sz w:val="20"/>
                <w:szCs w:val="20"/>
                <w:lang w:eastAsia="en-GB"/>
              </w:rPr>
              <w:t>]</w:t>
            </w:r>
          </w:p>
        </w:tc>
        <w:tc>
          <w:tcPr>
            <w:tcW w:w="307" w:type="pct"/>
            <w:tcBorders>
              <w:top w:val="nil"/>
              <w:left w:val="nil"/>
              <w:bottom w:val="single" w:sz="4" w:space="0" w:color="auto"/>
              <w:right w:val="nil"/>
            </w:tcBorders>
            <w:noWrap/>
            <w:vAlign w:val="bottom"/>
            <w:hideMark/>
          </w:tcPr>
          <w:p w14:paraId="3F667687"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 </w:t>
            </w:r>
          </w:p>
        </w:tc>
        <w:tc>
          <w:tcPr>
            <w:tcW w:w="86" w:type="pct"/>
            <w:tcBorders>
              <w:top w:val="nil"/>
              <w:left w:val="nil"/>
              <w:bottom w:val="single" w:sz="4" w:space="0" w:color="auto"/>
              <w:right w:val="nil"/>
            </w:tcBorders>
            <w:noWrap/>
            <w:vAlign w:val="bottom"/>
            <w:hideMark/>
          </w:tcPr>
          <w:p w14:paraId="58DDEE4F"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13" w:type="pct"/>
            <w:tcBorders>
              <w:top w:val="nil"/>
              <w:left w:val="nil"/>
              <w:bottom w:val="single" w:sz="4" w:space="0" w:color="auto"/>
              <w:right w:val="nil"/>
            </w:tcBorders>
            <w:noWrap/>
            <w:vAlign w:val="bottom"/>
            <w:hideMark/>
          </w:tcPr>
          <w:p w14:paraId="550C41A9"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0.900</w:t>
            </w:r>
          </w:p>
        </w:tc>
        <w:tc>
          <w:tcPr>
            <w:tcW w:w="314" w:type="pct"/>
            <w:tcBorders>
              <w:top w:val="nil"/>
              <w:left w:val="nil"/>
              <w:bottom w:val="single" w:sz="4" w:space="0" w:color="auto"/>
              <w:right w:val="nil"/>
            </w:tcBorders>
            <w:noWrap/>
            <w:vAlign w:val="bottom"/>
            <w:hideMark/>
          </w:tcPr>
          <w:p w14:paraId="523FDEFD"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0.685</w:t>
            </w:r>
            <w:r>
              <w:rPr>
                <w:rFonts w:ascii="Times New Roman" w:eastAsia="Times New Roman" w:hAnsi="Times New Roman" w:cs="Times New Roman"/>
                <w:color w:val="000000"/>
                <w:sz w:val="20"/>
                <w:szCs w:val="20"/>
                <w:lang w:eastAsia="en-GB"/>
              </w:rPr>
              <w:t>]</w:t>
            </w:r>
          </w:p>
        </w:tc>
        <w:tc>
          <w:tcPr>
            <w:tcW w:w="314" w:type="pct"/>
            <w:tcBorders>
              <w:top w:val="nil"/>
              <w:left w:val="nil"/>
              <w:bottom w:val="single" w:sz="4" w:space="0" w:color="auto"/>
              <w:right w:val="nil"/>
            </w:tcBorders>
            <w:noWrap/>
            <w:vAlign w:val="bottom"/>
            <w:hideMark/>
          </w:tcPr>
          <w:p w14:paraId="775A6DA4"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B54CBE">
              <w:rPr>
                <w:rFonts w:ascii="Times New Roman" w:eastAsia="Times New Roman" w:hAnsi="Times New Roman" w:cs="Times New Roman"/>
                <w:color w:val="000000"/>
                <w:sz w:val="20"/>
                <w:szCs w:val="20"/>
                <w:lang w:eastAsia="en-GB"/>
              </w:rPr>
              <w:t>0.727</w:t>
            </w:r>
            <w:r>
              <w:rPr>
                <w:rFonts w:ascii="Times New Roman" w:eastAsia="Times New Roman" w:hAnsi="Times New Roman" w:cs="Times New Roman"/>
                <w:color w:val="000000"/>
                <w:sz w:val="20"/>
                <w:szCs w:val="20"/>
                <w:lang w:eastAsia="en-GB"/>
              </w:rPr>
              <w:t>]</w:t>
            </w:r>
          </w:p>
        </w:tc>
        <w:tc>
          <w:tcPr>
            <w:tcW w:w="284" w:type="pct"/>
            <w:tcBorders>
              <w:top w:val="nil"/>
              <w:left w:val="nil"/>
              <w:bottom w:val="single" w:sz="4" w:space="0" w:color="auto"/>
              <w:right w:val="nil"/>
            </w:tcBorders>
            <w:noWrap/>
            <w:vAlign w:val="bottom"/>
            <w:hideMark/>
          </w:tcPr>
          <w:p w14:paraId="632D35B2" w14:textId="77777777" w:rsidR="004D5D50" w:rsidRPr="00B54CBE"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B54CBE">
              <w:rPr>
                <w:rFonts w:ascii="Times New Roman" w:eastAsia="Times New Roman" w:hAnsi="Times New Roman" w:cs="Times New Roman"/>
                <w:color w:val="000000"/>
                <w:sz w:val="20"/>
                <w:szCs w:val="20"/>
                <w:lang w:eastAsia="en-GB"/>
              </w:rPr>
              <w:t> </w:t>
            </w:r>
          </w:p>
        </w:tc>
      </w:tr>
    </w:tbl>
    <w:p w14:paraId="3EEFC02D" w14:textId="77777777" w:rsidR="004D5D50" w:rsidRDefault="004D5D50" w:rsidP="004D5D50">
      <w:pPr>
        <w:jc w:val="center"/>
        <w:rPr>
          <w:rFonts w:ascii="Times New Roman" w:hAnsi="Times New Roman" w:cs="Times New Roman"/>
          <w:b/>
          <w:sz w:val="20"/>
          <w:szCs w:val="20"/>
        </w:rPr>
      </w:pPr>
    </w:p>
    <w:p w14:paraId="225556A3" w14:textId="028B8EBE" w:rsidR="004D5D50" w:rsidRPr="006A0B5D" w:rsidRDefault="004D5D50" w:rsidP="004D5D50">
      <w:pPr>
        <w:jc w:val="center"/>
        <w:rPr>
          <w:rFonts w:ascii="Times New Roman" w:hAnsi="Times New Roman" w:cs="Times New Roman"/>
          <w:b/>
          <w:sz w:val="20"/>
          <w:szCs w:val="20"/>
        </w:rPr>
      </w:pPr>
      <w:r>
        <w:rPr>
          <w:rFonts w:ascii="Times New Roman" w:hAnsi="Times New Roman" w:cs="Times New Roman"/>
          <w:b/>
          <w:sz w:val="20"/>
          <w:szCs w:val="20"/>
        </w:rPr>
        <w:lastRenderedPageBreak/>
        <w:t>TABLE A2 – continued</w:t>
      </w:r>
    </w:p>
    <w:p w14:paraId="3EE9776B" w14:textId="77777777" w:rsidR="004D5D50" w:rsidRDefault="004D5D50" w:rsidP="004D5D50">
      <w:pPr>
        <w:rPr>
          <w:lang w:val="en-US"/>
        </w:rPr>
      </w:pPr>
      <w:r w:rsidRPr="00B335DF">
        <w:rPr>
          <w:rFonts w:ascii="Times New Roman" w:hAnsi="Times New Roman" w:cs="Times New Roman"/>
          <w:sz w:val="20"/>
          <w:szCs w:val="20"/>
          <w:lang w:val="en-US"/>
        </w:rPr>
        <w:t xml:space="preserve">Panel </w:t>
      </w:r>
      <w:r>
        <w:rPr>
          <w:rFonts w:ascii="Times New Roman" w:hAnsi="Times New Roman" w:cs="Times New Roman"/>
          <w:sz w:val="20"/>
          <w:szCs w:val="20"/>
          <w:lang w:val="en-US"/>
        </w:rPr>
        <w:t>B: Chemicals and Allied Products, Telephone and TV Transmission, and Wholesale</w:t>
      </w:r>
    </w:p>
    <w:tbl>
      <w:tblPr>
        <w:tblW w:w="5000" w:type="pct"/>
        <w:tblLook w:val="04A0" w:firstRow="1" w:lastRow="0" w:firstColumn="1" w:lastColumn="0" w:noHBand="0" w:noVBand="1"/>
      </w:tblPr>
      <w:tblGrid>
        <w:gridCol w:w="1807"/>
        <w:gridCol w:w="801"/>
        <w:gridCol w:w="871"/>
        <w:gridCol w:w="871"/>
        <w:gridCol w:w="800"/>
        <w:gridCol w:w="800"/>
        <w:gridCol w:w="281"/>
        <w:gridCol w:w="821"/>
        <w:gridCol w:w="821"/>
        <w:gridCol w:w="821"/>
        <w:gridCol w:w="800"/>
        <w:gridCol w:w="242"/>
        <w:gridCol w:w="808"/>
        <w:gridCol w:w="808"/>
        <w:gridCol w:w="808"/>
        <w:gridCol w:w="800"/>
      </w:tblGrid>
      <w:tr w:rsidR="004D5D50" w:rsidRPr="00FE273A" w14:paraId="6115A8C9" w14:textId="77777777" w:rsidTr="004A2E8B">
        <w:trPr>
          <w:trHeight w:val="300"/>
        </w:trPr>
        <w:tc>
          <w:tcPr>
            <w:tcW w:w="491" w:type="pct"/>
            <w:tcBorders>
              <w:top w:val="single" w:sz="4" w:space="0" w:color="auto"/>
              <w:left w:val="nil"/>
              <w:bottom w:val="nil"/>
              <w:right w:val="nil"/>
            </w:tcBorders>
            <w:noWrap/>
            <w:vAlign w:val="bottom"/>
            <w:hideMark/>
          </w:tcPr>
          <w:p w14:paraId="1D97134C"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25" w:type="pct"/>
            <w:tcBorders>
              <w:top w:val="single" w:sz="4" w:space="0" w:color="auto"/>
              <w:left w:val="nil"/>
              <w:bottom w:val="nil"/>
              <w:right w:val="nil"/>
            </w:tcBorders>
            <w:noWrap/>
            <w:vAlign w:val="bottom"/>
            <w:hideMark/>
          </w:tcPr>
          <w:p w14:paraId="47CC12C4"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1339" w:type="pct"/>
            <w:gridSpan w:val="4"/>
            <w:tcBorders>
              <w:top w:val="single" w:sz="4" w:space="0" w:color="auto"/>
              <w:left w:val="nil"/>
              <w:right w:val="nil"/>
            </w:tcBorders>
            <w:noWrap/>
            <w:vAlign w:val="bottom"/>
            <w:hideMark/>
          </w:tcPr>
          <w:p w14:paraId="7AF8BFF8"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E273A">
              <w:rPr>
                <w:rFonts w:ascii="Times New Roman" w:eastAsia="Times New Roman" w:hAnsi="Times New Roman" w:cs="Times New Roman"/>
                <w:b/>
                <w:bCs/>
                <w:color w:val="000000"/>
                <w:sz w:val="20"/>
                <w:szCs w:val="20"/>
                <w:lang w:eastAsia="en-CA"/>
              </w:rPr>
              <w:t xml:space="preserve">FF 12 industry: </w:t>
            </w:r>
          </w:p>
          <w:p w14:paraId="33E973F9"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E6462D">
              <w:rPr>
                <w:rFonts w:ascii="Times New Roman" w:eastAsia="Times New Roman" w:hAnsi="Times New Roman" w:cs="Times New Roman"/>
                <w:b/>
                <w:bCs/>
                <w:color w:val="000000"/>
                <w:sz w:val="20"/>
                <w:szCs w:val="20"/>
                <w:lang w:eastAsia="en-GB"/>
              </w:rPr>
              <w:t>Chemicals and Allied Products</w:t>
            </w:r>
          </w:p>
        </w:tc>
        <w:tc>
          <w:tcPr>
            <w:tcW w:w="138" w:type="pct"/>
            <w:tcBorders>
              <w:top w:val="single" w:sz="4" w:space="0" w:color="auto"/>
              <w:left w:val="nil"/>
              <w:right w:val="nil"/>
            </w:tcBorders>
            <w:noWrap/>
            <w:vAlign w:val="bottom"/>
            <w:hideMark/>
          </w:tcPr>
          <w:p w14:paraId="1E12DA12"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1310" w:type="pct"/>
            <w:gridSpan w:val="4"/>
            <w:tcBorders>
              <w:top w:val="single" w:sz="4" w:space="0" w:color="auto"/>
              <w:left w:val="nil"/>
              <w:right w:val="nil"/>
            </w:tcBorders>
            <w:noWrap/>
            <w:vAlign w:val="bottom"/>
            <w:hideMark/>
          </w:tcPr>
          <w:p w14:paraId="5444AA5F"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E273A">
              <w:rPr>
                <w:rFonts w:ascii="Times New Roman" w:eastAsia="Times New Roman" w:hAnsi="Times New Roman" w:cs="Times New Roman"/>
                <w:b/>
                <w:bCs/>
                <w:color w:val="000000"/>
                <w:sz w:val="20"/>
                <w:szCs w:val="20"/>
                <w:lang w:eastAsia="en-CA"/>
              </w:rPr>
              <w:t xml:space="preserve">FF 12 industry: </w:t>
            </w:r>
          </w:p>
          <w:p w14:paraId="6948E370"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62000E">
              <w:rPr>
                <w:rFonts w:ascii="Times New Roman" w:eastAsia="Times New Roman" w:hAnsi="Times New Roman" w:cs="Times New Roman"/>
                <w:b/>
                <w:bCs/>
                <w:color w:val="000000"/>
                <w:sz w:val="20"/>
                <w:szCs w:val="20"/>
                <w:lang w:eastAsia="en-GB"/>
              </w:rPr>
              <w:t>Telephone and TV Transmission</w:t>
            </w:r>
          </w:p>
        </w:tc>
        <w:tc>
          <w:tcPr>
            <w:tcW w:w="119" w:type="pct"/>
            <w:tcBorders>
              <w:top w:val="single" w:sz="4" w:space="0" w:color="auto"/>
              <w:left w:val="nil"/>
              <w:right w:val="nil"/>
            </w:tcBorders>
            <w:noWrap/>
            <w:vAlign w:val="bottom"/>
            <w:hideMark/>
          </w:tcPr>
          <w:p w14:paraId="2C4A333A"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1278" w:type="pct"/>
            <w:gridSpan w:val="4"/>
            <w:tcBorders>
              <w:top w:val="single" w:sz="4" w:space="0" w:color="auto"/>
              <w:left w:val="nil"/>
              <w:right w:val="nil"/>
            </w:tcBorders>
            <w:noWrap/>
            <w:vAlign w:val="bottom"/>
            <w:hideMark/>
          </w:tcPr>
          <w:p w14:paraId="359C155B" w14:textId="77777777" w:rsidR="004D5D5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E273A">
              <w:rPr>
                <w:rFonts w:ascii="Times New Roman" w:eastAsia="Times New Roman" w:hAnsi="Times New Roman" w:cs="Times New Roman"/>
                <w:b/>
                <w:bCs/>
                <w:color w:val="000000"/>
                <w:sz w:val="20"/>
                <w:szCs w:val="20"/>
                <w:lang w:eastAsia="en-CA"/>
              </w:rPr>
              <w:t xml:space="preserve">FF 12 industry: </w:t>
            </w:r>
          </w:p>
          <w:p w14:paraId="3FEC235E"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E273A">
              <w:rPr>
                <w:rFonts w:ascii="Times New Roman" w:eastAsia="Times New Roman" w:hAnsi="Times New Roman" w:cs="Times New Roman"/>
                <w:b/>
                <w:bCs/>
                <w:color w:val="000000"/>
                <w:sz w:val="20"/>
                <w:szCs w:val="20"/>
                <w:lang w:eastAsia="en-CA"/>
              </w:rPr>
              <w:t>Wholesale</w:t>
            </w:r>
          </w:p>
        </w:tc>
      </w:tr>
      <w:tr w:rsidR="004D5D50" w:rsidRPr="00FE273A" w14:paraId="3B3F5022" w14:textId="77777777" w:rsidTr="004A2E8B">
        <w:trPr>
          <w:trHeight w:val="300"/>
        </w:trPr>
        <w:tc>
          <w:tcPr>
            <w:tcW w:w="491" w:type="pct"/>
            <w:tcBorders>
              <w:top w:val="nil"/>
              <w:left w:val="nil"/>
              <w:bottom w:val="nil"/>
              <w:right w:val="nil"/>
            </w:tcBorders>
            <w:noWrap/>
            <w:vAlign w:val="bottom"/>
            <w:hideMark/>
          </w:tcPr>
          <w:p w14:paraId="16F9067B"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325" w:type="pct"/>
            <w:tcBorders>
              <w:top w:val="nil"/>
              <w:left w:val="nil"/>
              <w:bottom w:val="nil"/>
              <w:right w:val="nil"/>
            </w:tcBorders>
            <w:noWrap/>
            <w:vAlign w:val="bottom"/>
            <w:hideMark/>
          </w:tcPr>
          <w:p w14:paraId="6A7A5FE4"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right w:val="nil"/>
            </w:tcBorders>
            <w:noWrap/>
            <w:vAlign w:val="bottom"/>
            <w:hideMark/>
          </w:tcPr>
          <w:p w14:paraId="73BDAB6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OLS</w:t>
            </w:r>
          </w:p>
        </w:tc>
        <w:tc>
          <w:tcPr>
            <w:tcW w:w="352" w:type="pct"/>
            <w:tcBorders>
              <w:top w:val="nil"/>
              <w:left w:val="nil"/>
              <w:right w:val="nil"/>
            </w:tcBorders>
            <w:noWrap/>
            <w:vAlign w:val="bottom"/>
            <w:hideMark/>
          </w:tcPr>
          <w:p w14:paraId="4E659F1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25%</w:t>
            </w:r>
          </w:p>
        </w:tc>
        <w:tc>
          <w:tcPr>
            <w:tcW w:w="314" w:type="pct"/>
            <w:tcBorders>
              <w:top w:val="nil"/>
              <w:left w:val="nil"/>
              <w:right w:val="nil"/>
            </w:tcBorders>
            <w:noWrap/>
            <w:vAlign w:val="bottom"/>
            <w:hideMark/>
          </w:tcPr>
          <w:p w14:paraId="2B959F0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75%</w:t>
            </w:r>
          </w:p>
        </w:tc>
        <w:tc>
          <w:tcPr>
            <w:tcW w:w="321" w:type="pct"/>
            <w:tcBorders>
              <w:top w:val="nil"/>
              <w:left w:val="nil"/>
              <w:right w:val="nil"/>
            </w:tcBorders>
            <w:noWrap/>
            <w:vAlign w:val="bottom"/>
            <w:hideMark/>
          </w:tcPr>
          <w:p w14:paraId="2603CA8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IQR</w:t>
            </w:r>
          </w:p>
        </w:tc>
        <w:tc>
          <w:tcPr>
            <w:tcW w:w="138" w:type="pct"/>
            <w:tcBorders>
              <w:top w:val="nil"/>
              <w:left w:val="nil"/>
              <w:right w:val="nil"/>
            </w:tcBorders>
            <w:noWrap/>
            <w:vAlign w:val="bottom"/>
            <w:hideMark/>
          </w:tcPr>
          <w:p w14:paraId="7A7D933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right w:val="nil"/>
            </w:tcBorders>
            <w:noWrap/>
            <w:vAlign w:val="bottom"/>
            <w:hideMark/>
          </w:tcPr>
          <w:p w14:paraId="3E851CE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OLS</w:t>
            </w:r>
          </w:p>
        </w:tc>
        <w:tc>
          <w:tcPr>
            <w:tcW w:w="332" w:type="pct"/>
            <w:tcBorders>
              <w:top w:val="nil"/>
              <w:left w:val="nil"/>
              <w:right w:val="nil"/>
            </w:tcBorders>
            <w:noWrap/>
            <w:vAlign w:val="bottom"/>
            <w:hideMark/>
          </w:tcPr>
          <w:p w14:paraId="13B218F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25%</w:t>
            </w:r>
          </w:p>
        </w:tc>
        <w:tc>
          <w:tcPr>
            <w:tcW w:w="332" w:type="pct"/>
            <w:tcBorders>
              <w:top w:val="nil"/>
              <w:left w:val="nil"/>
              <w:right w:val="nil"/>
            </w:tcBorders>
            <w:noWrap/>
            <w:vAlign w:val="bottom"/>
            <w:hideMark/>
          </w:tcPr>
          <w:p w14:paraId="32758AA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75%</w:t>
            </w:r>
          </w:p>
        </w:tc>
        <w:tc>
          <w:tcPr>
            <w:tcW w:w="314" w:type="pct"/>
            <w:tcBorders>
              <w:top w:val="nil"/>
              <w:left w:val="nil"/>
              <w:right w:val="nil"/>
            </w:tcBorders>
            <w:noWrap/>
            <w:vAlign w:val="bottom"/>
            <w:hideMark/>
          </w:tcPr>
          <w:p w14:paraId="62554CA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IQR</w:t>
            </w:r>
          </w:p>
        </w:tc>
        <w:tc>
          <w:tcPr>
            <w:tcW w:w="119" w:type="pct"/>
            <w:tcBorders>
              <w:top w:val="nil"/>
              <w:left w:val="nil"/>
              <w:right w:val="nil"/>
            </w:tcBorders>
            <w:noWrap/>
            <w:vAlign w:val="bottom"/>
            <w:hideMark/>
          </w:tcPr>
          <w:p w14:paraId="7D6BC6D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right w:val="nil"/>
            </w:tcBorders>
            <w:noWrap/>
            <w:vAlign w:val="bottom"/>
            <w:hideMark/>
          </w:tcPr>
          <w:p w14:paraId="2AB8FEB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OLS</w:t>
            </w:r>
          </w:p>
        </w:tc>
        <w:tc>
          <w:tcPr>
            <w:tcW w:w="327" w:type="pct"/>
            <w:tcBorders>
              <w:top w:val="nil"/>
              <w:left w:val="nil"/>
              <w:right w:val="nil"/>
            </w:tcBorders>
            <w:noWrap/>
            <w:vAlign w:val="bottom"/>
            <w:hideMark/>
          </w:tcPr>
          <w:p w14:paraId="161000F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25%</w:t>
            </w:r>
          </w:p>
        </w:tc>
        <w:tc>
          <w:tcPr>
            <w:tcW w:w="327" w:type="pct"/>
            <w:tcBorders>
              <w:top w:val="nil"/>
              <w:left w:val="nil"/>
              <w:right w:val="nil"/>
            </w:tcBorders>
            <w:noWrap/>
            <w:vAlign w:val="bottom"/>
            <w:hideMark/>
          </w:tcPr>
          <w:p w14:paraId="7F01680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75%</w:t>
            </w:r>
          </w:p>
        </w:tc>
        <w:tc>
          <w:tcPr>
            <w:tcW w:w="297" w:type="pct"/>
            <w:tcBorders>
              <w:top w:val="nil"/>
              <w:left w:val="nil"/>
              <w:right w:val="nil"/>
            </w:tcBorders>
            <w:noWrap/>
            <w:vAlign w:val="bottom"/>
            <w:hideMark/>
          </w:tcPr>
          <w:p w14:paraId="73FFE69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IQR</w:t>
            </w:r>
          </w:p>
        </w:tc>
      </w:tr>
      <w:tr w:rsidR="004D5D50" w:rsidRPr="00FE273A" w14:paraId="71C283CF" w14:textId="77777777" w:rsidTr="004A2E8B">
        <w:trPr>
          <w:trHeight w:val="245"/>
        </w:trPr>
        <w:tc>
          <w:tcPr>
            <w:tcW w:w="491" w:type="pct"/>
            <w:tcBorders>
              <w:top w:val="nil"/>
              <w:left w:val="nil"/>
              <w:bottom w:val="nil"/>
              <w:right w:val="nil"/>
            </w:tcBorders>
            <w:noWrap/>
            <w:vAlign w:val="bottom"/>
          </w:tcPr>
          <w:p w14:paraId="06F1F143" w14:textId="77777777" w:rsidR="004D5D50" w:rsidRPr="00FE273A"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325" w:type="pct"/>
            <w:tcBorders>
              <w:top w:val="nil"/>
              <w:left w:val="nil"/>
              <w:bottom w:val="nil"/>
              <w:right w:val="nil"/>
            </w:tcBorders>
            <w:noWrap/>
            <w:vAlign w:val="bottom"/>
          </w:tcPr>
          <w:p w14:paraId="0AC140B4"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left w:val="nil"/>
              <w:bottom w:val="single" w:sz="4" w:space="0" w:color="auto"/>
              <w:right w:val="nil"/>
            </w:tcBorders>
            <w:noWrap/>
            <w:vAlign w:val="bottom"/>
          </w:tcPr>
          <w:p w14:paraId="32DBF70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(1)</w:t>
            </w:r>
          </w:p>
        </w:tc>
        <w:tc>
          <w:tcPr>
            <w:tcW w:w="352" w:type="pct"/>
            <w:tcBorders>
              <w:left w:val="nil"/>
              <w:bottom w:val="single" w:sz="4" w:space="0" w:color="auto"/>
              <w:right w:val="nil"/>
            </w:tcBorders>
            <w:noWrap/>
            <w:vAlign w:val="bottom"/>
          </w:tcPr>
          <w:p w14:paraId="3BA1C0B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(2)</w:t>
            </w:r>
          </w:p>
        </w:tc>
        <w:tc>
          <w:tcPr>
            <w:tcW w:w="314" w:type="pct"/>
            <w:tcBorders>
              <w:left w:val="nil"/>
              <w:bottom w:val="single" w:sz="4" w:space="0" w:color="auto"/>
              <w:right w:val="nil"/>
            </w:tcBorders>
            <w:noWrap/>
            <w:vAlign w:val="bottom"/>
          </w:tcPr>
          <w:p w14:paraId="476BAE4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(3)</w:t>
            </w:r>
          </w:p>
        </w:tc>
        <w:tc>
          <w:tcPr>
            <w:tcW w:w="321" w:type="pct"/>
            <w:tcBorders>
              <w:left w:val="nil"/>
              <w:bottom w:val="single" w:sz="4" w:space="0" w:color="auto"/>
              <w:right w:val="nil"/>
            </w:tcBorders>
            <w:noWrap/>
            <w:vAlign w:val="bottom"/>
          </w:tcPr>
          <w:p w14:paraId="090AE78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(4)</w:t>
            </w:r>
          </w:p>
        </w:tc>
        <w:tc>
          <w:tcPr>
            <w:tcW w:w="138" w:type="pct"/>
            <w:tcBorders>
              <w:left w:val="nil"/>
              <w:bottom w:val="nil"/>
              <w:right w:val="nil"/>
            </w:tcBorders>
            <w:noWrap/>
            <w:vAlign w:val="bottom"/>
          </w:tcPr>
          <w:p w14:paraId="02606C2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left w:val="nil"/>
              <w:bottom w:val="single" w:sz="4" w:space="0" w:color="auto"/>
              <w:right w:val="nil"/>
            </w:tcBorders>
            <w:noWrap/>
            <w:vAlign w:val="bottom"/>
          </w:tcPr>
          <w:p w14:paraId="4820D1C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(5)</w:t>
            </w:r>
          </w:p>
        </w:tc>
        <w:tc>
          <w:tcPr>
            <w:tcW w:w="332" w:type="pct"/>
            <w:tcBorders>
              <w:left w:val="nil"/>
              <w:bottom w:val="single" w:sz="4" w:space="0" w:color="auto"/>
              <w:right w:val="nil"/>
            </w:tcBorders>
            <w:noWrap/>
            <w:vAlign w:val="bottom"/>
          </w:tcPr>
          <w:p w14:paraId="2E1D9EE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(6)</w:t>
            </w:r>
          </w:p>
        </w:tc>
        <w:tc>
          <w:tcPr>
            <w:tcW w:w="332" w:type="pct"/>
            <w:tcBorders>
              <w:left w:val="nil"/>
              <w:bottom w:val="single" w:sz="4" w:space="0" w:color="auto"/>
              <w:right w:val="nil"/>
            </w:tcBorders>
            <w:noWrap/>
            <w:vAlign w:val="bottom"/>
          </w:tcPr>
          <w:p w14:paraId="4167122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(7)</w:t>
            </w:r>
          </w:p>
        </w:tc>
        <w:tc>
          <w:tcPr>
            <w:tcW w:w="314" w:type="pct"/>
            <w:tcBorders>
              <w:left w:val="nil"/>
              <w:bottom w:val="single" w:sz="4" w:space="0" w:color="auto"/>
              <w:right w:val="nil"/>
            </w:tcBorders>
            <w:noWrap/>
            <w:vAlign w:val="bottom"/>
          </w:tcPr>
          <w:p w14:paraId="2A3098D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(8)</w:t>
            </w:r>
          </w:p>
        </w:tc>
        <w:tc>
          <w:tcPr>
            <w:tcW w:w="119" w:type="pct"/>
            <w:tcBorders>
              <w:left w:val="nil"/>
              <w:bottom w:val="nil"/>
              <w:right w:val="nil"/>
            </w:tcBorders>
            <w:noWrap/>
            <w:vAlign w:val="bottom"/>
          </w:tcPr>
          <w:p w14:paraId="25646A2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left w:val="nil"/>
              <w:bottom w:val="single" w:sz="4" w:space="0" w:color="auto"/>
              <w:right w:val="nil"/>
            </w:tcBorders>
            <w:noWrap/>
            <w:vAlign w:val="bottom"/>
          </w:tcPr>
          <w:p w14:paraId="1849A2F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(9)</w:t>
            </w:r>
          </w:p>
        </w:tc>
        <w:tc>
          <w:tcPr>
            <w:tcW w:w="327" w:type="pct"/>
            <w:tcBorders>
              <w:left w:val="nil"/>
              <w:bottom w:val="single" w:sz="4" w:space="0" w:color="auto"/>
              <w:right w:val="nil"/>
            </w:tcBorders>
            <w:noWrap/>
            <w:vAlign w:val="bottom"/>
          </w:tcPr>
          <w:p w14:paraId="5BFE22D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(10)</w:t>
            </w:r>
          </w:p>
        </w:tc>
        <w:tc>
          <w:tcPr>
            <w:tcW w:w="327" w:type="pct"/>
            <w:tcBorders>
              <w:left w:val="nil"/>
              <w:bottom w:val="single" w:sz="4" w:space="0" w:color="auto"/>
              <w:right w:val="nil"/>
            </w:tcBorders>
            <w:noWrap/>
            <w:vAlign w:val="bottom"/>
          </w:tcPr>
          <w:p w14:paraId="3F8C748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(11)</w:t>
            </w:r>
          </w:p>
        </w:tc>
        <w:tc>
          <w:tcPr>
            <w:tcW w:w="297" w:type="pct"/>
            <w:tcBorders>
              <w:left w:val="nil"/>
              <w:bottom w:val="single" w:sz="4" w:space="0" w:color="auto"/>
              <w:right w:val="nil"/>
            </w:tcBorders>
            <w:noWrap/>
            <w:vAlign w:val="bottom"/>
          </w:tcPr>
          <w:p w14:paraId="0A5ECBF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(12)</w:t>
            </w:r>
          </w:p>
        </w:tc>
      </w:tr>
      <w:tr w:rsidR="004D5D50" w:rsidRPr="00FE273A" w14:paraId="38D7A858" w14:textId="77777777" w:rsidTr="004A2E8B">
        <w:trPr>
          <w:trHeight w:val="300"/>
        </w:trPr>
        <w:tc>
          <w:tcPr>
            <w:tcW w:w="491" w:type="pct"/>
            <w:tcBorders>
              <w:top w:val="nil"/>
              <w:left w:val="nil"/>
              <w:bottom w:val="nil"/>
              <w:right w:val="nil"/>
            </w:tcBorders>
            <w:noWrap/>
            <w:vAlign w:val="bottom"/>
            <w:hideMark/>
          </w:tcPr>
          <w:p w14:paraId="4E47A34B" w14:textId="77777777" w:rsidR="004D5D50" w:rsidRPr="00FE273A" w:rsidRDefault="004D5D50" w:rsidP="004A2E8B">
            <w:pPr>
              <w:spacing w:after="0" w:line="240" w:lineRule="auto"/>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Intercept</w:t>
            </w:r>
          </w:p>
        </w:tc>
        <w:tc>
          <w:tcPr>
            <w:tcW w:w="325" w:type="pct"/>
            <w:tcBorders>
              <w:top w:val="nil"/>
              <w:left w:val="nil"/>
              <w:bottom w:val="nil"/>
              <w:right w:val="nil"/>
            </w:tcBorders>
            <w:noWrap/>
            <w:vAlign w:val="bottom"/>
            <w:hideMark/>
          </w:tcPr>
          <w:p w14:paraId="2D506145" w14:textId="77777777" w:rsidR="004D5D50" w:rsidRPr="00FE273A" w:rsidRDefault="004D5D50" w:rsidP="004A2E8B">
            <w:pPr>
              <w:spacing w:after="0" w:line="240" w:lineRule="auto"/>
              <w:rPr>
                <w:rFonts w:ascii="Times New Roman" w:eastAsia="Times New Roman" w:hAnsi="Times New Roman" w:cs="Times New Roman"/>
                <w:color w:val="000000"/>
                <w:sz w:val="20"/>
                <w:szCs w:val="20"/>
                <w:lang w:eastAsia="en-CA"/>
              </w:rPr>
            </w:pPr>
          </w:p>
        </w:tc>
        <w:tc>
          <w:tcPr>
            <w:tcW w:w="352" w:type="pct"/>
            <w:tcBorders>
              <w:top w:val="nil"/>
              <w:left w:val="nil"/>
              <w:bottom w:val="nil"/>
              <w:right w:val="nil"/>
            </w:tcBorders>
            <w:noWrap/>
            <w:vAlign w:val="bottom"/>
            <w:hideMark/>
          </w:tcPr>
          <w:p w14:paraId="7FB0528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1.904</w:t>
            </w:r>
          </w:p>
        </w:tc>
        <w:tc>
          <w:tcPr>
            <w:tcW w:w="352" w:type="pct"/>
            <w:tcBorders>
              <w:top w:val="nil"/>
              <w:left w:val="nil"/>
              <w:bottom w:val="nil"/>
              <w:right w:val="nil"/>
            </w:tcBorders>
            <w:noWrap/>
            <w:vAlign w:val="bottom"/>
            <w:hideMark/>
          </w:tcPr>
          <w:p w14:paraId="2A5BFE2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1.555</w:t>
            </w:r>
          </w:p>
        </w:tc>
        <w:tc>
          <w:tcPr>
            <w:tcW w:w="314" w:type="pct"/>
            <w:tcBorders>
              <w:top w:val="nil"/>
              <w:left w:val="nil"/>
              <w:bottom w:val="nil"/>
              <w:right w:val="nil"/>
            </w:tcBorders>
            <w:noWrap/>
            <w:vAlign w:val="bottom"/>
            <w:hideMark/>
          </w:tcPr>
          <w:p w14:paraId="2632260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2.436</w:t>
            </w:r>
          </w:p>
        </w:tc>
        <w:tc>
          <w:tcPr>
            <w:tcW w:w="321" w:type="pct"/>
            <w:tcBorders>
              <w:top w:val="nil"/>
              <w:left w:val="nil"/>
              <w:bottom w:val="nil"/>
              <w:right w:val="nil"/>
            </w:tcBorders>
            <w:noWrap/>
            <w:vAlign w:val="bottom"/>
            <w:hideMark/>
          </w:tcPr>
          <w:p w14:paraId="6CE926F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0.880</w:t>
            </w:r>
          </w:p>
        </w:tc>
        <w:tc>
          <w:tcPr>
            <w:tcW w:w="138" w:type="pct"/>
            <w:tcBorders>
              <w:top w:val="nil"/>
              <w:left w:val="nil"/>
              <w:bottom w:val="nil"/>
              <w:right w:val="nil"/>
            </w:tcBorders>
            <w:noWrap/>
            <w:vAlign w:val="bottom"/>
            <w:hideMark/>
          </w:tcPr>
          <w:p w14:paraId="4789B95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0997003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1.860</w:t>
            </w:r>
          </w:p>
        </w:tc>
        <w:tc>
          <w:tcPr>
            <w:tcW w:w="332" w:type="pct"/>
            <w:tcBorders>
              <w:top w:val="nil"/>
              <w:left w:val="nil"/>
              <w:bottom w:val="nil"/>
              <w:right w:val="nil"/>
            </w:tcBorders>
            <w:noWrap/>
            <w:vAlign w:val="bottom"/>
            <w:hideMark/>
          </w:tcPr>
          <w:p w14:paraId="00F002C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1.423</w:t>
            </w:r>
          </w:p>
        </w:tc>
        <w:tc>
          <w:tcPr>
            <w:tcW w:w="332" w:type="pct"/>
            <w:tcBorders>
              <w:top w:val="nil"/>
              <w:left w:val="nil"/>
              <w:bottom w:val="nil"/>
              <w:right w:val="nil"/>
            </w:tcBorders>
            <w:noWrap/>
            <w:vAlign w:val="bottom"/>
            <w:hideMark/>
          </w:tcPr>
          <w:p w14:paraId="12A6E94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2.510</w:t>
            </w:r>
          </w:p>
        </w:tc>
        <w:tc>
          <w:tcPr>
            <w:tcW w:w="314" w:type="pct"/>
            <w:tcBorders>
              <w:top w:val="nil"/>
              <w:left w:val="nil"/>
              <w:bottom w:val="nil"/>
              <w:right w:val="nil"/>
            </w:tcBorders>
            <w:noWrap/>
            <w:vAlign w:val="bottom"/>
            <w:hideMark/>
          </w:tcPr>
          <w:p w14:paraId="28510F7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1.087</w:t>
            </w:r>
          </w:p>
        </w:tc>
        <w:tc>
          <w:tcPr>
            <w:tcW w:w="119" w:type="pct"/>
            <w:tcBorders>
              <w:top w:val="nil"/>
              <w:left w:val="nil"/>
              <w:bottom w:val="nil"/>
              <w:right w:val="nil"/>
            </w:tcBorders>
            <w:noWrap/>
            <w:vAlign w:val="bottom"/>
            <w:hideMark/>
          </w:tcPr>
          <w:p w14:paraId="48CBC53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4C5A149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1.798</w:t>
            </w:r>
          </w:p>
        </w:tc>
        <w:tc>
          <w:tcPr>
            <w:tcW w:w="327" w:type="pct"/>
            <w:tcBorders>
              <w:top w:val="nil"/>
              <w:left w:val="nil"/>
              <w:bottom w:val="nil"/>
              <w:right w:val="nil"/>
            </w:tcBorders>
            <w:noWrap/>
            <w:vAlign w:val="bottom"/>
            <w:hideMark/>
          </w:tcPr>
          <w:p w14:paraId="36D547E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1.432</w:t>
            </w:r>
          </w:p>
        </w:tc>
        <w:tc>
          <w:tcPr>
            <w:tcW w:w="327" w:type="pct"/>
            <w:tcBorders>
              <w:top w:val="nil"/>
              <w:left w:val="nil"/>
              <w:bottom w:val="nil"/>
              <w:right w:val="nil"/>
            </w:tcBorders>
            <w:noWrap/>
            <w:vAlign w:val="bottom"/>
            <w:hideMark/>
          </w:tcPr>
          <w:p w14:paraId="2F33B78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2.305</w:t>
            </w:r>
          </w:p>
        </w:tc>
        <w:tc>
          <w:tcPr>
            <w:tcW w:w="297" w:type="pct"/>
            <w:tcBorders>
              <w:top w:val="nil"/>
              <w:left w:val="nil"/>
              <w:bottom w:val="nil"/>
              <w:right w:val="nil"/>
            </w:tcBorders>
            <w:noWrap/>
            <w:vAlign w:val="bottom"/>
            <w:hideMark/>
          </w:tcPr>
          <w:p w14:paraId="6E150E6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0.873</w:t>
            </w:r>
          </w:p>
        </w:tc>
      </w:tr>
      <w:tr w:rsidR="004D5D50" w:rsidRPr="00FE273A" w14:paraId="563A7685" w14:textId="77777777" w:rsidTr="004A2E8B">
        <w:trPr>
          <w:trHeight w:val="300"/>
        </w:trPr>
        <w:tc>
          <w:tcPr>
            <w:tcW w:w="491" w:type="pct"/>
            <w:tcBorders>
              <w:top w:val="nil"/>
              <w:left w:val="nil"/>
              <w:bottom w:val="nil"/>
              <w:right w:val="nil"/>
            </w:tcBorders>
            <w:noWrap/>
            <w:vAlign w:val="bottom"/>
            <w:hideMark/>
          </w:tcPr>
          <w:p w14:paraId="446200B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5" w:type="pct"/>
            <w:tcBorders>
              <w:top w:val="nil"/>
              <w:left w:val="nil"/>
              <w:bottom w:val="nil"/>
              <w:right w:val="nil"/>
            </w:tcBorders>
            <w:noWrap/>
            <w:vAlign w:val="bottom"/>
            <w:hideMark/>
          </w:tcPr>
          <w:p w14:paraId="7EC2A15B"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bottom w:val="nil"/>
              <w:right w:val="nil"/>
            </w:tcBorders>
            <w:noWrap/>
            <w:vAlign w:val="bottom"/>
            <w:hideMark/>
          </w:tcPr>
          <w:p w14:paraId="0BB50C5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52" w:type="pct"/>
            <w:tcBorders>
              <w:top w:val="nil"/>
              <w:left w:val="nil"/>
              <w:bottom w:val="nil"/>
              <w:right w:val="nil"/>
            </w:tcBorders>
            <w:noWrap/>
            <w:vAlign w:val="bottom"/>
            <w:hideMark/>
          </w:tcPr>
          <w:p w14:paraId="3BA6DE7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0BB2317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1" w:type="pct"/>
            <w:tcBorders>
              <w:top w:val="nil"/>
              <w:left w:val="nil"/>
              <w:bottom w:val="nil"/>
              <w:right w:val="nil"/>
            </w:tcBorders>
            <w:noWrap/>
            <w:vAlign w:val="bottom"/>
            <w:hideMark/>
          </w:tcPr>
          <w:p w14:paraId="4E1F48D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138" w:type="pct"/>
            <w:tcBorders>
              <w:top w:val="nil"/>
              <w:left w:val="nil"/>
              <w:bottom w:val="nil"/>
              <w:right w:val="nil"/>
            </w:tcBorders>
            <w:noWrap/>
            <w:vAlign w:val="bottom"/>
            <w:hideMark/>
          </w:tcPr>
          <w:p w14:paraId="213B227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74A5594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065F389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0E0B928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6D007D4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119" w:type="pct"/>
            <w:tcBorders>
              <w:top w:val="nil"/>
              <w:left w:val="nil"/>
              <w:bottom w:val="nil"/>
              <w:right w:val="nil"/>
            </w:tcBorders>
            <w:noWrap/>
            <w:vAlign w:val="bottom"/>
            <w:hideMark/>
          </w:tcPr>
          <w:p w14:paraId="46D24CB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0CD6703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199C808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23FB362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97" w:type="pct"/>
            <w:tcBorders>
              <w:top w:val="nil"/>
              <w:left w:val="nil"/>
              <w:bottom w:val="nil"/>
              <w:right w:val="nil"/>
            </w:tcBorders>
            <w:noWrap/>
            <w:vAlign w:val="bottom"/>
            <w:hideMark/>
          </w:tcPr>
          <w:p w14:paraId="775A173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E273A" w14:paraId="7DD330CD" w14:textId="77777777" w:rsidTr="004A2E8B">
        <w:trPr>
          <w:trHeight w:val="300"/>
        </w:trPr>
        <w:tc>
          <w:tcPr>
            <w:tcW w:w="491" w:type="pct"/>
            <w:tcBorders>
              <w:top w:val="nil"/>
              <w:left w:val="nil"/>
              <w:bottom w:val="nil"/>
              <w:right w:val="nil"/>
            </w:tcBorders>
            <w:noWrap/>
            <w:vAlign w:val="bottom"/>
            <w:hideMark/>
          </w:tcPr>
          <w:p w14:paraId="1BE1B3CB" w14:textId="77777777" w:rsidR="004D5D50" w:rsidRPr="00FE273A" w:rsidRDefault="004D5D50" w:rsidP="004A2E8B">
            <w:pPr>
              <w:spacing w:after="0" w:line="240" w:lineRule="auto"/>
              <w:rPr>
                <w:rFonts w:ascii="Times New Roman" w:eastAsia="Times New Roman" w:hAnsi="Times New Roman" w:cs="Times New Roman"/>
                <w:i/>
                <w:iCs/>
                <w:color w:val="000000"/>
                <w:sz w:val="20"/>
                <w:szCs w:val="20"/>
                <w:lang w:eastAsia="en-CA"/>
              </w:rPr>
            </w:pPr>
            <w:r w:rsidRPr="00FE273A">
              <w:rPr>
                <w:rFonts w:ascii="Times New Roman" w:eastAsia="Times New Roman" w:hAnsi="Times New Roman" w:cs="Times New Roman"/>
                <w:i/>
                <w:iCs/>
                <w:color w:val="000000"/>
                <w:sz w:val="20"/>
                <w:szCs w:val="20"/>
                <w:lang w:eastAsia="en-CA"/>
              </w:rPr>
              <w:t>b</w:t>
            </w:r>
          </w:p>
        </w:tc>
        <w:tc>
          <w:tcPr>
            <w:tcW w:w="325" w:type="pct"/>
            <w:tcBorders>
              <w:top w:val="nil"/>
              <w:left w:val="nil"/>
              <w:bottom w:val="nil"/>
              <w:right w:val="nil"/>
            </w:tcBorders>
            <w:noWrap/>
            <w:vAlign w:val="bottom"/>
            <w:hideMark/>
          </w:tcPr>
          <w:p w14:paraId="3CBB46AB" w14:textId="77777777" w:rsidR="004D5D50" w:rsidRPr="00FE273A"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352" w:type="pct"/>
            <w:tcBorders>
              <w:top w:val="nil"/>
              <w:left w:val="nil"/>
              <w:bottom w:val="nil"/>
              <w:right w:val="nil"/>
            </w:tcBorders>
            <w:noWrap/>
            <w:vAlign w:val="bottom"/>
            <w:hideMark/>
          </w:tcPr>
          <w:p w14:paraId="7792D26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0.472</w:t>
            </w:r>
          </w:p>
        </w:tc>
        <w:tc>
          <w:tcPr>
            <w:tcW w:w="352" w:type="pct"/>
            <w:tcBorders>
              <w:top w:val="nil"/>
              <w:left w:val="nil"/>
              <w:bottom w:val="nil"/>
              <w:right w:val="nil"/>
            </w:tcBorders>
            <w:noWrap/>
            <w:vAlign w:val="bottom"/>
            <w:hideMark/>
          </w:tcPr>
          <w:p w14:paraId="569DBF4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0.432</w:t>
            </w:r>
          </w:p>
        </w:tc>
        <w:tc>
          <w:tcPr>
            <w:tcW w:w="314" w:type="pct"/>
            <w:tcBorders>
              <w:top w:val="nil"/>
              <w:left w:val="nil"/>
              <w:bottom w:val="nil"/>
              <w:right w:val="nil"/>
            </w:tcBorders>
            <w:noWrap/>
            <w:vAlign w:val="bottom"/>
            <w:hideMark/>
          </w:tcPr>
          <w:p w14:paraId="7CC02AA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0.425</w:t>
            </w:r>
          </w:p>
        </w:tc>
        <w:tc>
          <w:tcPr>
            <w:tcW w:w="321" w:type="pct"/>
            <w:tcBorders>
              <w:top w:val="nil"/>
              <w:left w:val="nil"/>
              <w:bottom w:val="nil"/>
              <w:right w:val="nil"/>
            </w:tcBorders>
            <w:noWrap/>
            <w:vAlign w:val="bottom"/>
            <w:hideMark/>
          </w:tcPr>
          <w:p w14:paraId="733178B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-0.007</w:t>
            </w:r>
          </w:p>
        </w:tc>
        <w:tc>
          <w:tcPr>
            <w:tcW w:w="138" w:type="pct"/>
            <w:tcBorders>
              <w:top w:val="nil"/>
              <w:left w:val="nil"/>
              <w:bottom w:val="nil"/>
              <w:right w:val="nil"/>
            </w:tcBorders>
            <w:noWrap/>
            <w:vAlign w:val="bottom"/>
            <w:hideMark/>
          </w:tcPr>
          <w:p w14:paraId="4BF2323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257C76E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0.637</w:t>
            </w:r>
          </w:p>
        </w:tc>
        <w:tc>
          <w:tcPr>
            <w:tcW w:w="332" w:type="pct"/>
            <w:tcBorders>
              <w:top w:val="nil"/>
              <w:left w:val="nil"/>
              <w:bottom w:val="nil"/>
              <w:right w:val="nil"/>
            </w:tcBorders>
            <w:noWrap/>
            <w:vAlign w:val="bottom"/>
            <w:hideMark/>
          </w:tcPr>
          <w:p w14:paraId="32EAC52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0.626</w:t>
            </w:r>
          </w:p>
        </w:tc>
        <w:tc>
          <w:tcPr>
            <w:tcW w:w="332" w:type="pct"/>
            <w:tcBorders>
              <w:top w:val="nil"/>
              <w:left w:val="nil"/>
              <w:bottom w:val="nil"/>
              <w:right w:val="nil"/>
            </w:tcBorders>
            <w:noWrap/>
            <w:vAlign w:val="bottom"/>
            <w:hideMark/>
          </w:tcPr>
          <w:p w14:paraId="739B24D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0.584</w:t>
            </w:r>
          </w:p>
        </w:tc>
        <w:tc>
          <w:tcPr>
            <w:tcW w:w="314" w:type="pct"/>
            <w:tcBorders>
              <w:top w:val="nil"/>
              <w:left w:val="nil"/>
              <w:bottom w:val="nil"/>
              <w:right w:val="nil"/>
            </w:tcBorders>
            <w:noWrap/>
            <w:vAlign w:val="bottom"/>
            <w:hideMark/>
          </w:tcPr>
          <w:p w14:paraId="21E12F9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-0.042</w:t>
            </w:r>
          </w:p>
        </w:tc>
        <w:tc>
          <w:tcPr>
            <w:tcW w:w="119" w:type="pct"/>
            <w:tcBorders>
              <w:top w:val="nil"/>
              <w:left w:val="nil"/>
              <w:bottom w:val="nil"/>
              <w:right w:val="nil"/>
            </w:tcBorders>
            <w:noWrap/>
            <w:vAlign w:val="bottom"/>
            <w:hideMark/>
          </w:tcPr>
          <w:p w14:paraId="56EC55E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43A85DC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0.530</w:t>
            </w:r>
          </w:p>
        </w:tc>
        <w:tc>
          <w:tcPr>
            <w:tcW w:w="327" w:type="pct"/>
            <w:tcBorders>
              <w:top w:val="nil"/>
              <w:left w:val="nil"/>
              <w:bottom w:val="nil"/>
              <w:right w:val="nil"/>
            </w:tcBorders>
            <w:noWrap/>
            <w:vAlign w:val="bottom"/>
            <w:hideMark/>
          </w:tcPr>
          <w:p w14:paraId="2D22737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0.469</w:t>
            </w:r>
          </w:p>
        </w:tc>
        <w:tc>
          <w:tcPr>
            <w:tcW w:w="327" w:type="pct"/>
            <w:tcBorders>
              <w:top w:val="nil"/>
              <w:left w:val="nil"/>
              <w:bottom w:val="nil"/>
              <w:right w:val="nil"/>
            </w:tcBorders>
            <w:noWrap/>
            <w:vAlign w:val="bottom"/>
            <w:hideMark/>
          </w:tcPr>
          <w:p w14:paraId="1DB52DD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0.489</w:t>
            </w:r>
          </w:p>
        </w:tc>
        <w:tc>
          <w:tcPr>
            <w:tcW w:w="297" w:type="pct"/>
            <w:tcBorders>
              <w:top w:val="nil"/>
              <w:left w:val="nil"/>
              <w:bottom w:val="nil"/>
              <w:right w:val="nil"/>
            </w:tcBorders>
            <w:noWrap/>
            <w:vAlign w:val="bottom"/>
            <w:hideMark/>
          </w:tcPr>
          <w:p w14:paraId="4AAD84F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0.020</w:t>
            </w:r>
          </w:p>
        </w:tc>
      </w:tr>
      <w:tr w:rsidR="004D5D50" w:rsidRPr="00FE273A" w14:paraId="36401DA2" w14:textId="77777777" w:rsidTr="004A2E8B">
        <w:trPr>
          <w:trHeight w:val="300"/>
        </w:trPr>
        <w:tc>
          <w:tcPr>
            <w:tcW w:w="491" w:type="pct"/>
            <w:tcBorders>
              <w:top w:val="nil"/>
              <w:left w:val="nil"/>
              <w:bottom w:val="nil"/>
              <w:right w:val="nil"/>
            </w:tcBorders>
            <w:noWrap/>
            <w:vAlign w:val="bottom"/>
            <w:hideMark/>
          </w:tcPr>
          <w:p w14:paraId="2A041B5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5" w:type="pct"/>
            <w:tcBorders>
              <w:top w:val="nil"/>
              <w:left w:val="nil"/>
              <w:bottom w:val="nil"/>
              <w:right w:val="nil"/>
            </w:tcBorders>
            <w:noWrap/>
            <w:vAlign w:val="bottom"/>
            <w:hideMark/>
          </w:tcPr>
          <w:p w14:paraId="7A999D9C"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bottom w:val="nil"/>
              <w:right w:val="nil"/>
            </w:tcBorders>
            <w:noWrap/>
            <w:vAlign w:val="bottom"/>
            <w:hideMark/>
          </w:tcPr>
          <w:p w14:paraId="7240750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52" w:type="pct"/>
            <w:tcBorders>
              <w:top w:val="nil"/>
              <w:left w:val="nil"/>
              <w:bottom w:val="nil"/>
              <w:right w:val="nil"/>
            </w:tcBorders>
            <w:noWrap/>
            <w:vAlign w:val="bottom"/>
            <w:hideMark/>
          </w:tcPr>
          <w:p w14:paraId="2DD6D4C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25ADAF8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1" w:type="pct"/>
            <w:tcBorders>
              <w:top w:val="nil"/>
              <w:left w:val="nil"/>
              <w:bottom w:val="nil"/>
              <w:right w:val="nil"/>
            </w:tcBorders>
            <w:noWrap/>
            <w:vAlign w:val="bottom"/>
            <w:hideMark/>
          </w:tcPr>
          <w:p w14:paraId="1333DB1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0.790</w:t>
            </w:r>
            <w:r>
              <w:rPr>
                <w:rFonts w:ascii="Times New Roman" w:eastAsia="Times New Roman" w:hAnsi="Times New Roman" w:cs="Times New Roman"/>
                <w:color w:val="000000"/>
                <w:sz w:val="20"/>
                <w:szCs w:val="20"/>
                <w:lang w:eastAsia="en-GB"/>
              </w:rPr>
              <w:t>)</w:t>
            </w:r>
          </w:p>
        </w:tc>
        <w:tc>
          <w:tcPr>
            <w:tcW w:w="138" w:type="pct"/>
            <w:tcBorders>
              <w:top w:val="nil"/>
              <w:left w:val="nil"/>
              <w:bottom w:val="nil"/>
              <w:right w:val="nil"/>
            </w:tcBorders>
            <w:noWrap/>
            <w:vAlign w:val="bottom"/>
            <w:hideMark/>
          </w:tcPr>
          <w:p w14:paraId="4767A27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6DCFBAA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55380D8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626AE54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39EBBA3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0.206</w:t>
            </w:r>
            <w:r>
              <w:rPr>
                <w:rFonts w:ascii="Times New Roman" w:eastAsia="Times New Roman" w:hAnsi="Times New Roman" w:cs="Times New Roman"/>
                <w:color w:val="000000"/>
                <w:sz w:val="20"/>
                <w:szCs w:val="20"/>
                <w:lang w:eastAsia="en-GB"/>
              </w:rPr>
              <w:t>)</w:t>
            </w:r>
          </w:p>
        </w:tc>
        <w:tc>
          <w:tcPr>
            <w:tcW w:w="119" w:type="pct"/>
            <w:tcBorders>
              <w:top w:val="nil"/>
              <w:left w:val="nil"/>
              <w:bottom w:val="nil"/>
              <w:right w:val="nil"/>
            </w:tcBorders>
            <w:noWrap/>
            <w:vAlign w:val="bottom"/>
            <w:hideMark/>
          </w:tcPr>
          <w:p w14:paraId="235320B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471A5BA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5939F8D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200C49A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97" w:type="pct"/>
            <w:tcBorders>
              <w:top w:val="nil"/>
              <w:left w:val="nil"/>
              <w:bottom w:val="nil"/>
              <w:right w:val="nil"/>
            </w:tcBorders>
            <w:noWrap/>
            <w:vAlign w:val="bottom"/>
            <w:hideMark/>
          </w:tcPr>
          <w:p w14:paraId="1271E3E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0.114</w:t>
            </w:r>
            <w:r>
              <w:rPr>
                <w:rFonts w:ascii="Times New Roman" w:eastAsia="Times New Roman" w:hAnsi="Times New Roman" w:cs="Times New Roman"/>
                <w:color w:val="000000"/>
                <w:sz w:val="20"/>
                <w:szCs w:val="20"/>
                <w:lang w:eastAsia="en-GB"/>
              </w:rPr>
              <w:t>)</w:t>
            </w:r>
          </w:p>
        </w:tc>
      </w:tr>
      <w:tr w:rsidR="004D5D50" w:rsidRPr="00FE273A" w14:paraId="0BFBB6B6" w14:textId="77777777" w:rsidTr="004A2E8B">
        <w:trPr>
          <w:trHeight w:val="300"/>
        </w:trPr>
        <w:tc>
          <w:tcPr>
            <w:tcW w:w="491" w:type="pct"/>
            <w:tcBorders>
              <w:top w:val="nil"/>
              <w:left w:val="nil"/>
              <w:bottom w:val="nil"/>
              <w:right w:val="nil"/>
            </w:tcBorders>
            <w:noWrap/>
            <w:vAlign w:val="bottom"/>
            <w:hideMark/>
          </w:tcPr>
          <w:p w14:paraId="54BDA319" w14:textId="77777777" w:rsidR="004D5D50" w:rsidRPr="00FE273A" w:rsidRDefault="004D5D50" w:rsidP="004A2E8B">
            <w:pPr>
              <w:spacing w:after="0" w:line="240" w:lineRule="auto"/>
              <w:rPr>
                <w:rFonts w:ascii="Times New Roman" w:eastAsia="Times New Roman" w:hAnsi="Times New Roman" w:cs="Times New Roman"/>
                <w:i/>
                <w:iCs/>
                <w:color w:val="000000"/>
                <w:sz w:val="20"/>
                <w:szCs w:val="20"/>
                <w:lang w:eastAsia="en-CA"/>
              </w:rPr>
            </w:pPr>
            <w:r w:rsidRPr="00FE273A">
              <w:rPr>
                <w:rFonts w:ascii="Times New Roman" w:eastAsia="Times New Roman" w:hAnsi="Times New Roman" w:cs="Times New Roman"/>
                <w:i/>
                <w:iCs/>
                <w:color w:val="000000"/>
                <w:sz w:val="20"/>
                <w:szCs w:val="20"/>
                <w:lang w:eastAsia="en-CA"/>
              </w:rPr>
              <w:t>|earn|</w:t>
            </w:r>
          </w:p>
        </w:tc>
        <w:tc>
          <w:tcPr>
            <w:tcW w:w="325" w:type="pct"/>
            <w:tcBorders>
              <w:top w:val="nil"/>
              <w:left w:val="nil"/>
              <w:bottom w:val="nil"/>
              <w:right w:val="nil"/>
            </w:tcBorders>
            <w:noWrap/>
            <w:vAlign w:val="bottom"/>
            <w:hideMark/>
          </w:tcPr>
          <w:p w14:paraId="0A26C85B" w14:textId="77777777" w:rsidR="004D5D50" w:rsidRPr="00FE273A"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352" w:type="pct"/>
            <w:tcBorders>
              <w:top w:val="nil"/>
              <w:left w:val="nil"/>
              <w:bottom w:val="nil"/>
              <w:right w:val="nil"/>
            </w:tcBorders>
            <w:noWrap/>
            <w:vAlign w:val="bottom"/>
            <w:hideMark/>
          </w:tcPr>
          <w:p w14:paraId="0CE10F7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0.446</w:t>
            </w:r>
          </w:p>
        </w:tc>
        <w:tc>
          <w:tcPr>
            <w:tcW w:w="352" w:type="pct"/>
            <w:tcBorders>
              <w:top w:val="nil"/>
              <w:left w:val="nil"/>
              <w:bottom w:val="nil"/>
              <w:right w:val="nil"/>
            </w:tcBorders>
            <w:noWrap/>
            <w:vAlign w:val="bottom"/>
            <w:hideMark/>
          </w:tcPr>
          <w:p w14:paraId="311B423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0.532</w:t>
            </w:r>
          </w:p>
        </w:tc>
        <w:tc>
          <w:tcPr>
            <w:tcW w:w="314" w:type="pct"/>
            <w:tcBorders>
              <w:top w:val="nil"/>
              <w:left w:val="nil"/>
              <w:bottom w:val="nil"/>
              <w:right w:val="nil"/>
            </w:tcBorders>
            <w:noWrap/>
            <w:vAlign w:val="bottom"/>
            <w:hideMark/>
          </w:tcPr>
          <w:p w14:paraId="7DC806B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0.482</w:t>
            </w:r>
          </w:p>
        </w:tc>
        <w:tc>
          <w:tcPr>
            <w:tcW w:w="321" w:type="pct"/>
            <w:tcBorders>
              <w:top w:val="nil"/>
              <w:left w:val="nil"/>
              <w:bottom w:val="nil"/>
              <w:right w:val="nil"/>
            </w:tcBorders>
            <w:noWrap/>
            <w:vAlign w:val="bottom"/>
            <w:hideMark/>
          </w:tcPr>
          <w:p w14:paraId="7DB70A1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-0.050</w:t>
            </w:r>
          </w:p>
        </w:tc>
        <w:tc>
          <w:tcPr>
            <w:tcW w:w="138" w:type="pct"/>
            <w:tcBorders>
              <w:top w:val="nil"/>
              <w:left w:val="nil"/>
              <w:bottom w:val="nil"/>
              <w:right w:val="nil"/>
            </w:tcBorders>
            <w:noWrap/>
            <w:vAlign w:val="bottom"/>
            <w:hideMark/>
          </w:tcPr>
          <w:p w14:paraId="720B5D1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38FF068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0.247</w:t>
            </w:r>
          </w:p>
        </w:tc>
        <w:tc>
          <w:tcPr>
            <w:tcW w:w="332" w:type="pct"/>
            <w:tcBorders>
              <w:top w:val="nil"/>
              <w:left w:val="nil"/>
              <w:bottom w:val="nil"/>
              <w:right w:val="nil"/>
            </w:tcBorders>
            <w:noWrap/>
            <w:vAlign w:val="bottom"/>
            <w:hideMark/>
          </w:tcPr>
          <w:p w14:paraId="2AA98A4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0.304</w:t>
            </w:r>
          </w:p>
        </w:tc>
        <w:tc>
          <w:tcPr>
            <w:tcW w:w="332" w:type="pct"/>
            <w:tcBorders>
              <w:top w:val="nil"/>
              <w:left w:val="nil"/>
              <w:bottom w:val="nil"/>
              <w:right w:val="nil"/>
            </w:tcBorders>
            <w:noWrap/>
            <w:vAlign w:val="bottom"/>
            <w:hideMark/>
          </w:tcPr>
          <w:p w14:paraId="4529E86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0.264</w:t>
            </w:r>
          </w:p>
        </w:tc>
        <w:tc>
          <w:tcPr>
            <w:tcW w:w="314" w:type="pct"/>
            <w:tcBorders>
              <w:top w:val="nil"/>
              <w:left w:val="nil"/>
              <w:bottom w:val="nil"/>
              <w:right w:val="nil"/>
            </w:tcBorders>
            <w:noWrap/>
            <w:vAlign w:val="bottom"/>
            <w:hideMark/>
          </w:tcPr>
          <w:p w14:paraId="73C6B7B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-0.040</w:t>
            </w:r>
          </w:p>
        </w:tc>
        <w:tc>
          <w:tcPr>
            <w:tcW w:w="119" w:type="pct"/>
            <w:tcBorders>
              <w:top w:val="nil"/>
              <w:left w:val="nil"/>
              <w:bottom w:val="nil"/>
              <w:right w:val="nil"/>
            </w:tcBorders>
            <w:noWrap/>
            <w:vAlign w:val="bottom"/>
            <w:hideMark/>
          </w:tcPr>
          <w:p w14:paraId="2983266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2764EA0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0.445</w:t>
            </w:r>
          </w:p>
        </w:tc>
        <w:tc>
          <w:tcPr>
            <w:tcW w:w="327" w:type="pct"/>
            <w:tcBorders>
              <w:top w:val="nil"/>
              <w:left w:val="nil"/>
              <w:bottom w:val="nil"/>
              <w:right w:val="nil"/>
            </w:tcBorders>
            <w:noWrap/>
            <w:vAlign w:val="bottom"/>
            <w:hideMark/>
          </w:tcPr>
          <w:p w14:paraId="6571DEC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0.549</w:t>
            </w:r>
          </w:p>
        </w:tc>
        <w:tc>
          <w:tcPr>
            <w:tcW w:w="327" w:type="pct"/>
            <w:tcBorders>
              <w:top w:val="nil"/>
              <w:left w:val="nil"/>
              <w:bottom w:val="nil"/>
              <w:right w:val="nil"/>
            </w:tcBorders>
            <w:noWrap/>
            <w:vAlign w:val="bottom"/>
            <w:hideMark/>
          </w:tcPr>
          <w:p w14:paraId="5C7BB3B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0.476</w:t>
            </w:r>
          </w:p>
        </w:tc>
        <w:tc>
          <w:tcPr>
            <w:tcW w:w="297" w:type="pct"/>
            <w:tcBorders>
              <w:top w:val="nil"/>
              <w:left w:val="nil"/>
              <w:bottom w:val="nil"/>
              <w:right w:val="nil"/>
            </w:tcBorders>
            <w:noWrap/>
            <w:vAlign w:val="bottom"/>
            <w:hideMark/>
          </w:tcPr>
          <w:p w14:paraId="10AB056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-0.073</w:t>
            </w:r>
          </w:p>
        </w:tc>
      </w:tr>
      <w:tr w:rsidR="004D5D50" w:rsidRPr="00FE273A" w14:paraId="3B2D9D4F" w14:textId="77777777" w:rsidTr="004A2E8B">
        <w:trPr>
          <w:trHeight w:val="300"/>
        </w:trPr>
        <w:tc>
          <w:tcPr>
            <w:tcW w:w="491" w:type="pct"/>
            <w:tcBorders>
              <w:top w:val="nil"/>
              <w:left w:val="nil"/>
              <w:bottom w:val="nil"/>
              <w:right w:val="nil"/>
            </w:tcBorders>
            <w:noWrap/>
            <w:vAlign w:val="bottom"/>
            <w:hideMark/>
          </w:tcPr>
          <w:p w14:paraId="529D199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5" w:type="pct"/>
            <w:tcBorders>
              <w:top w:val="nil"/>
              <w:left w:val="nil"/>
              <w:bottom w:val="nil"/>
              <w:right w:val="nil"/>
            </w:tcBorders>
            <w:noWrap/>
            <w:vAlign w:val="bottom"/>
            <w:hideMark/>
          </w:tcPr>
          <w:p w14:paraId="6FEC9065"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bottom w:val="nil"/>
              <w:right w:val="nil"/>
            </w:tcBorders>
            <w:noWrap/>
            <w:vAlign w:val="bottom"/>
            <w:hideMark/>
          </w:tcPr>
          <w:p w14:paraId="616C764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52" w:type="pct"/>
            <w:tcBorders>
              <w:top w:val="nil"/>
              <w:left w:val="nil"/>
              <w:bottom w:val="nil"/>
              <w:right w:val="nil"/>
            </w:tcBorders>
            <w:noWrap/>
            <w:vAlign w:val="bottom"/>
            <w:hideMark/>
          </w:tcPr>
          <w:p w14:paraId="1901E70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790970C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1" w:type="pct"/>
            <w:tcBorders>
              <w:top w:val="nil"/>
              <w:left w:val="nil"/>
              <w:bottom w:val="nil"/>
              <w:right w:val="nil"/>
            </w:tcBorders>
            <w:noWrap/>
            <w:vAlign w:val="bottom"/>
            <w:hideMark/>
          </w:tcPr>
          <w:p w14:paraId="7A377B3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0.050</w:t>
            </w:r>
            <w:r>
              <w:rPr>
                <w:rFonts w:ascii="Times New Roman" w:eastAsia="Times New Roman" w:hAnsi="Times New Roman" w:cs="Times New Roman"/>
                <w:color w:val="000000"/>
                <w:sz w:val="20"/>
                <w:szCs w:val="20"/>
                <w:lang w:eastAsia="en-GB"/>
              </w:rPr>
              <w:t>)</w:t>
            </w:r>
          </w:p>
        </w:tc>
        <w:tc>
          <w:tcPr>
            <w:tcW w:w="138" w:type="pct"/>
            <w:tcBorders>
              <w:top w:val="nil"/>
              <w:left w:val="nil"/>
              <w:bottom w:val="nil"/>
              <w:right w:val="nil"/>
            </w:tcBorders>
            <w:noWrap/>
            <w:vAlign w:val="bottom"/>
            <w:hideMark/>
          </w:tcPr>
          <w:p w14:paraId="3D7E1A5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29C521B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0AAC615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121E64D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330ECAE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0.226</w:t>
            </w:r>
            <w:r>
              <w:rPr>
                <w:rFonts w:ascii="Times New Roman" w:eastAsia="Times New Roman" w:hAnsi="Times New Roman" w:cs="Times New Roman"/>
                <w:color w:val="000000"/>
                <w:sz w:val="20"/>
                <w:szCs w:val="20"/>
                <w:lang w:eastAsia="en-GB"/>
              </w:rPr>
              <w:t>)</w:t>
            </w:r>
          </w:p>
        </w:tc>
        <w:tc>
          <w:tcPr>
            <w:tcW w:w="119" w:type="pct"/>
            <w:tcBorders>
              <w:top w:val="nil"/>
              <w:left w:val="nil"/>
              <w:bottom w:val="nil"/>
              <w:right w:val="nil"/>
            </w:tcBorders>
            <w:noWrap/>
            <w:vAlign w:val="bottom"/>
            <w:hideMark/>
          </w:tcPr>
          <w:p w14:paraId="598B722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55A7721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13D115C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573E48D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97" w:type="pct"/>
            <w:tcBorders>
              <w:top w:val="nil"/>
              <w:left w:val="nil"/>
              <w:bottom w:val="nil"/>
              <w:right w:val="nil"/>
            </w:tcBorders>
            <w:noWrap/>
            <w:vAlign w:val="bottom"/>
            <w:hideMark/>
          </w:tcPr>
          <w:p w14:paraId="0B7C509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E273A" w14:paraId="76E1D22E" w14:textId="77777777" w:rsidTr="004A2E8B">
        <w:trPr>
          <w:trHeight w:val="300"/>
        </w:trPr>
        <w:tc>
          <w:tcPr>
            <w:tcW w:w="491" w:type="pct"/>
            <w:tcBorders>
              <w:top w:val="nil"/>
              <w:left w:val="nil"/>
              <w:bottom w:val="nil"/>
              <w:right w:val="nil"/>
            </w:tcBorders>
            <w:noWrap/>
            <w:vAlign w:val="bottom"/>
          </w:tcPr>
          <w:p w14:paraId="5FF8A65B" w14:textId="77777777" w:rsidR="004D5D50" w:rsidRPr="00FE273A" w:rsidRDefault="004D5D50" w:rsidP="004A2E8B">
            <w:pPr>
              <w:spacing w:after="0" w:line="240" w:lineRule="auto"/>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i/>
                <w:iCs/>
                <w:color w:val="000000"/>
                <w:sz w:val="20"/>
                <w:szCs w:val="20"/>
                <w:lang w:eastAsia="en-CA"/>
              </w:rPr>
              <w:t>|earn|×I</w:t>
            </w:r>
            <w:r w:rsidRPr="00FE273A">
              <w:rPr>
                <w:rFonts w:ascii="Times New Roman" w:eastAsia="Times New Roman" w:hAnsi="Times New Roman" w:cs="Times New Roman"/>
                <w:i/>
                <w:iCs/>
                <w:color w:val="000000"/>
                <w:sz w:val="20"/>
                <w:szCs w:val="20"/>
                <w:vertAlign w:val="subscript"/>
                <w:lang w:eastAsia="en-CA"/>
              </w:rPr>
              <w:t>EARN&lt;0</w:t>
            </w:r>
          </w:p>
        </w:tc>
        <w:tc>
          <w:tcPr>
            <w:tcW w:w="325" w:type="pct"/>
            <w:tcBorders>
              <w:top w:val="nil"/>
              <w:left w:val="nil"/>
              <w:bottom w:val="nil"/>
              <w:right w:val="nil"/>
            </w:tcBorders>
            <w:noWrap/>
            <w:vAlign w:val="bottom"/>
          </w:tcPr>
          <w:p w14:paraId="6112D5E9"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bottom w:val="nil"/>
              <w:right w:val="nil"/>
            </w:tcBorders>
            <w:noWrap/>
            <w:vAlign w:val="bottom"/>
          </w:tcPr>
          <w:p w14:paraId="2AA5383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6462D">
              <w:rPr>
                <w:rFonts w:ascii="Times New Roman" w:eastAsia="Times New Roman" w:hAnsi="Times New Roman" w:cs="Times New Roman"/>
                <w:color w:val="000000"/>
                <w:sz w:val="20"/>
                <w:szCs w:val="20"/>
                <w:lang w:eastAsia="en-GB"/>
              </w:rPr>
              <w:t>-0.217</w:t>
            </w:r>
          </w:p>
        </w:tc>
        <w:tc>
          <w:tcPr>
            <w:tcW w:w="352" w:type="pct"/>
            <w:tcBorders>
              <w:top w:val="nil"/>
              <w:left w:val="nil"/>
              <w:bottom w:val="nil"/>
              <w:right w:val="nil"/>
            </w:tcBorders>
            <w:noWrap/>
            <w:vAlign w:val="bottom"/>
          </w:tcPr>
          <w:p w14:paraId="1F6A776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6462D">
              <w:rPr>
                <w:rFonts w:ascii="Times New Roman" w:eastAsia="Times New Roman" w:hAnsi="Times New Roman" w:cs="Times New Roman"/>
                <w:color w:val="000000"/>
                <w:sz w:val="20"/>
                <w:szCs w:val="20"/>
                <w:lang w:eastAsia="en-GB"/>
              </w:rPr>
              <w:t>-0.227</w:t>
            </w:r>
          </w:p>
        </w:tc>
        <w:tc>
          <w:tcPr>
            <w:tcW w:w="314" w:type="pct"/>
            <w:tcBorders>
              <w:top w:val="nil"/>
              <w:left w:val="nil"/>
              <w:bottom w:val="nil"/>
              <w:right w:val="nil"/>
            </w:tcBorders>
            <w:noWrap/>
            <w:vAlign w:val="bottom"/>
          </w:tcPr>
          <w:p w14:paraId="5272EFE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6462D">
              <w:rPr>
                <w:rFonts w:ascii="Times New Roman" w:eastAsia="Times New Roman" w:hAnsi="Times New Roman" w:cs="Times New Roman"/>
                <w:color w:val="000000"/>
                <w:sz w:val="20"/>
                <w:szCs w:val="20"/>
                <w:lang w:eastAsia="en-GB"/>
              </w:rPr>
              <w:t>-0.152</w:t>
            </w:r>
          </w:p>
        </w:tc>
        <w:tc>
          <w:tcPr>
            <w:tcW w:w="321" w:type="pct"/>
            <w:tcBorders>
              <w:top w:val="nil"/>
              <w:left w:val="nil"/>
              <w:bottom w:val="nil"/>
              <w:right w:val="nil"/>
            </w:tcBorders>
            <w:noWrap/>
            <w:vAlign w:val="bottom"/>
          </w:tcPr>
          <w:p w14:paraId="1E6A29B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6462D">
              <w:rPr>
                <w:rFonts w:ascii="Times New Roman" w:eastAsia="Times New Roman" w:hAnsi="Times New Roman" w:cs="Times New Roman"/>
                <w:color w:val="000000"/>
                <w:sz w:val="20"/>
                <w:szCs w:val="20"/>
                <w:lang w:eastAsia="en-GB"/>
              </w:rPr>
              <w:t>0.074</w:t>
            </w:r>
          </w:p>
        </w:tc>
        <w:tc>
          <w:tcPr>
            <w:tcW w:w="138" w:type="pct"/>
            <w:tcBorders>
              <w:top w:val="nil"/>
              <w:left w:val="nil"/>
              <w:bottom w:val="nil"/>
              <w:right w:val="nil"/>
            </w:tcBorders>
            <w:noWrap/>
            <w:vAlign w:val="bottom"/>
          </w:tcPr>
          <w:p w14:paraId="69CF1F2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tcPr>
          <w:p w14:paraId="49EC0F6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2000E">
              <w:rPr>
                <w:rFonts w:ascii="Times New Roman" w:eastAsia="Times New Roman" w:hAnsi="Times New Roman" w:cs="Times New Roman"/>
                <w:color w:val="000000"/>
                <w:sz w:val="20"/>
                <w:szCs w:val="20"/>
                <w:lang w:eastAsia="en-GB"/>
              </w:rPr>
              <w:t>-0.047</w:t>
            </w:r>
          </w:p>
        </w:tc>
        <w:tc>
          <w:tcPr>
            <w:tcW w:w="332" w:type="pct"/>
            <w:tcBorders>
              <w:top w:val="nil"/>
              <w:left w:val="nil"/>
              <w:bottom w:val="nil"/>
              <w:right w:val="nil"/>
            </w:tcBorders>
            <w:noWrap/>
            <w:vAlign w:val="bottom"/>
          </w:tcPr>
          <w:p w14:paraId="001817F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2000E">
              <w:rPr>
                <w:rFonts w:ascii="Times New Roman" w:eastAsia="Times New Roman" w:hAnsi="Times New Roman" w:cs="Times New Roman"/>
                <w:color w:val="000000"/>
                <w:sz w:val="20"/>
                <w:szCs w:val="20"/>
                <w:lang w:eastAsia="en-GB"/>
              </w:rPr>
              <w:t>-0.113</w:t>
            </w:r>
          </w:p>
        </w:tc>
        <w:tc>
          <w:tcPr>
            <w:tcW w:w="332" w:type="pct"/>
            <w:tcBorders>
              <w:top w:val="nil"/>
              <w:left w:val="nil"/>
              <w:bottom w:val="nil"/>
              <w:right w:val="nil"/>
            </w:tcBorders>
            <w:noWrap/>
            <w:vAlign w:val="bottom"/>
          </w:tcPr>
          <w:p w14:paraId="375C635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2000E">
              <w:rPr>
                <w:rFonts w:ascii="Times New Roman" w:eastAsia="Times New Roman" w:hAnsi="Times New Roman" w:cs="Times New Roman"/>
                <w:color w:val="000000"/>
                <w:sz w:val="20"/>
                <w:szCs w:val="20"/>
                <w:lang w:eastAsia="en-GB"/>
              </w:rPr>
              <w:t>0.002</w:t>
            </w:r>
          </w:p>
        </w:tc>
        <w:tc>
          <w:tcPr>
            <w:tcW w:w="314" w:type="pct"/>
            <w:tcBorders>
              <w:top w:val="nil"/>
              <w:left w:val="nil"/>
              <w:bottom w:val="nil"/>
              <w:right w:val="nil"/>
            </w:tcBorders>
            <w:noWrap/>
            <w:vAlign w:val="bottom"/>
          </w:tcPr>
          <w:p w14:paraId="6E5C60D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2000E">
              <w:rPr>
                <w:rFonts w:ascii="Times New Roman" w:eastAsia="Times New Roman" w:hAnsi="Times New Roman" w:cs="Times New Roman"/>
                <w:color w:val="000000"/>
                <w:sz w:val="20"/>
                <w:szCs w:val="20"/>
                <w:lang w:eastAsia="en-GB"/>
              </w:rPr>
              <w:t>0.115</w:t>
            </w:r>
          </w:p>
        </w:tc>
        <w:tc>
          <w:tcPr>
            <w:tcW w:w="119" w:type="pct"/>
            <w:tcBorders>
              <w:top w:val="nil"/>
              <w:left w:val="nil"/>
              <w:bottom w:val="nil"/>
              <w:right w:val="nil"/>
            </w:tcBorders>
            <w:noWrap/>
            <w:vAlign w:val="bottom"/>
          </w:tcPr>
          <w:p w14:paraId="68FCFEB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tcPr>
          <w:p w14:paraId="4CC472D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A1D29">
              <w:rPr>
                <w:rFonts w:ascii="Times New Roman" w:eastAsia="Times New Roman" w:hAnsi="Times New Roman" w:cs="Times New Roman"/>
                <w:color w:val="000000"/>
                <w:sz w:val="20"/>
                <w:szCs w:val="20"/>
                <w:lang w:eastAsia="en-GB"/>
              </w:rPr>
              <w:t>-0.317</w:t>
            </w:r>
          </w:p>
        </w:tc>
        <w:tc>
          <w:tcPr>
            <w:tcW w:w="327" w:type="pct"/>
            <w:tcBorders>
              <w:top w:val="nil"/>
              <w:left w:val="nil"/>
              <w:bottom w:val="nil"/>
              <w:right w:val="nil"/>
            </w:tcBorders>
            <w:noWrap/>
            <w:vAlign w:val="bottom"/>
          </w:tcPr>
          <w:p w14:paraId="2776A36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A1D29">
              <w:rPr>
                <w:rFonts w:ascii="Times New Roman" w:eastAsia="Times New Roman" w:hAnsi="Times New Roman" w:cs="Times New Roman"/>
                <w:color w:val="000000"/>
                <w:sz w:val="20"/>
                <w:szCs w:val="20"/>
                <w:lang w:eastAsia="en-GB"/>
              </w:rPr>
              <w:t>-0.412</w:t>
            </w:r>
          </w:p>
        </w:tc>
        <w:tc>
          <w:tcPr>
            <w:tcW w:w="327" w:type="pct"/>
            <w:tcBorders>
              <w:top w:val="nil"/>
              <w:left w:val="nil"/>
              <w:bottom w:val="nil"/>
              <w:right w:val="nil"/>
            </w:tcBorders>
            <w:noWrap/>
            <w:vAlign w:val="bottom"/>
          </w:tcPr>
          <w:p w14:paraId="0D68A06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A1D29">
              <w:rPr>
                <w:rFonts w:ascii="Times New Roman" w:eastAsia="Times New Roman" w:hAnsi="Times New Roman" w:cs="Times New Roman"/>
                <w:color w:val="000000"/>
                <w:sz w:val="20"/>
                <w:szCs w:val="20"/>
                <w:lang w:eastAsia="en-GB"/>
              </w:rPr>
              <w:t>-0.282</w:t>
            </w:r>
          </w:p>
        </w:tc>
        <w:tc>
          <w:tcPr>
            <w:tcW w:w="297" w:type="pct"/>
            <w:tcBorders>
              <w:top w:val="nil"/>
              <w:left w:val="nil"/>
              <w:bottom w:val="nil"/>
              <w:right w:val="nil"/>
            </w:tcBorders>
            <w:noWrap/>
            <w:vAlign w:val="bottom"/>
          </w:tcPr>
          <w:p w14:paraId="01DF844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EA1D29">
              <w:rPr>
                <w:rFonts w:ascii="Times New Roman" w:eastAsia="Times New Roman" w:hAnsi="Times New Roman" w:cs="Times New Roman"/>
                <w:color w:val="000000"/>
                <w:sz w:val="20"/>
                <w:szCs w:val="20"/>
                <w:lang w:eastAsia="en-GB"/>
              </w:rPr>
              <w:t>0.130</w:t>
            </w:r>
          </w:p>
        </w:tc>
      </w:tr>
      <w:tr w:rsidR="004D5D50" w:rsidRPr="00FE273A" w14:paraId="5CEFCB77" w14:textId="77777777" w:rsidTr="004A2E8B">
        <w:trPr>
          <w:trHeight w:val="300"/>
        </w:trPr>
        <w:tc>
          <w:tcPr>
            <w:tcW w:w="491" w:type="pct"/>
            <w:tcBorders>
              <w:top w:val="nil"/>
              <w:left w:val="nil"/>
              <w:bottom w:val="nil"/>
              <w:right w:val="nil"/>
            </w:tcBorders>
            <w:noWrap/>
            <w:vAlign w:val="bottom"/>
            <w:hideMark/>
          </w:tcPr>
          <w:p w14:paraId="504938B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5" w:type="pct"/>
            <w:tcBorders>
              <w:top w:val="nil"/>
              <w:left w:val="nil"/>
              <w:bottom w:val="nil"/>
              <w:right w:val="nil"/>
            </w:tcBorders>
            <w:noWrap/>
            <w:vAlign w:val="bottom"/>
            <w:hideMark/>
          </w:tcPr>
          <w:p w14:paraId="24123ED1"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bottom w:val="nil"/>
              <w:right w:val="nil"/>
            </w:tcBorders>
            <w:noWrap/>
            <w:vAlign w:val="bottom"/>
            <w:hideMark/>
          </w:tcPr>
          <w:p w14:paraId="6B00AC7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352" w:type="pct"/>
            <w:tcBorders>
              <w:top w:val="nil"/>
              <w:left w:val="nil"/>
              <w:bottom w:val="nil"/>
              <w:right w:val="nil"/>
            </w:tcBorders>
            <w:noWrap/>
            <w:vAlign w:val="bottom"/>
            <w:hideMark/>
          </w:tcPr>
          <w:p w14:paraId="13E4670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0.021</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3C52759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0.005</w:t>
            </w:r>
            <w:r>
              <w:rPr>
                <w:rFonts w:ascii="Times New Roman" w:eastAsia="Times New Roman" w:hAnsi="Times New Roman" w:cs="Times New Roman"/>
                <w:color w:val="000000"/>
                <w:sz w:val="20"/>
                <w:szCs w:val="20"/>
                <w:lang w:eastAsia="en-GB"/>
              </w:rPr>
              <w:t>)</w:t>
            </w:r>
          </w:p>
        </w:tc>
        <w:tc>
          <w:tcPr>
            <w:tcW w:w="321" w:type="pct"/>
            <w:tcBorders>
              <w:top w:val="nil"/>
              <w:left w:val="nil"/>
              <w:bottom w:val="nil"/>
              <w:right w:val="nil"/>
            </w:tcBorders>
            <w:noWrap/>
            <w:vAlign w:val="bottom"/>
            <w:hideMark/>
          </w:tcPr>
          <w:p w14:paraId="427675E7"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0.280</w:t>
            </w:r>
            <w:r>
              <w:rPr>
                <w:rFonts w:ascii="Times New Roman" w:eastAsia="Times New Roman" w:hAnsi="Times New Roman" w:cs="Times New Roman"/>
                <w:color w:val="000000"/>
                <w:sz w:val="20"/>
                <w:szCs w:val="20"/>
                <w:lang w:eastAsia="en-GB"/>
              </w:rPr>
              <w:t>)</w:t>
            </w:r>
          </w:p>
        </w:tc>
        <w:tc>
          <w:tcPr>
            <w:tcW w:w="138" w:type="pct"/>
            <w:tcBorders>
              <w:top w:val="nil"/>
              <w:left w:val="nil"/>
              <w:bottom w:val="nil"/>
              <w:right w:val="nil"/>
            </w:tcBorders>
            <w:noWrap/>
            <w:vAlign w:val="bottom"/>
            <w:hideMark/>
          </w:tcPr>
          <w:p w14:paraId="5595FA6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75B4394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0.175</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1E0730C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0.005</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14E78BE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0.977</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11EFD51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0.162</w:t>
            </w:r>
            <w:r>
              <w:rPr>
                <w:rFonts w:ascii="Times New Roman" w:eastAsia="Times New Roman" w:hAnsi="Times New Roman" w:cs="Times New Roman"/>
                <w:color w:val="000000"/>
                <w:sz w:val="20"/>
                <w:szCs w:val="20"/>
                <w:lang w:eastAsia="en-GB"/>
              </w:rPr>
              <w:t>)</w:t>
            </w:r>
          </w:p>
        </w:tc>
        <w:tc>
          <w:tcPr>
            <w:tcW w:w="119" w:type="pct"/>
            <w:tcBorders>
              <w:top w:val="nil"/>
              <w:left w:val="nil"/>
              <w:bottom w:val="nil"/>
              <w:right w:val="nil"/>
            </w:tcBorders>
            <w:noWrap/>
            <w:vAlign w:val="bottom"/>
            <w:hideMark/>
          </w:tcPr>
          <w:p w14:paraId="38CDE27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4D74C6C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13FB270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2513E8E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97" w:type="pct"/>
            <w:tcBorders>
              <w:top w:val="nil"/>
              <w:left w:val="nil"/>
              <w:bottom w:val="nil"/>
              <w:right w:val="nil"/>
            </w:tcBorders>
            <w:noWrap/>
            <w:vAlign w:val="bottom"/>
            <w:hideMark/>
          </w:tcPr>
          <w:p w14:paraId="07DA4E0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E273A" w14:paraId="7A1ACC3C" w14:textId="77777777" w:rsidTr="004A2E8B">
        <w:trPr>
          <w:trHeight w:val="300"/>
        </w:trPr>
        <w:tc>
          <w:tcPr>
            <w:tcW w:w="491" w:type="pct"/>
            <w:tcBorders>
              <w:top w:val="nil"/>
              <w:left w:val="nil"/>
              <w:bottom w:val="nil"/>
              <w:right w:val="nil"/>
            </w:tcBorders>
            <w:noWrap/>
            <w:vAlign w:val="bottom"/>
            <w:hideMark/>
          </w:tcPr>
          <w:p w14:paraId="765D702A" w14:textId="77777777" w:rsidR="004D5D50" w:rsidRPr="00FE273A" w:rsidRDefault="004D5D50" w:rsidP="004A2E8B">
            <w:pPr>
              <w:spacing w:after="0" w:line="240" w:lineRule="auto"/>
              <w:rPr>
                <w:rFonts w:ascii="Times New Roman" w:eastAsia="Times New Roman" w:hAnsi="Times New Roman" w:cs="Times New Roman"/>
                <w:i/>
                <w:iCs/>
                <w:color w:val="000000"/>
                <w:sz w:val="20"/>
                <w:szCs w:val="20"/>
                <w:lang w:eastAsia="en-CA"/>
              </w:rPr>
            </w:pPr>
            <w:r w:rsidRPr="00FE273A">
              <w:rPr>
                <w:rFonts w:ascii="Times New Roman" w:eastAsia="Times New Roman" w:hAnsi="Times New Roman" w:cs="Times New Roman"/>
                <w:i/>
                <w:iCs/>
                <w:color w:val="000000"/>
                <w:sz w:val="20"/>
                <w:szCs w:val="20"/>
                <w:lang w:eastAsia="en-CA"/>
              </w:rPr>
              <w:t>LEV</w:t>
            </w:r>
          </w:p>
        </w:tc>
        <w:tc>
          <w:tcPr>
            <w:tcW w:w="325" w:type="pct"/>
            <w:tcBorders>
              <w:top w:val="nil"/>
              <w:left w:val="nil"/>
              <w:bottom w:val="nil"/>
              <w:right w:val="nil"/>
            </w:tcBorders>
            <w:noWrap/>
            <w:vAlign w:val="bottom"/>
            <w:hideMark/>
          </w:tcPr>
          <w:p w14:paraId="79A4F696" w14:textId="77777777" w:rsidR="004D5D50" w:rsidRPr="00FE273A"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352" w:type="pct"/>
            <w:tcBorders>
              <w:top w:val="nil"/>
              <w:left w:val="nil"/>
              <w:bottom w:val="nil"/>
              <w:right w:val="nil"/>
            </w:tcBorders>
            <w:noWrap/>
            <w:vAlign w:val="bottom"/>
            <w:hideMark/>
          </w:tcPr>
          <w:p w14:paraId="4894D81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0.004</w:t>
            </w:r>
          </w:p>
        </w:tc>
        <w:tc>
          <w:tcPr>
            <w:tcW w:w="352" w:type="pct"/>
            <w:tcBorders>
              <w:top w:val="nil"/>
              <w:left w:val="nil"/>
              <w:bottom w:val="nil"/>
              <w:right w:val="nil"/>
            </w:tcBorders>
            <w:noWrap/>
            <w:vAlign w:val="bottom"/>
            <w:hideMark/>
          </w:tcPr>
          <w:p w14:paraId="1132F77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-0.216</w:t>
            </w:r>
          </w:p>
        </w:tc>
        <w:tc>
          <w:tcPr>
            <w:tcW w:w="314" w:type="pct"/>
            <w:tcBorders>
              <w:top w:val="nil"/>
              <w:left w:val="nil"/>
              <w:bottom w:val="nil"/>
              <w:right w:val="nil"/>
            </w:tcBorders>
            <w:noWrap/>
            <w:vAlign w:val="bottom"/>
            <w:hideMark/>
          </w:tcPr>
          <w:p w14:paraId="6B4BAB6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-0.100</w:t>
            </w:r>
          </w:p>
        </w:tc>
        <w:tc>
          <w:tcPr>
            <w:tcW w:w="321" w:type="pct"/>
            <w:tcBorders>
              <w:top w:val="nil"/>
              <w:left w:val="nil"/>
              <w:bottom w:val="nil"/>
              <w:right w:val="nil"/>
            </w:tcBorders>
            <w:noWrap/>
            <w:vAlign w:val="bottom"/>
            <w:hideMark/>
          </w:tcPr>
          <w:p w14:paraId="50FA6F5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0.117</w:t>
            </w:r>
          </w:p>
        </w:tc>
        <w:tc>
          <w:tcPr>
            <w:tcW w:w="138" w:type="pct"/>
            <w:tcBorders>
              <w:top w:val="nil"/>
              <w:left w:val="nil"/>
              <w:bottom w:val="nil"/>
              <w:right w:val="nil"/>
            </w:tcBorders>
            <w:noWrap/>
            <w:vAlign w:val="bottom"/>
            <w:hideMark/>
          </w:tcPr>
          <w:p w14:paraId="328E6B5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1CB8E9C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0.234</w:t>
            </w:r>
          </w:p>
        </w:tc>
        <w:tc>
          <w:tcPr>
            <w:tcW w:w="332" w:type="pct"/>
            <w:tcBorders>
              <w:top w:val="nil"/>
              <w:left w:val="nil"/>
              <w:bottom w:val="nil"/>
              <w:right w:val="nil"/>
            </w:tcBorders>
            <w:noWrap/>
            <w:vAlign w:val="bottom"/>
            <w:hideMark/>
          </w:tcPr>
          <w:p w14:paraId="7CED7D3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0.001</w:t>
            </w:r>
          </w:p>
        </w:tc>
        <w:tc>
          <w:tcPr>
            <w:tcW w:w="332" w:type="pct"/>
            <w:tcBorders>
              <w:top w:val="nil"/>
              <w:left w:val="nil"/>
              <w:bottom w:val="nil"/>
              <w:right w:val="nil"/>
            </w:tcBorders>
            <w:noWrap/>
            <w:vAlign w:val="bottom"/>
            <w:hideMark/>
          </w:tcPr>
          <w:p w14:paraId="3DE88AF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0.270</w:t>
            </w:r>
          </w:p>
        </w:tc>
        <w:tc>
          <w:tcPr>
            <w:tcW w:w="314" w:type="pct"/>
            <w:tcBorders>
              <w:top w:val="nil"/>
              <w:left w:val="nil"/>
              <w:bottom w:val="nil"/>
              <w:right w:val="nil"/>
            </w:tcBorders>
            <w:noWrap/>
            <w:vAlign w:val="bottom"/>
            <w:hideMark/>
          </w:tcPr>
          <w:p w14:paraId="1D28926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0.269</w:t>
            </w:r>
          </w:p>
        </w:tc>
        <w:tc>
          <w:tcPr>
            <w:tcW w:w="119" w:type="pct"/>
            <w:tcBorders>
              <w:top w:val="nil"/>
              <w:left w:val="nil"/>
              <w:bottom w:val="nil"/>
              <w:right w:val="nil"/>
            </w:tcBorders>
            <w:noWrap/>
            <w:vAlign w:val="bottom"/>
            <w:hideMark/>
          </w:tcPr>
          <w:p w14:paraId="3886583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14F3BA3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-0.324</w:t>
            </w:r>
          </w:p>
        </w:tc>
        <w:tc>
          <w:tcPr>
            <w:tcW w:w="327" w:type="pct"/>
            <w:tcBorders>
              <w:top w:val="nil"/>
              <w:left w:val="nil"/>
              <w:bottom w:val="nil"/>
              <w:right w:val="nil"/>
            </w:tcBorders>
            <w:noWrap/>
            <w:vAlign w:val="bottom"/>
            <w:hideMark/>
          </w:tcPr>
          <w:p w14:paraId="653B56D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-0.334</w:t>
            </w:r>
          </w:p>
        </w:tc>
        <w:tc>
          <w:tcPr>
            <w:tcW w:w="327" w:type="pct"/>
            <w:tcBorders>
              <w:top w:val="nil"/>
              <w:left w:val="nil"/>
              <w:bottom w:val="nil"/>
              <w:right w:val="nil"/>
            </w:tcBorders>
            <w:noWrap/>
            <w:vAlign w:val="bottom"/>
            <w:hideMark/>
          </w:tcPr>
          <w:p w14:paraId="30809E2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-0.389</w:t>
            </w:r>
          </w:p>
        </w:tc>
        <w:tc>
          <w:tcPr>
            <w:tcW w:w="297" w:type="pct"/>
            <w:tcBorders>
              <w:top w:val="nil"/>
              <w:left w:val="nil"/>
              <w:bottom w:val="nil"/>
              <w:right w:val="nil"/>
            </w:tcBorders>
            <w:noWrap/>
            <w:vAlign w:val="bottom"/>
            <w:hideMark/>
          </w:tcPr>
          <w:p w14:paraId="513F07C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-0.055</w:t>
            </w:r>
          </w:p>
        </w:tc>
      </w:tr>
      <w:tr w:rsidR="004D5D50" w:rsidRPr="00FE273A" w14:paraId="362B81E7" w14:textId="77777777" w:rsidTr="004A2E8B">
        <w:trPr>
          <w:trHeight w:val="300"/>
        </w:trPr>
        <w:tc>
          <w:tcPr>
            <w:tcW w:w="491" w:type="pct"/>
            <w:tcBorders>
              <w:top w:val="nil"/>
              <w:left w:val="nil"/>
              <w:bottom w:val="nil"/>
              <w:right w:val="nil"/>
            </w:tcBorders>
            <w:noWrap/>
            <w:vAlign w:val="bottom"/>
            <w:hideMark/>
          </w:tcPr>
          <w:p w14:paraId="711A23A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5" w:type="pct"/>
            <w:tcBorders>
              <w:top w:val="nil"/>
              <w:left w:val="nil"/>
              <w:bottom w:val="nil"/>
              <w:right w:val="nil"/>
            </w:tcBorders>
            <w:noWrap/>
            <w:vAlign w:val="bottom"/>
            <w:hideMark/>
          </w:tcPr>
          <w:p w14:paraId="12D712FE"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bottom w:val="nil"/>
              <w:right w:val="nil"/>
            </w:tcBorders>
            <w:noWrap/>
            <w:vAlign w:val="bottom"/>
            <w:hideMark/>
          </w:tcPr>
          <w:p w14:paraId="600052D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0.985</w:t>
            </w:r>
            <w:r>
              <w:rPr>
                <w:rFonts w:ascii="Times New Roman" w:eastAsia="Times New Roman" w:hAnsi="Times New Roman" w:cs="Times New Roman"/>
                <w:color w:val="000000"/>
                <w:sz w:val="20"/>
                <w:szCs w:val="20"/>
                <w:lang w:eastAsia="en-GB"/>
              </w:rPr>
              <w:t>)</w:t>
            </w:r>
          </w:p>
        </w:tc>
        <w:tc>
          <w:tcPr>
            <w:tcW w:w="352" w:type="pct"/>
            <w:tcBorders>
              <w:top w:val="nil"/>
              <w:left w:val="nil"/>
              <w:bottom w:val="nil"/>
              <w:right w:val="nil"/>
            </w:tcBorders>
            <w:noWrap/>
            <w:vAlign w:val="bottom"/>
            <w:hideMark/>
          </w:tcPr>
          <w:p w14:paraId="077707A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0.270</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7C6C793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0.677</w:t>
            </w:r>
            <w:r>
              <w:rPr>
                <w:rFonts w:ascii="Times New Roman" w:eastAsia="Times New Roman" w:hAnsi="Times New Roman" w:cs="Times New Roman"/>
                <w:color w:val="000000"/>
                <w:sz w:val="20"/>
                <w:szCs w:val="20"/>
                <w:lang w:eastAsia="en-GB"/>
              </w:rPr>
              <w:t>)</w:t>
            </w:r>
          </w:p>
        </w:tc>
        <w:tc>
          <w:tcPr>
            <w:tcW w:w="321" w:type="pct"/>
            <w:tcBorders>
              <w:top w:val="nil"/>
              <w:left w:val="nil"/>
              <w:bottom w:val="nil"/>
              <w:right w:val="nil"/>
            </w:tcBorders>
            <w:noWrap/>
            <w:vAlign w:val="bottom"/>
            <w:hideMark/>
          </w:tcPr>
          <w:p w14:paraId="68720E2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0.217</w:t>
            </w:r>
            <w:r>
              <w:rPr>
                <w:rFonts w:ascii="Times New Roman" w:eastAsia="Times New Roman" w:hAnsi="Times New Roman" w:cs="Times New Roman"/>
                <w:color w:val="000000"/>
                <w:sz w:val="20"/>
                <w:szCs w:val="20"/>
                <w:lang w:eastAsia="en-GB"/>
              </w:rPr>
              <w:t>)</w:t>
            </w:r>
          </w:p>
        </w:tc>
        <w:tc>
          <w:tcPr>
            <w:tcW w:w="138" w:type="pct"/>
            <w:tcBorders>
              <w:top w:val="nil"/>
              <w:left w:val="nil"/>
              <w:bottom w:val="nil"/>
              <w:right w:val="nil"/>
            </w:tcBorders>
            <w:noWrap/>
            <w:vAlign w:val="bottom"/>
            <w:hideMark/>
          </w:tcPr>
          <w:p w14:paraId="7A953D8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4A66B56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0.038</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6149AAA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0.991</w:t>
            </w:r>
            <w:r>
              <w:rPr>
                <w:rFonts w:ascii="Times New Roman" w:eastAsia="Times New Roman" w:hAnsi="Times New Roman" w:cs="Times New Roman"/>
                <w:color w:val="000000"/>
                <w:sz w:val="20"/>
                <w:szCs w:val="20"/>
                <w:lang w:eastAsia="en-GB"/>
              </w:rPr>
              <w:t>)</w:t>
            </w:r>
          </w:p>
        </w:tc>
        <w:tc>
          <w:tcPr>
            <w:tcW w:w="332" w:type="pct"/>
            <w:tcBorders>
              <w:top w:val="nil"/>
              <w:left w:val="nil"/>
              <w:bottom w:val="nil"/>
              <w:right w:val="nil"/>
            </w:tcBorders>
            <w:noWrap/>
            <w:vAlign w:val="bottom"/>
            <w:hideMark/>
          </w:tcPr>
          <w:p w14:paraId="62247CA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0.055</w:t>
            </w:r>
            <w:r>
              <w:rPr>
                <w:rFonts w:ascii="Times New Roman" w:eastAsia="Times New Roman" w:hAnsi="Times New Roman" w:cs="Times New Roman"/>
                <w:color w:val="000000"/>
                <w:sz w:val="20"/>
                <w:szCs w:val="20"/>
                <w:lang w:eastAsia="en-GB"/>
              </w:rPr>
              <w:t>)</w:t>
            </w:r>
          </w:p>
        </w:tc>
        <w:tc>
          <w:tcPr>
            <w:tcW w:w="314" w:type="pct"/>
            <w:tcBorders>
              <w:top w:val="nil"/>
              <w:left w:val="nil"/>
              <w:bottom w:val="nil"/>
              <w:right w:val="nil"/>
            </w:tcBorders>
            <w:noWrap/>
            <w:vAlign w:val="bottom"/>
            <w:hideMark/>
          </w:tcPr>
          <w:p w14:paraId="2CCF883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0.076</w:t>
            </w:r>
            <w:r>
              <w:rPr>
                <w:rFonts w:ascii="Times New Roman" w:eastAsia="Times New Roman" w:hAnsi="Times New Roman" w:cs="Times New Roman"/>
                <w:color w:val="000000"/>
                <w:sz w:val="20"/>
                <w:szCs w:val="20"/>
                <w:lang w:eastAsia="en-GB"/>
              </w:rPr>
              <w:t>)</w:t>
            </w:r>
          </w:p>
        </w:tc>
        <w:tc>
          <w:tcPr>
            <w:tcW w:w="119" w:type="pct"/>
            <w:tcBorders>
              <w:top w:val="nil"/>
              <w:left w:val="nil"/>
              <w:bottom w:val="nil"/>
              <w:right w:val="nil"/>
            </w:tcBorders>
            <w:noWrap/>
            <w:vAlign w:val="bottom"/>
            <w:hideMark/>
          </w:tcPr>
          <w:p w14:paraId="30A93C2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6775C1B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2B966F7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27" w:type="pct"/>
            <w:tcBorders>
              <w:top w:val="nil"/>
              <w:left w:val="nil"/>
              <w:bottom w:val="nil"/>
              <w:right w:val="nil"/>
            </w:tcBorders>
            <w:noWrap/>
            <w:vAlign w:val="bottom"/>
            <w:hideMark/>
          </w:tcPr>
          <w:p w14:paraId="453FE39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297" w:type="pct"/>
            <w:tcBorders>
              <w:top w:val="nil"/>
              <w:left w:val="nil"/>
              <w:bottom w:val="nil"/>
              <w:right w:val="nil"/>
            </w:tcBorders>
            <w:noWrap/>
            <w:vAlign w:val="bottom"/>
            <w:hideMark/>
          </w:tcPr>
          <w:p w14:paraId="3F0B78F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0.314</w:t>
            </w:r>
            <w:r>
              <w:rPr>
                <w:rFonts w:ascii="Times New Roman" w:eastAsia="Times New Roman" w:hAnsi="Times New Roman" w:cs="Times New Roman"/>
                <w:color w:val="000000"/>
                <w:sz w:val="20"/>
                <w:szCs w:val="20"/>
                <w:lang w:eastAsia="en-GB"/>
              </w:rPr>
              <w:t>)</w:t>
            </w:r>
          </w:p>
        </w:tc>
      </w:tr>
      <w:tr w:rsidR="004D5D50" w:rsidRPr="00FE273A" w14:paraId="033066A5" w14:textId="77777777" w:rsidTr="004A2E8B">
        <w:trPr>
          <w:trHeight w:val="300"/>
        </w:trPr>
        <w:tc>
          <w:tcPr>
            <w:tcW w:w="491" w:type="pct"/>
            <w:tcBorders>
              <w:top w:val="nil"/>
              <w:left w:val="nil"/>
              <w:bottom w:val="nil"/>
              <w:right w:val="nil"/>
            </w:tcBorders>
            <w:noWrap/>
            <w:vAlign w:val="bottom"/>
            <w:hideMark/>
          </w:tcPr>
          <w:p w14:paraId="3E235847" w14:textId="77777777" w:rsidR="004D5D50" w:rsidRPr="00FE273A" w:rsidRDefault="004D5D50" w:rsidP="004A2E8B">
            <w:pPr>
              <w:spacing w:after="0" w:line="240" w:lineRule="auto"/>
              <w:rPr>
                <w:rFonts w:ascii="Times New Roman" w:eastAsia="Times New Roman" w:hAnsi="Times New Roman" w:cs="Times New Roman"/>
                <w:i/>
                <w:color w:val="000000"/>
                <w:sz w:val="20"/>
                <w:szCs w:val="20"/>
                <w:lang w:eastAsia="en-CA"/>
              </w:rPr>
            </w:pPr>
            <w:proofErr w:type="spellStart"/>
            <w:r w:rsidRPr="00FE273A">
              <w:rPr>
                <w:rFonts w:ascii="Times New Roman" w:eastAsia="Times New Roman" w:hAnsi="Times New Roman" w:cs="Times New Roman"/>
                <w:i/>
                <w:color w:val="000000"/>
                <w:sz w:val="20"/>
                <w:szCs w:val="20"/>
                <w:lang w:eastAsia="en-CA"/>
              </w:rPr>
              <w:t>rd</w:t>
            </w:r>
            <w:proofErr w:type="spellEnd"/>
          </w:p>
        </w:tc>
        <w:tc>
          <w:tcPr>
            <w:tcW w:w="325" w:type="pct"/>
            <w:tcBorders>
              <w:top w:val="nil"/>
              <w:left w:val="nil"/>
              <w:bottom w:val="nil"/>
              <w:right w:val="nil"/>
            </w:tcBorders>
            <w:noWrap/>
            <w:vAlign w:val="bottom"/>
            <w:hideMark/>
          </w:tcPr>
          <w:p w14:paraId="6CFE8211" w14:textId="77777777" w:rsidR="004D5D50" w:rsidRPr="00FE273A" w:rsidRDefault="004D5D50" w:rsidP="004A2E8B">
            <w:pPr>
              <w:spacing w:after="0" w:line="240" w:lineRule="auto"/>
              <w:rPr>
                <w:rFonts w:ascii="Times New Roman" w:eastAsia="Times New Roman" w:hAnsi="Times New Roman" w:cs="Times New Roman"/>
                <w:color w:val="000000"/>
                <w:sz w:val="20"/>
                <w:szCs w:val="20"/>
                <w:lang w:eastAsia="en-CA"/>
              </w:rPr>
            </w:pPr>
          </w:p>
        </w:tc>
        <w:tc>
          <w:tcPr>
            <w:tcW w:w="352" w:type="pct"/>
            <w:tcBorders>
              <w:top w:val="nil"/>
              <w:left w:val="nil"/>
              <w:bottom w:val="nil"/>
              <w:right w:val="nil"/>
            </w:tcBorders>
            <w:noWrap/>
            <w:vAlign w:val="bottom"/>
            <w:hideMark/>
          </w:tcPr>
          <w:p w14:paraId="7AD0C40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0.060</w:t>
            </w:r>
          </w:p>
        </w:tc>
        <w:tc>
          <w:tcPr>
            <w:tcW w:w="352" w:type="pct"/>
            <w:tcBorders>
              <w:top w:val="nil"/>
              <w:left w:val="nil"/>
              <w:bottom w:val="nil"/>
              <w:right w:val="nil"/>
            </w:tcBorders>
            <w:noWrap/>
            <w:vAlign w:val="bottom"/>
            <w:hideMark/>
          </w:tcPr>
          <w:p w14:paraId="35FE2CE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0.059</w:t>
            </w:r>
          </w:p>
        </w:tc>
        <w:tc>
          <w:tcPr>
            <w:tcW w:w="314" w:type="pct"/>
            <w:tcBorders>
              <w:top w:val="nil"/>
              <w:left w:val="nil"/>
              <w:bottom w:val="nil"/>
              <w:right w:val="nil"/>
            </w:tcBorders>
            <w:noWrap/>
            <w:vAlign w:val="bottom"/>
            <w:hideMark/>
          </w:tcPr>
          <w:p w14:paraId="730E197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0.042</w:t>
            </w:r>
          </w:p>
        </w:tc>
        <w:tc>
          <w:tcPr>
            <w:tcW w:w="321" w:type="pct"/>
            <w:tcBorders>
              <w:top w:val="nil"/>
              <w:left w:val="nil"/>
              <w:bottom w:val="nil"/>
              <w:right w:val="nil"/>
            </w:tcBorders>
            <w:noWrap/>
            <w:vAlign w:val="bottom"/>
            <w:hideMark/>
          </w:tcPr>
          <w:p w14:paraId="7EF50D1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-0.017</w:t>
            </w:r>
          </w:p>
        </w:tc>
        <w:tc>
          <w:tcPr>
            <w:tcW w:w="138" w:type="pct"/>
            <w:tcBorders>
              <w:top w:val="nil"/>
              <w:left w:val="nil"/>
              <w:bottom w:val="nil"/>
              <w:right w:val="nil"/>
            </w:tcBorders>
            <w:noWrap/>
            <w:vAlign w:val="bottom"/>
            <w:hideMark/>
          </w:tcPr>
          <w:p w14:paraId="1A03A07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nil"/>
              <w:right w:val="nil"/>
            </w:tcBorders>
            <w:noWrap/>
            <w:vAlign w:val="bottom"/>
            <w:hideMark/>
          </w:tcPr>
          <w:p w14:paraId="1830CEBA"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0.055</w:t>
            </w:r>
          </w:p>
        </w:tc>
        <w:tc>
          <w:tcPr>
            <w:tcW w:w="332" w:type="pct"/>
            <w:tcBorders>
              <w:top w:val="nil"/>
              <w:left w:val="nil"/>
              <w:bottom w:val="nil"/>
              <w:right w:val="nil"/>
            </w:tcBorders>
            <w:noWrap/>
            <w:vAlign w:val="bottom"/>
            <w:hideMark/>
          </w:tcPr>
          <w:p w14:paraId="23777DF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0.039</w:t>
            </w:r>
          </w:p>
        </w:tc>
        <w:tc>
          <w:tcPr>
            <w:tcW w:w="332" w:type="pct"/>
            <w:tcBorders>
              <w:top w:val="nil"/>
              <w:left w:val="nil"/>
              <w:bottom w:val="nil"/>
              <w:right w:val="nil"/>
            </w:tcBorders>
            <w:noWrap/>
            <w:vAlign w:val="bottom"/>
            <w:hideMark/>
          </w:tcPr>
          <w:p w14:paraId="3A27BEF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0.034</w:t>
            </w:r>
          </w:p>
        </w:tc>
        <w:tc>
          <w:tcPr>
            <w:tcW w:w="314" w:type="pct"/>
            <w:tcBorders>
              <w:top w:val="nil"/>
              <w:left w:val="nil"/>
              <w:bottom w:val="nil"/>
              <w:right w:val="nil"/>
            </w:tcBorders>
            <w:noWrap/>
            <w:vAlign w:val="bottom"/>
            <w:hideMark/>
          </w:tcPr>
          <w:p w14:paraId="21D54AC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-0.006</w:t>
            </w:r>
          </w:p>
        </w:tc>
        <w:tc>
          <w:tcPr>
            <w:tcW w:w="119" w:type="pct"/>
            <w:tcBorders>
              <w:top w:val="nil"/>
              <w:left w:val="nil"/>
              <w:bottom w:val="nil"/>
              <w:right w:val="nil"/>
            </w:tcBorders>
            <w:noWrap/>
            <w:vAlign w:val="bottom"/>
            <w:hideMark/>
          </w:tcPr>
          <w:p w14:paraId="0EA3116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nil"/>
              <w:right w:val="nil"/>
            </w:tcBorders>
            <w:noWrap/>
            <w:vAlign w:val="bottom"/>
            <w:hideMark/>
          </w:tcPr>
          <w:p w14:paraId="20DF9D7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0.060</w:t>
            </w:r>
          </w:p>
        </w:tc>
        <w:tc>
          <w:tcPr>
            <w:tcW w:w="327" w:type="pct"/>
            <w:tcBorders>
              <w:top w:val="nil"/>
              <w:left w:val="nil"/>
              <w:bottom w:val="nil"/>
              <w:right w:val="nil"/>
            </w:tcBorders>
            <w:noWrap/>
            <w:vAlign w:val="bottom"/>
            <w:hideMark/>
          </w:tcPr>
          <w:p w14:paraId="3DA7F00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0.032</w:t>
            </w:r>
          </w:p>
        </w:tc>
        <w:tc>
          <w:tcPr>
            <w:tcW w:w="327" w:type="pct"/>
            <w:tcBorders>
              <w:top w:val="nil"/>
              <w:left w:val="nil"/>
              <w:bottom w:val="nil"/>
              <w:right w:val="nil"/>
            </w:tcBorders>
            <w:noWrap/>
            <w:vAlign w:val="bottom"/>
            <w:hideMark/>
          </w:tcPr>
          <w:p w14:paraId="6EAF758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0.057</w:t>
            </w:r>
          </w:p>
        </w:tc>
        <w:tc>
          <w:tcPr>
            <w:tcW w:w="297" w:type="pct"/>
            <w:tcBorders>
              <w:top w:val="nil"/>
              <w:left w:val="nil"/>
              <w:bottom w:val="nil"/>
              <w:right w:val="nil"/>
            </w:tcBorders>
            <w:noWrap/>
            <w:vAlign w:val="bottom"/>
            <w:hideMark/>
          </w:tcPr>
          <w:p w14:paraId="5C3BF4E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0.025</w:t>
            </w:r>
          </w:p>
        </w:tc>
      </w:tr>
      <w:tr w:rsidR="004D5D50" w:rsidRPr="00FE273A" w14:paraId="47A767C6" w14:textId="77777777" w:rsidTr="004A2E8B">
        <w:trPr>
          <w:trHeight w:val="300"/>
        </w:trPr>
        <w:tc>
          <w:tcPr>
            <w:tcW w:w="491" w:type="pct"/>
            <w:tcBorders>
              <w:top w:val="nil"/>
              <w:left w:val="nil"/>
              <w:right w:val="nil"/>
            </w:tcBorders>
            <w:noWrap/>
            <w:vAlign w:val="bottom"/>
            <w:hideMark/>
          </w:tcPr>
          <w:p w14:paraId="72DE780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5" w:type="pct"/>
            <w:tcBorders>
              <w:top w:val="nil"/>
              <w:left w:val="nil"/>
              <w:right w:val="nil"/>
            </w:tcBorders>
            <w:noWrap/>
            <w:vAlign w:val="bottom"/>
            <w:hideMark/>
          </w:tcPr>
          <w:p w14:paraId="5BB02F5D" w14:textId="77777777" w:rsidR="004D5D50" w:rsidRPr="00FE273A" w:rsidRDefault="004D5D50" w:rsidP="004A2E8B">
            <w:pPr>
              <w:spacing w:after="0" w:line="240" w:lineRule="auto"/>
              <w:rPr>
                <w:rFonts w:ascii="Times New Roman" w:eastAsia="Times New Roman" w:hAnsi="Times New Roman" w:cs="Times New Roman"/>
                <w:sz w:val="20"/>
                <w:szCs w:val="20"/>
                <w:lang w:eastAsia="en-CA"/>
              </w:rPr>
            </w:pPr>
          </w:p>
        </w:tc>
        <w:tc>
          <w:tcPr>
            <w:tcW w:w="352" w:type="pct"/>
            <w:tcBorders>
              <w:top w:val="nil"/>
              <w:left w:val="nil"/>
              <w:right w:val="nil"/>
            </w:tcBorders>
            <w:noWrap/>
            <w:vAlign w:val="bottom"/>
            <w:hideMark/>
          </w:tcPr>
          <w:p w14:paraId="1115ECD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52" w:type="pct"/>
            <w:tcBorders>
              <w:top w:val="nil"/>
              <w:left w:val="nil"/>
              <w:right w:val="nil"/>
            </w:tcBorders>
            <w:noWrap/>
            <w:vAlign w:val="bottom"/>
            <w:hideMark/>
          </w:tcPr>
          <w:p w14:paraId="112A9BD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314" w:type="pct"/>
            <w:tcBorders>
              <w:top w:val="nil"/>
              <w:left w:val="nil"/>
              <w:right w:val="nil"/>
            </w:tcBorders>
            <w:noWrap/>
            <w:vAlign w:val="bottom"/>
            <w:hideMark/>
          </w:tcPr>
          <w:p w14:paraId="2AAA3EE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0.016</w:t>
            </w:r>
            <w:r>
              <w:rPr>
                <w:rFonts w:ascii="Times New Roman" w:eastAsia="Times New Roman" w:hAnsi="Times New Roman" w:cs="Times New Roman"/>
                <w:color w:val="000000"/>
                <w:sz w:val="20"/>
                <w:szCs w:val="20"/>
                <w:lang w:eastAsia="en-GB"/>
              </w:rPr>
              <w:t>)</w:t>
            </w:r>
          </w:p>
        </w:tc>
        <w:tc>
          <w:tcPr>
            <w:tcW w:w="321" w:type="pct"/>
            <w:tcBorders>
              <w:top w:val="nil"/>
              <w:left w:val="nil"/>
              <w:right w:val="nil"/>
            </w:tcBorders>
            <w:noWrap/>
            <w:vAlign w:val="bottom"/>
            <w:hideMark/>
          </w:tcPr>
          <w:p w14:paraId="603B3685"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0.096</w:t>
            </w:r>
            <w:r>
              <w:rPr>
                <w:rFonts w:ascii="Times New Roman" w:eastAsia="Times New Roman" w:hAnsi="Times New Roman" w:cs="Times New Roman"/>
                <w:color w:val="000000"/>
                <w:sz w:val="20"/>
                <w:szCs w:val="20"/>
                <w:lang w:eastAsia="en-GB"/>
              </w:rPr>
              <w:t>)</w:t>
            </w:r>
          </w:p>
        </w:tc>
        <w:tc>
          <w:tcPr>
            <w:tcW w:w="138" w:type="pct"/>
            <w:tcBorders>
              <w:top w:val="nil"/>
              <w:left w:val="nil"/>
              <w:right w:val="nil"/>
            </w:tcBorders>
            <w:noWrap/>
            <w:vAlign w:val="bottom"/>
            <w:hideMark/>
          </w:tcPr>
          <w:p w14:paraId="5AA7850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right w:val="nil"/>
            </w:tcBorders>
            <w:noWrap/>
            <w:vAlign w:val="bottom"/>
            <w:hideMark/>
          </w:tcPr>
          <w:p w14:paraId="67A728E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332" w:type="pct"/>
            <w:tcBorders>
              <w:top w:val="nil"/>
              <w:left w:val="nil"/>
              <w:right w:val="nil"/>
            </w:tcBorders>
            <w:noWrap/>
            <w:vAlign w:val="bottom"/>
            <w:hideMark/>
          </w:tcPr>
          <w:p w14:paraId="12D9B53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0.004</w:t>
            </w:r>
            <w:r>
              <w:rPr>
                <w:rFonts w:ascii="Times New Roman" w:eastAsia="Times New Roman" w:hAnsi="Times New Roman" w:cs="Times New Roman"/>
                <w:color w:val="000000"/>
                <w:sz w:val="20"/>
                <w:szCs w:val="20"/>
                <w:lang w:eastAsia="en-GB"/>
              </w:rPr>
              <w:t>)</w:t>
            </w:r>
          </w:p>
        </w:tc>
        <w:tc>
          <w:tcPr>
            <w:tcW w:w="332" w:type="pct"/>
            <w:tcBorders>
              <w:top w:val="nil"/>
              <w:left w:val="nil"/>
              <w:right w:val="nil"/>
            </w:tcBorders>
            <w:noWrap/>
            <w:vAlign w:val="bottom"/>
            <w:hideMark/>
          </w:tcPr>
          <w:p w14:paraId="450A8DE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0.009</w:t>
            </w:r>
            <w:r>
              <w:rPr>
                <w:rFonts w:ascii="Times New Roman" w:eastAsia="Times New Roman" w:hAnsi="Times New Roman" w:cs="Times New Roman"/>
                <w:color w:val="000000"/>
                <w:sz w:val="20"/>
                <w:szCs w:val="20"/>
                <w:lang w:eastAsia="en-GB"/>
              </w:rPr>
              <w:t>)</w:t>
            </w:r>
          </w:p>
        </w:tc>
        <w:tc>
          <w:tcPr>
            <w:tcW w:w="314" w:type="pct"/>
            <w:tcBorders>
              <w:top w:val="nil"/>
              <w:left w:val="nil"/>
              <w:right w:val="nil"/>
            </w:tcBorders>
            <w:noWrap/>
            <w:vAlign w:val="bottom"/>
            <w:hideMark/>
          </w:tcPr>
          <w:p w14:paraId="40F3696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0.705</w:t>
            </w:r>
            <w:r>
              <w:rPr>
                <w:rFonts w:ascii="Times New Roman" w:eastAsia="Times New Roman" w:hAnsi="Times New Roman" w:cs="Times New Roman"/>
                <w:color w:val="000000"/>
                <w:sz w:val="20"/>
                <w:szCs w:val="20"/>
                <w:lang w:eastAsia="en-GB"/>
              </w:rPr>
              <w:t>)</w:t>
            </w:r>
          </w:p>
        </w:tc>
        <w:tc>
          <w:tcPr>
            <w:tcW w:w="119" w:type="pct"/>
            <w:tcBorders>
              <w:top w:val="nil"/>
              <w:left w:val="nil"/>
              <w:right w:val="nil"/>
            </w:tcBorders>
            <w:noWrap/>
            <w:vAlign w:val="bottom"/>
            <w:hideMark/>
          </w:tcPr>
          <w:p w14:paraId="551E957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right w:val="nil"/>
            </w:tcBorders>
            <w:noWrap/>
            <w:vAlign w:val="bottom"/>
            <w:hideMark/>
          </w:tcPr>
          <w:p w14:paraId="1159C1CB"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327" w:type="pct"/>
            <w:tcBorders>
              <w:top w:val="nil"/>
              <w:left w:val="nil"/>
              <w:right w:val="nil"/>
            </w:tcBorders>
            <w:noWrap/>
            <w:vAlign w:val="bottom"/>
            <w:hideMark/>
          </w:tcPr>
          <w:p w14:paraId="3B6C3302"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0.055</w:t>
            </w:r>
            <w:r>
              <w:rPr>
                <w:rFonts w:ascii="Times New Roman" w:eastAsia="Times New Roman" w:hAnsi="Times New Roman" w:cs="Times New Roman"/>
                <w:color w:val="000000"/>
                <w:sz w:val="20"/>
                <w:szCs w:val="20"/>
                <w:lang w:eastAsia="en-GB"/>
              </w:rPr>
              <w:t>)</w:t>
            </w:r>
          </w:p>
        </w:tc>
        <w:tc>
          <w:tcPr>
            <w:tcW w:w="327" w:type="pct"/>
            <w:tcBorders>
              <w:top w:val="nil"/>
              <w:left w:val="nil"/>
              <w:right w:val="nil"/>
            </w:tcBorders>
            <w:noWrap/>
            <w:vAlign w:val="bottom"/>
            <w:hideMark/>
          </w:tcPr>
          <w:p w14:paraId="40ED9849"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0.012</w:t>
            </w:r>
            <w:r>
              <w:rPr>
                <w:rFonts w:ascii="Times New Roman" w:eastAsia="Times New Roman" w:hAnsi="Times New Roman" w:cs="Times New Roman"/>
                <w:color w:val="000000"/>
                <w:sz w:val="20"/>
                <w:szCs w:val="20"/>
                <w:lang w:eastAsia="en-GB"/>
              </w:rPr>
              <w:t>)</w:t>
            </w:r>
          </w:p>
        </w:tc>
        <w:tc>
          <w:tcPr>
            <w:tcW w:w="297" w:type="pct"/>
            <w:tcBorders>
              <w:top w:val="nil"/>
              <w:left w:val="nil"/>
              <w:right w:val="nil"/>
            </w:tcBorders>
            <w:noWrap/>
            <w:vAlign w:val="bottom"/>
            <w:hideMark/>
          </w:tcPr>
          <w:p w14:paraId="75F80A1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0.145</w:t>
            </w:r>
            <w:r>
              <w:rPr>
                <w:rFonts w:ascii="Times New Roman" w:eastAsia="Times New Roman" w:hAnsi="Times New Roman" w:cs="Times New Roman"/>
                <w:color w:val="000000"/>
                <w:sz w:val="20"/>
                <w:szCs w:val="20"/>
                <w:lang w:eastAsia="en-GB"/>
              </w:rPr>
              <w:t>)</w:t>
            </w:r>
          </w:p>
        </w:tc>
      </w:tr>
      <w:tr w:rsidR="004D5D50" w:rsidRPr="00FE273A" w14:paraId="79521D9D" w14:textId="77777777" w:rsidTr="004A2E8B">
        <w:trPr>
          <w:trHeight w:val="452"/>
        </w:trPr>
        <w:tc>
          <w:tcPr>
            <w:tcW w:w="491" w:type="pct"/>
            <w:tcBorders>
              <w:top w:val="nil"/>
              <w:left w:val="nil"/>
              <w:bottom w:val="single" w:sz="4" w:space="0" w:color="auto"/>
              <w:right w:val="nil"/>
            </w:tcBorders>
            <w:noWrap/>
            <w:vAlign w:val="bottom"/>
            <w:hideMark/>
          </w:tcPr>
          <w:p w14:paraId="7C44EDEB" w14:textId="77777777" w:rsidR="004D5D50" w:rsidRPr="00FE273A" w:rsidRDefault="004D5D50" w:rsidP="004A2E8B">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xml:space="preserve">Adj. </w:t>
            </w:r>
            <w:r w:rsidRPr="00B54CBE">
              <w:rPr>
                <w:rFonts w:ascii="Times New Roman" w:eastAsia="Times New Roman" w:hAnsi="Times New Roman" w:cs="Times New Roman"/>
                <w:color w:val="000000"/>
                <w:sz w:val="20"/>
                <w:szCs w:val="20"/>
                <w:lang w:eastAsia="en-CA"/>
              </w:rPr>
              <w:t>R</w:t>
            </w:r>
            <w:r w:rsidRPr="0023366F">
              <w:rPr>
                <w:rFonts w:ascii="Times New Roman" w:eastAsia="Times New Roman" w:hAnsi="Times New Roman" w:cs="Times New Roman"/>
                <w:color w:val="000000"/>
                <w:sz w:val="20"/>
                <w:szCs w:val="20"/>
                <w:vertAlign w:val="superscript"/>
                <w:lang w:eastAsia="en-CA"/>
              </w:rPr>
              <w:t>2</w:t>
            </w:r>
            <w:r>
              <w:rPr>
                <w:rFonts w:ascii="Times New Roman" w:eastAsia="Times New Roman" w:hAnsi="Times New Roman" w:cs="Times New Roman"/>
                <w:color w:val="000000"/>
                <w:sz w:val="20"/>
                <w:szCs w:val="20"/>
                <w:vertAlign w:val="superscript"/>
                <w:lang w:eastAsia="en-CA"/>
              </w:rPr>
              <w:t xml:space="preserve"> </w:t>
            </w:r>
            <w:r>
              <w:rPr>
                <w:rFonts w:ascii="Times New Roman" w:eastAsia="Times New Roman" w:hAnsi="Times New Roman" w:cs="Times New Roman"/>
                <w:color w:val="000000"/>
                <w:sz w:val="20"/>
                <w:szCs w:val="20"/>
                <w:lang w:eastAsia="en-CA"/>
              </w:rPr>
              <w:t>[Pseudo R</w:t>
            </w:r>
            <w:r w:rsidRPr="0023366F">
              <w:rPr>
                <w:rFonts w:ascii="Times New Roman" w:eastAsia="Times New Roman" w:hAnsi="Times New Roman" w:cs="Times New Roman"/>
                <w:color w:val="000000"/>
                <w:sz w:val="20"/>
                <w:szCs w:val="20"/>
                <w:vertAlign w:val="superscript"/>
                <w:lang w:eastAsia="en-CA"/>
              </w:rPr>
              <w:t>2</w:t>
            </w:r>
            <w:r>
              <w:rPr>
                <w:rFonts w:ascii="Times New Roman" w:eastAsia="Times New Roman" w:hAnsi="Times New Roman" w:cs="Times New Roman"/>
                <w:color w:val="000000"/>
                <w:sz w:val="20"/>
                <w:szCs w:val="20"/>
                <w:lang w:eastAsia="en-CA"/>
              </w:rPr>
              <w:t>]</w:t>
            </w:r>
          </w:p>
        </w:tc>
        <w:tc>
          <w:tcPr>
            <w:tcW w:w="325" w:type="pct"/>
            <w:tcBorders>
              <w:top w:val="nil"/>
              <w:left w:val="nil"/>
              <w:bottom w:val="single" w:sz="4" w:space="0" w:color="auto"/>
              <w:right w:val="nil"/>
            </w:tcBorders>
            <w:noWrap/>
            <w:vAlign w:val="bottom"/>
            <w:hideMark/>
          </w:tcPr>
          <w:p w14:paraId="7B684C26" w14:textId="77777777" w:rsidR="004D5D50" w:rsidRPr="00FE273A" w:rsidRDefault="004D5D50" w:rsidP="004A2E8B">
            <w:pPr>
              <w:spacing w:after="0" w:line="240" w:lineRule="auto"/>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CA"/>
              </w:rPr>
              <w:t> </w:t>
            </w:r>
          </w:p>
        </w:tc>
        <w:tc>
          <w:tcPr>
            <w:tcW w:w="352" w:type="pct"/>
            <w:tcBorders>
              <w:top w:val="nil"/>
              <w:left w:val="nil"/>
              <w:bottom w:val="single" w:sz="4" w:space="0" w:color="auto"/>
              <w:right w:val="nil"/>
            </w:tcBorders>
            <w:noWrap/>
            <w:vAlign w:val="bottom"/>
            <w:hideMark/>
          </w:tcPr>
          <w:p w14:paraId="6B3E50B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6462D">
              <w:rPr>
                <w:rFonts w:ascii="Times New Roman" w:eastAsia="Times New Roman" w:hAnsi="Times New Roman" w:cs="Times New Roman"/>
                <w:color w:val="000000"/>
                <w:sz w:val="20"/>
                <w:szCs w:val="20"/>
                <w:lang w:eastAsia="en-GB"/>
              </w:rPr>
              <w:t>0.907</w:t>
            </w:r>
          </w:p>
        </w:tc>
        <w:tc>
          <w:tcPr>
            <w:tcW w:w="352" w:type="pct"/>
            <w:tcBorders>
              <w:top w:val="nil"/>
              <w:left w:val="nil"/>
              <w:bottom w:val="single" w:sz="4" w:space="0" w:color="auto"/>
              <w:right w:val="nil"/>
            </w:tcBorders>
            <w:noWrap/>
            <w:vAlign w:val="bottom"/>
            <w:hideMark/>
          </w:tcPr>
          <w:p w14:paraId="50AAEFD1"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0.744</w:t>
            </w:r>
            <w:r>
              <w:rPr>
                <w:rFonts w:ascii="Times New Roman" w:eastAsia="Times New Roman" w:hAnsi="Times New Roman" w:cs="Times New Roman"/>
                <w:color w:val="000000"/>
                <w:sz w:val="20"/>
                <w:szCs w:val="20"/>
                <w:lang w:eastAsia="en-GB"/>
              </w:rPr>
              <w:t>]</w:t>
            </w:r>
          </w:p>
        </w:tc>
        <w:tc>
          <w:tcPr>
            <w:tcW w:w="314" w:type="pct"/>
            <w:tcBorders>
              <w:top w:val="nil"/>
              <w:left w:val="nil"/>
              <w:bottom w:val="single" w:sz="4" w:space="0" w:color="auto"/>
              <w:right w:val="nil"/>
            </w:tcBorders>
            <w:noWrap/>
            <w:vAlign w:val="bottom"/>
            <w:hideMark/>
          </w:tcPr>
          <w:p w14:paraId="48BF0A74"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6462D">
              <w:rPr>
                <w:rFonts w:ascii="Times New Roman" w:eastAsia="Times New Roman" w:hAnsi="Times New Roman" w:cs="Times New Roman"/>
                <w:color w:val="000000"/>
                <w:sz w:val="20"/>
                <w:szCs w:val="20"/>
                <w:lang w:eastAsia="en-GB"/>
              </w:rPr>
              <w:t>0.722</w:t>
            </w:r>
            <w:r>
              <w:rPr>
                <w:rFonts w:ascii="Times New Roman" w:eastAsia="Times New Roman" w:hAnsi="Times New Roman" w:cs="Times New Roman"/>
                <w:color w:val="000000"/>
                <w:sz w:val="20"/>
                <w:szCs w:val="20"/>
                <w:lang w:eastAsia="en-GB"/>
              </w:rPr>
              <w:t>]</w:t>
            </w:r>
          </w:p>
        </w:tc>
        <w:tc>
          <w:tcPr>
            <w:tcW w:w="321" w:type="pct"/>
            <w:tcBorders>
              <w:top w:val="nil"/>
              <w:left w:val="nil"/>
              <w:bottom w:val="single" w:sz="4" w:space="0" w:color="auto"/>
              <w:right w:val="nil"/>
            </w:tcBorders>
            <w:noWrap/>
            <w:vAlign w:val="bottom"/>
            <w:hideMark/>
          </w:tcPr>
          <w:p w14:paraId="6400E2B3"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GB"/>
              </w:rPr>
              <w:t> </w:t>
            </w:r>
          </w:p>
        </w:tc>
        <w:tc>
          <w:tcPr>
            <w:tcW w:w="138" w:type="pct"/>
            <w:tcBorders>
              <w:top w:val="nil"/>
              <w:left w:val="nil"/>
              <w:bottom w:val="single" w:sz="4" w:space="0" w:color="auto"/>
              <w:right w:val="nil"/>
            </w:tcBorders>
            <w:noWrap/>
            <w:vAlign w:val="bottom"/>
            <w:hideMark/>
          </w:tcPr>
          <w:p w14:paraId="1105CFB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32" w:type="pct"/>
            <w:tcBorders>
              <w:top w:val="nil"/>
              <w:left w:val="nil"/>
              <w:bottom w:val="single" w:sz="4" w:space="0" w:color="auto"/>
              <w:right w:val="nil"/>
            </w:tcBorders>
            <w:noWrap/>
            <w:vAlign w:val="bottom"/>
            <w:hideMark/>
          </w:tcPr>
          <w:p w14:paraId="26FE3510"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2000E">
              <w:rPr>
                <w:rFonts w:ascii="Times New Roman" w:eastAsia="Times New Roman" w:hAnsi="Times New Roman" w:cs="Times New Roman"/>
                <w:color w:val="000000"/>
                <w:sz w:val="20"/>
                <w:szCs w:val="20"/>
                <w:lang w:eastAsia="en-GB"/>
              </w:rPr>
              <w:t>0.892</w:t>
            </w:r>
          </w:p>
        </w:tc>
        <w:tc>
          <w:tcPr>
            <w:tcW w:w="332" w:type="pct"/>
            <w:tcBorders>
              <w:top w:val="nil"/>
              <w:left w:val="nil"/>
              <w:bottom w:val="single" w:sz="4" w:space="0" w:color="auto"/>
              <w:right w:val="nil"/>
            </w:tcBorders>
            <w:noWrap/>
            <w:vAlign w:val="bottom"/>
            <w:hideMark/>
          </w:tcPr>
          <w:p w14:paraId="01466648"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0.692</w:t>
            </w:r>
            <w:r>
              <w:rPr>
                <w:rFonts w:ascii="Times New Roman" w:eastAsia="Times New Roman" w:hAnsi="Times New Roman" w:cs="Times New Roman"/>
                <w:color w:val="000000"/>
                <w:sz w:val="20"/>
                <w:szCs w:val="20"/>
                <w:lang w:eastAsia="en-GB"/>
              </w:rPr>
              <w:t>]</w:t>
            </w:r>
          </w:p>
        </w:tc>
        <w:tc>
          <w:tcPr>
            <w:tcW w:w="332" w:type="pct"/>
            <w:tcBorders>
              <w:top w:val="nil"/>
              <w:left w:val="nil"/>
              <w:bottom w:val="single" w:sz="4" w:space="0" w:color="auto"/>
              <w:right w:val="nil"/>
            </w:tcBorders>
            <w:noWrap/>
            <w:vAlign w:val="bottom"/>
            <w:hideMark/>
          </w:tcPr>
          <w:p w14:paraId="04CE85DE"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2000E">
              <w:rPr>
                <w:rFonts w:ascii="Times New Roman" w:eastAsia="Times New Roman" w:hAnsi="Times New Roman" w:cs="Times New Roman"/>
                <w:color w:val="000000"/>
                <w:sz w:val="20"/>
                <w:szCs w:val="20"/>
                <w:lang w:eastAsia="en-GB"/>
              </w:rPr>
              <w:t>0.744</w:t>
            </w:r>
            <w:r>
              <w:rPr>
                <w:rFonts w:ascii="Times New Roman" w:eastAsia="Times New Roman" w:hAnsi="Times New Roman" w:cs="Times New Roman"/>
                <w:color w:val="000000"/>
                <w:sz w:val="20"/>
                <w:szCs w:val="20"/>
                <w:lang w:eastAsia="en-GB"/>
              </w:rPr>
              <w:t>]</w:t>
            </w:r>
          </w:p>
        </w:tc>
        <w:tc>
          <w:tcPr>
            <w:tcW w:w="314" w:type="pct"/>
            <w:tcBorders>
              <w:top w:val="nil"/>
              <w:left w:val="nil"/>
              <w:bottom w:val="single" w:sz="4" w:space="0" w:color="auto"/>
              <w:right w:val="nil"/>
            </w:tcBorders>
            <w:noWrap/>
            <w:vAlign w:val="bottom"/>
            <w:hideMark/>
          </w:tcPr>
          <w:p w14:paraId="01F2417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GB"/>
              </w:rPr>
              <w:t> </w:t>
            </w:r>
          </w:p>
        </w:tc>
        <w:tc>
          <w:tcPr>
            <w:tcW w:w="119" w:type="pct"/>
            <w:tcBorders>
              <w:top w:val="nil"/>
              <w:left w:val="nil"/>
              <w:bottom w:val="single" w:sz="4" w:space="0" w:color="auto"/>
              <w:right w:val="nil"/>
            </w:tcBorders>
            <w:noWrap/>
            <w:vAlign w:val="bottom"/>
            <w:hideMark/>
          </w:tcPr>
          <w:p w14:paraId="45C6FAFC"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327" w:type="pct"/>
            <w:tcBorders>
              <w:top w:val="nil"/>
              <w:left w:val="nil"/>
              <w:bottom w:val="single" w:sz="4" w:space="0" w:color="auto"/>
              <w:right w:val="nil"/>
            </w:tcBorders>
            <w:noWrap/>
            <w:vAlign w:val="bottom"/>
            <w:hideMark/>
          </w:tcPr>
          <w:p w14:paraId="7D97744F"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EA1D29">
              <w:rPr>
                <w:rFonts w:ascii="Times New Roman" w:eastAsia="Times New Roman" w:hAnsi="Times New Roman" w:cs="Times New Roman"/>
                <w:color w:val="000000"/>
                <w:sz w:val="20"/>
                <w:szCs w:val="20"/>
                <w:lang w:eastAsia="en-GB"/>
              </w:rPr>
              <w:t>0.864</w:t>
            </w:r>
          </w:p>
        </w:tc>
        <w:tc>
          <w:tcPr>
            <w:tcW w:w="327" w:type="pct"/>
            <w:tcBorders>
              <w:top w:val="nil"/>
              <w:left w:val="nil"/>
              <w:bottom w:val="single" w:sz="4" w:space="0" w:color="auto"/>
              <w:right w:val="nil"/>
            </w:tcBorders>
            <w:noWrap/>
            <w:vAlign w:val="bottom"/>
            <w:hideMark/>
          </w:tcPr>
          <w:p w14:paraId="3655E32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0.643</w:t>
            </w:r>
            <w:r>
              <w:rPr>
                <w:rFonts w:ascii="Times New Roman" w:eastAsia="Times New Roman" w:hAnsi="Times New Roman" w:cs="Times New Roman"/>
                <w:color w:val="000000"/>
                <w:sz w:val="20"/>
                <w:szCs w:val="20"/>
                <w:lang w:eastAsia="en-GB"/>
              </w:rPr>
              <w:t>]</w:t>
            </w:r>
          </w:p>
        </w:tc>
        <w:tc>
          <w:tcPr>
            <w:tcW w:w="327" w:type="pct"/>
            <w:tcBorders>
              <w:top w:val="nil"/>
              <w:left w:val="nil"/>
              <w:bottom w:val="single" w:sz="4" w:space="0" w:color="auto"/>
              <w:right w:val="nil"/>
            </w:tcBorders>
            <w:noWrap/>
            <w:vAlign w:val="bottom"/>
            <w:hideMark/>
          </w:tcPr>
          <w:p w14:paraId="17F80ABD"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EA1D29">
              <w:rPr>
                <w:rFonts w:ascii="Times New Roman" w:eastAsia="Times New Roman" w:hAnsi="Times New Roman" w:cs="Times New Roman"/>
                <w:color w:val="000000"/>
                <w:sz w:val="20"/>
                <w:szCs w:val="20"/>
                <w:lang w:eastAsia="en-GB"/>
              </w:rPr>
              <w:t>0.657</w:t>
            </w:r>
            <w:r>
              <w:rPr>
                <w:rFonts w:ascii="Times New Roman" w:eastAsia="Times New Roman" w:hAnsi="Times New Roman" w:cs="Times New Roman"/>
                <w:color w:val="000000"/>
                <w:sz w:val="20"/>
                <w:szCs w:val="20"/>
                <w:lang w:eastAsia="en-GB"/>
              </w:rPr>
              <w:t>]</w:t>
            </w:r>
          </w:p>
        </w:tc>
        <w:tc>
          <w:tcPr>
            <w:tcW w:w="297" w:type="pct"/>
            <w:tcBorders>
              <w:top w:val="nil"/>
              <w:left w:val="nil"/>
              <w:bottom w:val="single" w:sz="4" w:space="0" w:color="auto"/>
              <w:right w:val="nil"/>
            </w:tcBorders>
            <w:noWrap/>
            <w:vAlign w:val="bottom"/>
            <w:hideMark/>
          </w:tcPr>
          <w:p w14:paraId="21C0B7A6" w14:textId="77777777" w:rsidR="004D5D50" w:rsidRPr="00FE273A"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E273A">
              <w:rPr>
                <w:rFonts w:ascii="Times New Roman" w:eastAsia="Times New Roman" w:hAnsi="Times New Roman" w:cs="Times New Roman"/>
                <w:color w:val="000000"/>
                <w:sz w:val="20"/>
                <w:szCs w:val="20"/>
                <w:lang w:eastAsia="en-GB"/>
              </w:rPr>
              <w:t> </w:t>
            </w:r>
          </w:p>
        </w:tc>
      </w:tr>
    </w:tbl>
    <w:p w14:paraId="5E4706B8" w14:textId="77777777" w:rsidR="004D5D50" w:rsidRDefault="004D5D50" w:rsidP="004D5D50">
      <w:pPr>
        <w:rPr>
          <w:lang w:val="en-US"/>
        </w:rPr>
      </w:pPr>
    </w:p>
    <w:p w14:paraId="65D9B641" w14:textId="77777777" w:rsidR="004D5D50" w:rsidRDefault="004D5D50" w:rsidP="004D5D50">
      <w:pPr>
        <w:rPr>
          <w:lang w:val="en-US"/>
        </w:rPr>
      </w:pPr>
      <w:r>
        <w:rPr>
          <w:lang w:val="en-US"/>
        </w:rPr>
        <w:br w:type="page"/>
      </w:r>
    </w:p>
    <w:p w14:paraId="6C31CDA7" w14:textId="77777777" w:rsidR="004D5D50" w:rsidRPr="006A0B5D" w:rsidRDefault="004D5D50" w:rsidP="004D5D50">
      <w:pPr>
        <w:jc w:val="center"/>
        <w:rPr>
          <w:rFonts w:ascii="Times New Roman" w:hAnsi="Times New Roman" w:cs="Times New Roman"/>
          <w:b/>
          <w:sz w:val="20"/>
          <w:szCs w:val="20"/>
        </w:rPr>
      </w:pPr>
      <w:r>
        <w:rPr>
          <w:rFonts w:ascii="Times New Roman" w:hAnsi="Times New Roman" w:cs="Times New Roman"/>
          <w:b/>
          <w:sz w:val="20"/>
          <w:szCs w:val="20"/>
        </w:rPr>
        <w:lastRenderedPageBreak/>
        <w:t>TABLE A2 - continued</w:t>
      </w:r>
    </w:p>
    <w:p w14:paraId="4DAB6B0A" w14:textId="77777777" w:rsidR="004D5D50" w:rsidRDefault="004D5D50" w:rsidP="004D5D50">
      <w:pPr>
        <w:ind w:left="720" w:firstLine="720"/>
        <w:rPr>
          <w:lang w:val="en-US"/>
        </w:rPr>
      </w:pPr>
      <w:r w:rsidRPr="00B335DF">
        <w:rPr>
          <w:rFonts w:ascii="Times New Roman" w:hAnsi="Times New Roman" w:cs="Times New Roman"/>
          <w:sz w:val="20"/>
          <w:szCs w:val="20"/>
          <w:lang w:val="en-US"/>
        </w:rPr>
        <w:t xml:space="preserve">Panel </w:t>
      </w:r>
      <w:r>
        <w:rPr>
          <w:rFonts w:ascii="Times New Roman" w:hAnsi="Times New Roman" w:cs="Times New Roman"/>
          <w:sz w:val="20"/>
          <w:szCs w:val="20"/>
          <w:lang w:val="en-US"/>
        </w:rPr>
        <w:t>C: Medical and Everything Else (except finance)</w:t>
      </w:r>
    </w:p>
    <w:tbl>
      <w:tblPr>
        <w:tblW w:w="0" w:type="auto"/>
        <w:jc w:val="center"/>
        <w:tblLayout w:type="fixed"/>
        <w:tblLook w:val="04A0" w:firstRow="1" w:lastRow="0" w:firstColumn="1" w:lastColumn="0" w:noHBand="0" w:noVBand="1"/>
      </w:tblPr>
      <w:tblGrid>
        <w:gridCol w:w="1843"/>
        <w:gridCol w:w="755"/>
        <w:gridCol w:w="881"/>
        <w:gridCol w:w="881"/>
        <w:gridCol w:w="879"/>
        <w:gridCol w:w="883"/>
        <w:gridCol w:w="449"/>
        <w:gridCol w:w="848"/>
        <w:gridCol w:w="849"/>
        <w:gridCol w:w="850"/>
        <w:gridCol w:w="851"/>
      </w:tblGrid>
      <w:tr w:rsidR="004D5D50" w:rsidRPr="00F67060" w14:paraId="4D20502A" w14:textId="77777777" w:rsidTr="004A2E8B">
        <w:trPr>
          <w:trHeight w:val="300"/>
          <w:jc w:val="center"/>
        </w:trPr>
        <w:tc>
          <w:tcPr>
            <w:tcW w:w="1843" w:type="dxa"/>
            <w:tcBorders>
              <w:top w:val="single" w:sz="4" w:space="0" w:color="auto"/>
              <w:left w:val="nil"/>
              <w:bottom w:val="nil"/>
              <w:right w:val="nil"/>
            </w:tcBorders>
            <w:noWrap/>
            <w:vAlign w:val="bottom"/>
            <w:hideMark/>
          </w:tcPr>
          <w:p w14:paraId="443643B6"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755" w:type="dxa"/>
            <w:tcBorders>
              <w:top w:val="single" w:sz="4" w:space="0" w:color="auto"/>
              <w:left w:val="nil"/>
              <w:bottom w:val="nil"/>
              <w:right w:val="nil"/>
            </w:tcBorders>
            <w:noWrap/>
            <w:vAlign w:val="bottom"/>
            <w:hideMark/>
          </w:tcPr>
          <w:p w14:paraId="70D0783A"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3524" w:type="dxa"/>
            <w:gridSpan w:val="4"/>
            <w:tcBorders>
              <w:top w:val="single" w:sz="4" w:space="0" w:color="auto"/>
              <w:left w:val="nil"/>
              <w:right w:val="nil"/>
            </w:tcBorders>
            <w:noWrap/>
            <w:vAlign w:val="bottom"/>
            <w:hideMark/>
          </w:tcPr>
          <w:p w14:paraId="08A1447B"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67060">
              <w:rPr>
                <w:rFonts w:ascii="Times New Roman" w:eastAsia="Times New Roman" w:hAnsi="Times New Roman" w:cs="Times New Roman"/>
                <w:b/>
                <w:bCs/>
                <w:color w:val="000000"/>
                <w:sz w:val="20"/>
                <w:szCs w:val="20"/>
                <w:lang w:eastAsia="en-CA"/>
              </w:rPr>
              <w:t xml:space="preserve">FF 12 industry: </w:t>
            </w:r>
          </w:p>
          <w:p w14:paraId="2DCCDC74"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67060">
              <w:rPr>
                <w:rFonts w:ascii="Times New Roman" w:eastAsia="Times New Roman" w:hAnsi="Times New Roman" w:cs="Times New Roman"/>
                <w:b/>
                <w:bCs/>
                <w:color w:val="000000"/>
                <w:sz w:val="20"/>
                <w:szCs w:val="20"/>
                <w:lang w:eastAsia="en-GB"/>
              </w:rPr>
              <w:t>Medical</w:t>
            </w:r>
          </w:p>
        </w:tc>
        <w:tc>
          <w:tcPr>
            <w:tcW w:w="449" w:type="dxa"/>
            <w:tcBorders>
              <w:top w:val="single" w:sz="4" w:space="0" w:color="auto"/>
              <w:left w:val="nil"/>
              <w:right w:val="nil"/>
            </w:tcBorders>
            <w:noWrap/>
            <w:vAlign w:val="bottom"/>
            <w:hideMark/>
          </w:tcPr>
          <w:p w14:paraId="273229B4"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3398" w:type="dxa"/>
            <w:gridSpan w:val="4"/>
            <w:tcBorders>
              <w:top w:val="single" w:sz="4" w:space="0" w:color="auto"/>
              <w:left w:val="nil"/>
              <w:right w:val="nil"/>
            </w:tcBorders>
            <w:noWrap/>
            <w:vAlign w:val="bottom"/>
            <w:hideMark/>
          </w:tcPr>
          <w:p w14:paraId="4A76B6E1"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67060">
              <w:rPr>
                <w:rFonts w:ascii="Times New Roman" w:eastAsia="Times New Roman" w:hAnsi="Times New Roman" w:cs="Times New Roman"/>
                <w:b/>
                <w:bCs/>
                <w:color w:val="000000"/>
                <w:sz w:val="20"/>
                <w:szCs w:val="20"/>
                <w:lang w:eastAsia="en-CA"/>
              </w:rPr>
              <w:t xml:space="preserve">FF 12 industry: </w:t>
            </w:r>
          </w:p>
          <w:p w14:paraId="4752C36F"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r w:rsidRPr="00F67060">
              <w:rPr>
                <w:rFonts w:ascii="Times New Roman" w:eastAsia="Times New Roman" w:hAnsi="Times New Roman" w:cs="Times New Roman"/>
                <w:b/>
                <w:bCs/>
                <w:color w:val="000000"/>
                <w:sz w:val="20"/>
                <w:szCs w:val="20"/>
                <w:lang w:eastAsia="en-GB"/>
              </w:rPr>
              <w:t xml:space="preserve">Everything </w:t>
            </w:r>
            <w:r>
              <w:rPr>
                <w:rFonts w:ascii="Times New Roman" w:eastAsia="Times New Roman" w:hAnsi="Times New Roman" w:cs="Times New Roman"/>
                <w:b/>
                <w:bCs/>
                <w:color w:val="000000"/>
                <w:sz w:val="20"/>
                <w:szCs w:val="20"/>
                <w:lang w:eastAsia="en-GB"/>
              </w:rPr>
              <w:t>E</w:t>
            </w:r>
            <w:r w:rsidRPr="00F67060">
              <w:rPr>
                <w:rFonts w:ascii="Times New Roman" w:eastAsia="Times New Roman" w:hAnsi="Times New Roman" w:cs="Times New Roman"/>
                <w:b/>
                <w:bCs/>
                <w:color w:val="000000"/>
                <w:sz w:val="20"/>
                <w:szCs w:val="20"/>
                <w:lang w:eastAsia="en-GB"/>
              </w:rPr>
              <w:t>lse (except finance)</w:t>
            </w:r>
          </w:p>
        </w:tc>
      </w:tr>
      <w:tr w:rsidR="004D5D50" w:rsidRPr="00F67060" w14:paraId="093C960C" w14:textId="77777777" w:rsidTr="004A2E8B">
        <w:trPr>
          <w:trHeight w:val="300"/>
          <w:jc w:val="center"/>
        </w:trPr>
        <w:tc>
          <w:tcPr>
            <w:tcW w:w="1843" w:type="dxa"/>
            <w:tcBorders>
              <w:top w:val="nil"/>
              <w:left w:val="nil"/>
              <w:bottom w:val="nil"/>
              <w:right w:val="nil"/>
            </w:tcBorders>
            <w:noWrap/>
            <w:vAlign w:val="bottom"/>
            <w:hideMark/>
          </w:tcPr>
          <w:p w14:paraId="6BB0491A"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755" w:type="dxa"/>
            <w:tcBorders>
              <w:top w:val="nil"/>
              <w:left w:val="nil"/>
              <w:bottom w:val="nil"/>
              <w:right w:val="nil"/>
            </w:tcBorders>
            <w:noWrap/>
            <w:vAlign w:val="bottom"/>
            <w:hideMark/>
          </w:tcPr>
          <w:p w14:paraId="64F14F39"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right w:val="nil"/>
            </w:tcBorders>
            <w:noWrap/>
            <w:vAlign w:val="bottom"/>
            <w:hideMark/>
          </w:tcPr>
          <w:p w14:paraId="1879236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OLS</w:t>
            </w:r>
          </w:p>
        </w:tc>
        <w:tc>
          <w:tcPr>
            <w:tcW w:w="881" w:type="dxa"/>
            <w:tcBorders>
              <w:top w:val="nil"/>
              <w:left w:val="nil"/>
              <w:right w:val="nil"/>
            </w:tcBorders>
            <w:noWrap/>
            <w:vAlign w:val="bottom"/>
            <w:hideMark/>
          </w:tcPr>
          <w:p w14:paraId="7A4F531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25%</w:t>
            </w:r>
          </w:p>
        </w:tc>
        <w:tc>
          <w:tcPr>
            <w:tcW w:w="879" w:type="dxa"/>
            <w:tcBorders>
              <w:top w:val="nil"/>
              <w:left w:val="nil"/>
              <w:right w:val="nil"/>
            </w:tcBorders>
            <w:noWrap/>
            <w:vAlign w:val="bottom"/>
            <w:hideMark/>
          </w:tcPr>
          <w:p w14:paraId="5033C08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75%</w:t>
            </w:r>
          </w:p>
        </w:tc>
        <w:tc>
          <w:tcPr>
            <w:tcW w:w="883" w:type="dxa"/>
            <w:tcBorders>
              <w:top w:val="nil"/>
              <w:left w:val="nil"/>
              <w:right w:val="nil"/>
            </w:tcBorders>
            <w:noWrap/>
            <w:vAlign w:val="bottom"/>
            <w:hideMark/>
          </w:tcPr>
          <w:p w14:paraId="6C6D917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IQR</w:t>
            </w:r>
          </w:p>
        </w:tc>
        <w:tc>
          <w:tcPr>
            <w:tcW w:w="449" w:type="dxa"/>
            <w:tcBorders>
              <w:top w:val="nil"/>
              <w:left w:val="nil"/>
              <w:right w:val="nil"/>
            </w:tcBorders>
            <w:noWrap/>
            <w:vAlign w:val="bottom"/>
            <w:hideMark/>
          </w:tcPr>
          <w:p w14:paraId="4271A82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right w:val="nil"/>
            </w:tcBorders>
            <w:noWrap/>
            <w:vAlign w:val="bottom"/>
            <w:hideMark/>
          </w:tcPr>
          <w:p w14:paraId="1D4D46E0"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OLS</w:t>
            </w:r>
          </w:p>
        </w:tc>
        <w:tc>
          <w:tcPr>
            <w:tcW w:w="849" w:type="dxa"/>
            <w:tcBorders>
              <w:top w:val="nil"/>
              <w:left w:val="nil"/>
              <w:right w:val="nil"/>
            </w:tcBorders>
            <w:noWrap/>
            <w:vAlign w:val="bottom"/>
            <w:hideMark/>
          </w:tcPr>
          <w:p w14:paraId="38A4BD4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25%</w:t>
            </w:r>
          </w:p>
        </w:tc>
        <w:tc>
          <w:tcPr>
            <w:tcW w:w="850" w:type="dxa"/>
            <w:tcBorders>
              <w:top w:val="nil"/>
              <w:left w:val="nil"/>
              <w:right w:val="nil"/>
            </w:tcBorders>
            <w:noWrap/>
            <w:vAlign w:val="bottom"/>
            <w:hideMark/>
          </w:tcPr>
          <w:p w14:paraId="22FDB4E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75%</w:t>
            </w:r>
          </w:p>
        </w:tc>
        <w:tc>
          <w:tcPr>
            <w:tcW w:w="851" w:type="dxa"/>
            <w:tcBorders>
              <w:top w:val="nil"/>
              <w:left w:val="nil"/>
              <w:right w:val="nil"/>
            </w:tcBorders>
            <w:noWrap/>
            <w:vAlign w:val="bottom"/>
            <w:hideMark/>
          </w:tcPr>
          <w:p w14:paraId="7A116AD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IQR</w:t>
            </w:r>
          </w:p>
        </w:tc>
      </w:tr>
      <w:tr w:rsidR="004D5D50" w:rsidRPr="00F67060" w14:paraId="005D9CCE" w14:textId="77777777" w:rsidTr="004A2E8B">
        <w:trPr>
          <w:trHeight w:val="245"/>
          <w:jc w:val="center"/>
        </w:trPr>
        <w:tc>
          <w:tcPr>
            <w:tcW w:w="1843" w:type="dxa"/>
            <w:tcBorders>
              <w:top w:val="nil"/>
              <w:left w:val="nil"/>
              <w:bottom w:val="nil"/>
              <w:right w:val="nil"/>
            </w:tcBorders>
            <w:noWrap/>
            <w:vAlign w:val="bottom"/>
          </w:tcPr>
          <w:p w14:paraId="7454F909" w14:textId="77777777" w:rsidR="004D5D50" w:rsidRPr="00F67060" w:rsidRDefault="004D5D50" w:rsidP="004A2E8B">
            <w:pPr>
              <w:spacing w:after="0" w:line="240" w:lineRule="auto"/>
              <w:jc w:val="center"/>
              <w:rPr>
                <w:rFonts w:ascii="Times New Roman" w:eastAsia="Times New Roman" w:hAnsi="Times New Roman" w:cs="Times New Roman"/>
                <w:b/>
                <w:bCs/>
                <w:color w:val="000000"/>
                <w:sz w:val="20"/>
                <w:szCs w:val="20"/>
                <w:lang w:eastAsia="en-CA"/>
              </w:rPr>
            </w:pPr>
          </w:p>
        </w:tc>
        <w:tc>
          <w:tcPr>
            <w:tcW w:w="755" w:type="dxa"/>
            <w:tcBorders>
              <w:top w:val="nil"/>
              <w:left w:val="nil"/>
              <w:bottom w:val="nil"/>
              <w:right w:val="nil"/>
            </w:tcBorders>
            <w:noWrap/>
            <w:vAlign w:val="bottom"/>
          </w:tcPr>
          <w:p w14:paraId="7AE2D4B0"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left w:val="nil"/>
              <w:bottom w:val="single" w:sz="4" w:space="0" w:color="auto"/>
              <w:right w:val="nil"/>
            </w:tcBorders>
            <w:noWrap/>
            <w:vAlign w:val="bottom"/>
          </w:tcPr>
          <w:p w14:paraId="6B065F0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(1)</w:t>
            </w:r>
          </w:p>
        </w:tc>
        <w:tc>
          <w:tcPr>
            <w:tcW w:w="881" w:type="dxa"/>
            <w:tcBorders>
              <w:left w:val="nil"/>
              <w:bottom w:val="single" w:sz="4" w:space="0" w:color="auto"/>
              <w:right w:val="nil"/>
            </w:tcBorders>
            <w:noWrap/>
            <w:vAlign w:val="bottom"/>
          </w:tcPr>
          <w:p w14:paraId="6E79139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(2)</w:t>
            </w:r>
          </w:p>
        </w:tc>
        <w:tc>
          <w:tcPr>
            <w:tcW w:w="879" w:type="dxa"/>
            <w:tcBorders>
              <w:left w:val="nil"/>
              <w:bottom w:val="single" w:sz="4" w:space="0" w:color="auto"/>
              <w:right w:val="nil"/>
            </w:tcBorders>
            <w:noWrap/>
            <w:vAlign w:val="bottom"/>
          </w:tcPr>
          <w:p w14:paraId="35F2808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(3)</w:t>
            </w:r>
          </w:p>
        </w:tc>
        <w:tc>
          <w:tcPr>
            <w:tcW w:w="883" w:type="dxa"/>
            <w:tcBorders>
              <w:left w:val="nil"/>
              <w:bottom w:val="single" w:sz="4" w:space="0" w:color="auto"/>
              <w:right w:val="nil"/>
            </w:tcBorders>
            <w:noWrap/>
            <w:vAlign w:val="bottom"/>
          </w:tcPr>
          <w:p w14:paraId="33394C5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(4)</w:t>
            </w:r>
          </w:p>
        </w:tc>
        <w:tc>
          <w:tcPr>
            <w:tcW w:w="449" w:type="dxa"/>
            <w:tcBorders>
              <w:left w:val="nil"/>
              <w:bottom w:val="nil"/>
              <w:right w:val="nil"/>
            </w:tcBorders>
            <w:noWrap/>
            <w:vAlign w:val="bottom"/>
          </w:tcPr>
          <w:p w14:paraId="3832F0F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left w:val="nil"/>
              <w:bottom w:val="single" w:sz="4" w:space="0" w:color="auto"/>
              <w:right w:val="nil"/>
            </w:tcBorders>
            <w:noWrap/>
            <w:vAlign w:val="bottom"/>
          </w:tcPr>
          <w:p w14:paraId="1552E62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(5)</w:t>
            </w:r>
          </w:p>
        </w:tc>
        <w:tc>
          <w:tcPr>
            <w:tcW w:w="849" w:type="dxa"/>
            <w:tcBorders>
              <w:left w:val="nil"/>
              <w:bottom w:val="single" w:sz="4" w:space="0" w:color="auto"/>
              <w:right w:val="nil"/>
            </w:tcBorders>
            <w:noWrap/>
            <w:vAlign w:val="bottom"/>
          </w:tcPr>
          <w:p w14:paraId="28546FBD"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(6)</w:t>
            </w:r>
          </w:p>
        </w:tc>
        <w:tc>
          <w:tcPr>
            <w:tcW w:w="850" w:type="dxa"/>
            <w:tcBorders>
              <w:left w:val="nil"/>
              <w:bottom w:val="single" w:sz="4" w:space="0" w:color="auto"/>
              <w:right w:val="nil"/>
            </w:tcBorders>
            <w:noWrap/>
            <w:vAlign w:val="bottom"/>
          </w:tcPr>
          <w:p w14:paraId="4A4F6C0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(7)</w:t>
            </w:r>
          </w:p>
        </w:tc>
        <w:tc>
          <w:tcPr>
            <w:tcW w:w="851" w:type="dxa"/>
            <w:tcBorders>
              <w:left w:val="nil"/>
              <w:bottom w:val="single" w:sz="4" w:space="0" w:color="auto"/>
              <w:right w:val="nil"/>
            </w:tcBorders>
            <w:noWrap/>
            <w:vAlign w:val="bottom"/>
          </w:tcPr>
          <w:p w14:paraId="63EFC4C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(8)</w:t>
            </w:r>
          </w:p>
        </w:tc>
      </w:tr>
      <w:tr w:rsidR="004D5D50" w:rsidRPr="00F67060" w14:paraId="701C1B0A" w14:textId="77777777" w:rsidTr="004A2E8B">
        <w:trPr>
          <w:trHeight w:val="300"/>
          <w:jc w:val="center"/>
        </w:trPr>
        <w:tc>
          <w:tcPr>
            <w:tcW w:w="1843" w:type="dxa"/>
            <w:tcBorders>
              <w:top w:val="nil"/>
              <w:left w:val="nil"/>
              <w:bottom w:val="nil"/>
              <w:right w:val="nil"/>
            </w:tcBorders>
            <w:noWrap/>
            <w:vAlign w:val="bottom"/>
            <w:hideMark/>
          </w:tcPr>
          <w:p w14:paraId="22554462" w14:textId="77777777" w:rsidR="004D5D50" w:rsidRPr="00F67060" w:rsidRDefault="004D5D50" w:rsidP="004A2E8B">
            <w:pPr>
              <w:spacing w:after="0" w:line="240" w:lineRule="auto"/>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Intercept</w:t>
            </w:r>
          </w:p>
        </w:tc>
        <w:tc>
          <w:tcPr>
            <w:tcW w:w="755" w:type="dxa"/>
            <w:tcBorders>
              <w:top w:val="nil"/>
              <w:left w:val="nil"/>
              <w:bottom w:val="nil"/>
              <w:right w:val="nil"/>
            </w:tcBorders>
            <w:noWrap/>
            <w:vAlign w:val="bottom"/>
            <w:hideMark/>
          </w:tcPr>
          <w:p w14:paraId="3C2D2A43" w14:textId="77777777" w:rsidR="004D5D50" w:rsidRPr="00F67060" w:rsidRDefault="004D5D50" w:rsidP="004A2E8B">
            <w:pPr>
              <w:spacing w:after="0" w:line="240" w:lineRule="auto"/>
              <w:rPr>
                <w:rFonts w:ascii="Times New Roman" w:eastAsia="Times New Roman" w:hAnsi="Times New Roman" w:cs="Times New Roman"/>
                <w:color w:val="000000"/>
                <w:sz w:val="20"/>
                <w:szCs w:val="20"/>
                <w:lang w:eastAsia="en-CA"/>
              </w:rPr>
            </w:pPr>
          </w:p>
        </w:tc>
        <w:tc>
          <w:tcPr>
            <w:tcW w:w="881" w:type="dxa"/>
            <w:tcBorders>
              <w:top w:val="nil"/>
              <w:left w:val="nil"/>
              <w:bottom w:val="nil"/>
              <w:right w:val="nil"/>
            </w:tcBorders>
            <w:noWrap/>
            <w:vAlign w:val="bottom"/>
            <w:hideMark/>
          </w:tcPr>
          <w:p w14:paraId="2BBB193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1.979</w:t>
            </w:r>
          </w:p>
        </w:tc>
        <w:tc>
          <w:tcPr>
            <w:tcW w:w="881" w:type="dxa"/>
            <w:tcBorders>
              <w:top w:val="nil"/>
              <w:left w:val="nil"/>
              <w:bottom w:val="nil"/>
              <w:right w:val="nil"/>
            </w:tcBorders>
            <w:noWrap/>
            <w:vAlign w:val="bottom"/>
            <w:hideMark/>
          </w:tcPr>
          <w:p w14:paraId="43C33AC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1.482</w:t>
            </w:r>
          </w:p>
        </w:tc>
        <w:tc>
          <w:tcPr>
            <w:tcW w:w="879" w:type="dxa"/>
            <w:tcBorders>
              <w:top w:val="nil"/>
              <w:left w:val="nil"/>
              <w:bottom w:val="nil"/>
              <w:right w:val="nil"/>
            </w:tcBorders>
            <w:noWrap/>
            <w:vAlign w:val="bottom"/>
            <w:hideMark/>
          </w:tcPr>
          <w:p w14:paraId="33B1EDE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2.516</w:t>
            </w:r>
          </w:p>
        </w:tc>
        <w:tc>
          <w:tcPr>
            <w:tcW w:w="883" w:type="dxa"/>
            <w:tcBorders>
              <w:top w:val="nil"/>
              <w:left w:val="nil"/>
              <w:bottom w:val="nil"/>
              <w:right w:val="nil"/>
            </w:tcBorders>
            <w:noWrap/>
            <w:vAlign w:val="bottom"/>
            <w:hideMark/>
          </w:tcPr>
          <w:p w14:paraId="4C00B76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1.034</w:t>
            </w:r>
          </w:p>
        </w:tc>
        <w:tc>
          <w:tcPr>
            <w:tcW w:w="449" w:type="dxa"/>
            <w:tcBorders>
              <w:top w:val="nil"/>
              <w:left w:val="nil"/>
              <w:bottom w:val="nil"/>
              <w:right w:val="nil"/>
            </w:tcBorders>
            <w:noWrap/>
            <w:vAlign w:val="bottom"/>
            <w:hideMark/>
          </w:tcPr>
          <w:p w14:paraId="5289716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7DD0DEC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1.892</w:t>
            </w:r>
          </w:p>
        </w:tc>
        <w:tc>
          <w:tcPr>
            <w:tcW w:w="849" w:type="dxa"/>
            <w:tcBorders>
              <w:top w:val="nil"/>
              <w:left w:val="nil"/>
              <w:bottom w:val="nil"/>
              <w:right w:val="nil"/>
            </w:tcBorders>
            <w:noWrap/>
            <w:vAlign w:val="bottom"/>
            <w:hideMark/>
          </w:tcPr>
          <w:p w14:paraId="50FF480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1.382</w:t>
            </w:r>
          </w:p>
        </w:tc>
        <w:tc>
          <w:tcPr>
            <w:tcW w:w="850" w:type="dxa"/>
            <w:tcBorders>
              <w:top w:val="nil"/>
              <w:left w:val="nil"/>
              <w:bottom w:val="nil"/>
              <w:right w:val="nil"/>
            </w:tcBorders>
            <w:noWrap/>
            <w:vAlign w:val="bottom"/>
            <w:hideMark/>
          </w:tcPr>
          <w:p w14:paraId="6C7AA57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2.389</w:t>
            </w:r>
          </w:p>
        </w:tc>
        <w:tc>
          <w:tcPr>
            <w:tcW w:w="851" w:type="dxa"/>
            <w:tcBorders>
              <w:top w:val="nil"/>
              <w:left w:val="nil"/>
              <w:bottom w:val="nil"/>
              <w:right w:val="nil"/>
            </w:tcBorders>
            <w:noWrap/>
            <w:vAlign w:val="bottom"/>
            <w:hideMark/>
          </w:tcPr>
          <w:p w14:paraId="382B4C5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1.007</w:t>
            </w:r>
          </w:p>
        </w:tc>
      </w:tr>
      <w:tr w:rsidR="004D5D50" w:rsidRPr="00F67060" w14:paraId="050B4D0F" w14:textId="77777777" w:rsidTr="004A2E8B">
        <w:trPr>
          <w:trHeight w:val="300"/>
          <w:jc w:val="center"/>
        </w:trPr>
        <w:tc>
          <w:tcPr>
            <w:tcW w:w="1843" w:type="dxa"/>
            <w:tcBorders>
              <w:top w:val="nil"/>
              <w:left w:val="nil"/>
              <w:bottom w:val="nil"/>
              <w:right w:val="nil"/>
            </w:tcBorders>
            <w:noWrap/>
            <w:vAlign w:val="bottom"/>
            <w:hideMark/>
          </w:tcPr>
          <w:p w14:paraId="0146376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755" w:type="dxa"/>
            <w:tcBorders>
              <w:top w:val="nil"/>
              <w:left w:val="nil"/>
              <w:bottom w:val="nil"/>
              <w:right w:val="nil"/>
            </w:tcBorders>
            <w:noWrap/>
            <w:vAlign w:val="bottom"/>
            <w:hideMark/>
          </w:tcPr>
          <w:p w14:paraId="7DC7820A"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bottom w:val="nil"/>
              <w:right w:val="nil"/>
            </w:tcBorders>
            <w:noWrap/>
            <w:vAlign w:val="bottom"/>
            <w:hideMark/>
          </w:tcPr>
          <w:p w14:paraId="69D4B8DC"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1" w:type="dxa"/>
            <w:tcBorders>
              <w:top w:val="nil"/>
              <w:left w:val="nil"/>
              <w:bottom w:val="nil"/>
              <w:right w:val="nil"/>
            </w:tcBorders>
            <w:noWrap/>
            <w:vAlign w:val="bottom"/>
            <w:hideMark/>
          </w:tcPr>
          <w:p w14:paraId="20C4C5A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79" w:type="dxa"/>
            <w:tcBorders>
              <w:top w:val="nil"/>
              <w:left w:val="nil"/>
              <w:bottom w:val="nil"/>
              <w:right w:val="nil"/>
            </w:tcBorders>
            <w:noWrap/>
            <w:vAlign w:val="bottom"/>
            <w:hideMark/>
          </w:tcPr>
          <w:p w14:paraId="37DEBF6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3" w:type="dxa"/>
            <w:tcBorders>
              <w:top w:val="nil"/>
              <w:left w:val="nil"/>
              <w:bottom w:val="nil"/>
              <w:right w:val="nil"/>
            </w:tcBorders>
            <w:noWrap/>
            <w:vAlign w:val="bottom"/>
            <w:hideMark/>
          </w:tcPr>
          <w:p w14:paraId="7761AD4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449" w:type="dxa"/>
            <w:tcBorders>
              <w:top w:val="nil"/>
              <w:left w:val="nil"/>
              <w:bottom w:val="nil"/>
              <w:right w:val="nil"/>
            </w:tcBorders>
            <w:noWrap/>
            <w:vAlign w:val="bottom"/>
            <w:hideMark/>
          </w:tcPr>
          <w:p w14:paraId="79426FD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04C9512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49" w:type="dxa"/>
            <w:tcBorders>
              <w:top w:val="nil"/>
              <w:left w:val="nil"/>
              <w:bottom w:val="nil"/>
              <w:right w:val="nil"/>
            </w:tcBorders>
            <w:noWrap/>
            <w:vAlign w:val="bottom"/>
            <w:hideMark/>
          </w:tcPr>
          <w:p w14:paraId="3A3B8BC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0" w:type="dxa"/>
            <w:tcBorders>
              <w:top w:val="nil"/>
              <w:left w:val="nil"/>
              <w:bottom w:val="nil"/>
              <w:right w:val="nil"/>
            </w:tcBorders>
            <w:noWrap/>
            <w:vAlign w:val="bottom"/>
            <w:hideMark/>
          </w:tcPr>
          <w:p w14:paraId="196F259F" w14:textId="77777777" w:rsidR="004D5D50" w:rsidRPr="00F67060" w:rsidRDefault="004D5D50" w:rsidP="004A2E8B">
            <w:pPr>
              <w:spacing w:after="0" w:line="240" w:lineRule="auto"/>
              <w:ind w:right="-42"/>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1" w:type="dxa"/>
            <w:tcBorders>
              <w:top w:val="nil"/>
              <w:left w:val="nil"/>
              <w:bottom w:val="nil"/>
              <w:right w:val="nil"/>
            </w:tcBorders>
            <w:noWrap/>
            <w:vAlign w:val="bottom"/>
            <w:hideMark/>
          </w:tcPr>
          <w:p w14:paraId="5802F8B0"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67060" w14:paraId="5A665B99" w14:textId="77777777" w:rsidTr="004A2E8B">
        <w:trPr>
          <w:trHeight w:val="300"/>
          <w:jc w:val="center"/>
        </w:trPr>
        <w:tc>
          <w:tcPr>
            <w:tcW w:w="1843" w:type="dxa"/>
            <w:tcBorders>
              <w:top w:val="nil"/>
              <w:left w:val="nil"/>
              <w:bottom w:val="nil"/>
              <w:right w:val="nil"/>
            </w:tcBorders>
            <w:noWrap/>
            <w:vAlign w:val="bottom"/>
            <w:hideMark/>
          </w:tcPr>
          <w:p w14:paraId="1D97F91D" w14:textId="77777777" w:rsidR="004D5D50" w:rsidRPr="00F67060" w:rsidRDefault="004D5D50" w:rsidP="004A2E8B">
            <w:pPr>
              <w:spacing w:after="0" w:line="240" w:lineRule="auto"/>
              <w:rPr>
                <w:rFonts w:ascii="Times New Roman" w:eastAsia="Times New Roman" w:hAnsi="Times New Roman" w:cs="Times New Roman"/>
                <w:i/>
                <w:iCs/>
                <w:color w:val="000000"/>
                <w:sz w:val="20"/>
                <w:szCs w:val="20"/>
                <w:lang w:eastAsia="en-CA"/>
              </w:rPr>
            </w:pPr>
            <w:r w:rsidRPr="00F67060">
              <w:rPr>
                <w:rFonts w:ascii="Times New Roman" w:eastAsia="Times New Roman" w:hAnsi="Times New Roman" w:cs="Times New Roman"/>
                <w:i/>
                <w:iCs/>
                <w:color w:val="000000"/>
                <w:sz w:val="20"/>
                <w:szCs w:val="20"/>
                <w:lang w:eastAsia="en-CA"/>
              </w:rPr>
              <w:t>b</w:t>
            </w:r>
          </w:p>
        </w:tc>
        <w:tc>
          <w:tcPr>
            <w:tcW w:w="755" w:type="dxa"/>
            <w:tcBorders>
              <w:top w:val="nil"/>
              <w:left w:val="nil"/>
              <w:bottom w:val="nil"/>
              <w:right w:val="nil"/>
            </w:tcBorders>
            <w:noWrap/>
            <w:vAlign w:val="bottom"/>
            <w:hideMark/>
          </w:tcPr>
          <w:p w14:paraId="6A3C9E02" w14:textId="77777777" w:rsidR="004D5D50" w:rsidRPr="00F67060"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881" w:type="dxa"/>
            <w:tcBorders>
              <w:top w:val="nil"/>
              <w:left w:val="nil"/>
              <w:bottom w:val="nil"/>
              <w:right w:val="nil"/>
            </w:tcBorders>
            <w:noWrap/>
            <w:vAlign w:val="bottom"/>
            <w:hideMark/>
          </w:tcPr>
          <w:p w14:paraId="32868FB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0.575</w:t>
            </w:r>
          </w:p>
        </w:tc>
        <w:tc>
          <w:tcPr>
            <w:tcW w:w="881" w:type="dxa"/>
            <w:tcBorders>
              <w:top w:val="nil"/>
              <w:left w:val="nil"/>
              <w:bottom w:val="nil"/>
              <w:right w:val="nil"/>
            </w:tcBorders>
            <w:noWrap/>
            <w:vAlign w:val="bottom"/>
            <w:hideMark/>
          </w:tcPr>
          <w:p w14:paraId="6F4422E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0.560</w:t>
            </w:r>
          </w:p>
        </w:tc>
        <w:tc>
          <w:tcPr>
            <w:tcW w:w="879" w:type="dxa"/>
            <w:tcBorders>
              <w:top w:val="nil"/>
              <w:left w:val="nil"/>
              <w:bottom w:val="nil"/>
              <w:right w:val="nil"/>
            </w:tcBorders>
            <w:noWrap/>
            <w:vAlign w:val="bottom"/>
            <w:hideMark/>
          </w:tcPr>
          <w:p w14:paraId="23FC572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0.563</w:t>
            </w:r>
          </w:p>
        </w:tc>
        <w:tc>
          <w:tcPr>
            <w:tcW w:w="883" w:type="dxa"/>
            <w:tcBorders>
              <w:top w:val="nil"/>
              <w:left w:val="nil"/>
              <w:bottom w:val="nil"/>
              <w:right w:val="nil"/>
            </w:tcBorders>
            <w:noWrap/>
            <w:vAlign w:val="bottom"/>
            <w:hideMark/>
          </w:tcPr>
          <w:p w14:paraId="22A76B0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0.002</w:t>
            </w:r>
          </w:p>
        </w:tc>
        <w:tc>
          <w:tcPr>
            <w:tcW w:w="449" w:type="dxa"/>
            <w:tcBorders>
              <w:top w:val="nil"/>
              <w:left w:val="nil"/>
              <w:bottom w:val="nil"/>
              <w:right w:val="nil"/>
            </w:tcBorders>
            <w:noWrap/>
            <w:vAlign w:val="bottom"/>
            <w:hideMark/>
          </w:tcPr>
          <w:p w14:paraId="0BC19D7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1DC1F73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0.576</w:t>
            </w:r>
          </w:p>
        </w:tc>
        <w:tc>
          <w:tcPr>
            <w:tcW w:w="849" w:type="dxa"/>
            <w:tcBorders>
              <w:top w:val="nil"/>
              <w:left w:val="nil"/>
              <w:bottom w:val="nil"/>
              <w:right w:val="nil"/>
            </w:tcBorders>
            <w:noWrap/>
            <w:vAlign w:val="bottom"/>
            <w:hideMark/>
          </w:tcPr>
          <w:p w14:paraId="3535691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0.568</w:t>
            </w:r>
          </w:p>
        </w:tc>
        <w:tc>
          <w:tcPr>
            <w:tcW w:w="850" w:type="dxa"/>
            <w:tcBorders>
              <w:top w:val="nil"/>
              <w:left w:val="nil"/>
              <w:bottom w:val="nil"/>
              <w:right w:val="nil"/>
            </w:tcBorders>
            <w:noWrap/>
            <w:vAlign w:val="bottom"/>
            <w:hideMark/>
          </w:tcPr>
          <w:p w14:paraId="5D0DAA70"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0.552</w:t>
            </w:r>
          </w:p>
        </w:tc>
        <w:tc>
          <w:tcPr>
            <w:tcW w:w="851" w:type="dxa"/>
            <w:tcBorders>
              <w:top w:val="nil"/>
              <w:left w:val="nil"/>
              <w:bottom w:val="nil"/>
              <w:right w:val="nil"/>
            </w:tcBorders>
            <w:noWrap/>
            <w:vAlign w:val="bottom"/>
            <w:hideMark/>
          </w:tcPr>
          <w:p w14:paraId="70507A0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-0.017</w:t>
            </w:r>
          </w:p>
        </w:tc>
      </w:tr>
      <w:tr w:rsidR="004D5D50" w:rsidRPr="00F67060" w14:paraId="10700120" w14:textId="77777777" w:rsidTr="004A2E8B">
        <w:trPr>
          <w:trHeight w:val="300"/>
          <w:jc w:val="center"/>
        </w:trPr>
        <w:tc>
          <w:tcPr>
            <w:tcW w:w="1843" w:type="dxa"/>
            <w:tcBorders>
              <w:top w:val="nil"/>
              <w:left w:val="nil"/>
              <w:bottom w:val="nil"/>
              <w:right w:val="nil"/>
            </w:tcBorders>
            <w:noWrap/>
            <w:vAlign w:val="bottom"/>
            <w:hideMark/>
          </w:tcPr>
          <w:p w14:paraId="23D4DC9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755" w:type="dxa"/>
            <w:tcBorders>
              <w:top w:val="nil"/>
              <w:left w:val="nil"/>
              <w:bottom w:val="nil"/>
              <w:right w:val="nil"/>
            </w:tcBorders>
            <w:noWrap/>
            <w:vAlign w:val="bottom"/>
            <w:hideMark/>
          </w:tcPr>
          <w:p w14:paraId="381E744D"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bottom w:val="nil"/>
              <w:right w:val="nil"/>
            </w:tcBorders>
            <w:noWrap/>
            <w:vAlign w:val="bottom"/>
            <w:hideMark/>
          </w:tcPr>
          <w:p w14:paraId="03608EB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1" w:type="dxa"/>
            <w:tcBorders>
              <w:top w:val="nil"/>
              <w:left w:val="nil"/>
              <w:bottom w:val="nil"/>
              <w:right w:val="nil"/>
            </w:tcBorders>
            <w:noWrap/>
            <w:vAlign w:val="bottom"/>
            <w:hideMark/>
          </w:tcPr>
          <w:p w14:paraId="2A4F7C5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79" w:type="dxa"/>
            <w:tcBorders>
              <w:top w:val="nil"/>
              <w:left w:val="nil"/>
              <w:bottom w:val="nil"/>
              <w:right w:val="nil"/>
            </w:tcBorders>
            <w:noWrap/>
            <w:vAlign w:val="bottom"/>
            <w:hideMark/>
          </w:tcPr>
          <w:p w14:paraId="4661CD2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3" w:type="dxa"/>
            <w:tcBorders>
              <w:top w:val="nil"/>
              <w:left w:val="nil"/>
              <w:bottom w:val="nil"/>
              <w:right w:val="nil"/>
            </w:tcBorders>
            <w:noWrap/>
            <w:vAlign w:val="bottom"/>
            <w:hideMark/>
          </w:tcPr>
          <w:p w14:paraId="3107355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0.893</w:t>
            </w:r>
            <w:r>
              <w:rPr>
                <w:rFonts w:ascii="Times New Roman" w:eastAsia="Times New Roman" w:hAnsi="Times New Roman" w:cs="Times New Roman"/>
                <w:color w:val="000000"/>
                <w:sz w:val="20"/>
                <w:szCs w:val="20"/>
                <w:lang w:eastAsia="en-GB"/>
              </w:rPr>
              <w:t>)</w:t>
            </w:r>
          </w:p>
        </w:tc>
        <w:tc>
          <w:tcPr>
            <w:tcW w:w="449" w:type="dxa"/>
            <w:tcBorders>
              <w:top w:val="nil"/>
              <w:left w:val="nil"/>
              <w:bottom w:val="nil"/>
              <w:right w:val="nil"/>
            </w:tcBorders>
            <w:noWrap/>
            <w:vAlign w:val="bottom"/>
            <w:hideMark/>
          </w:tcPr>
          <w:p w14:paraId="7C95457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05967BF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49" w:type="dxa"/>
            <w:tcBorders>
              <w:top w:val="nil"/>
              <w:left w:val="nil"/>
              <w:bottom w:val="nil"/>
              <w:right w:val="nil"/>
            </w:tcBorders>
            <w:noWrap/>
            <w:vAlign w:val="bottom"/>
            <w:hideMark/>
          </w:tcPr>
          <w:p w14:paraId="791E59E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0" w:type="dxa"/>
            <w:tcBorders>
              <w:top w:val="nil"/>
              <w:left w:val="nil"/>
              <w:bottom w:val="nil"/>
              <w:right w:val="nil"/>
            </w:tcBorders>
            <w:noWrap/>
            <w:vAlign w:val="bottom"/>
            <w:hideMark/>
          </w:tcPr>
          <w:p w14:paraId="1C6C662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1" w:type="dxa"/>
            <w:tcBorders>
              <w:top w:val="nil"/>
              <w:left w:val="nil"/>
              <w:bottom w:val="nil"/>
              <w:right w:val="nil"/>
            </w:tcBorders>
            <w:noWrap/>
            <w:vAlign w:val="bottom"/>
            <w:hideMark/>
          </w:tcPr>
          <w:p w14:paraId="0597179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0.347</w:t>
            </w:r>
            <w:r>
              <w:rPr>
                <w:rFonts w:ascii="Times New Roman" w:eastAsia="Times New Roman" w:hAnsi="Times New Roman" w:cs="Times New Roman"/>
                <w:color w:val="000000"/>
                <w:sz w:val="20"/>
                <w:szCs w:val="20"/>
                <w:lang w:eastAsia="en-GB"/>
              </w:rPr>
              <w:t>)</w:t>
            </w:r>
          </w:p>
        </w:tc>
      </w:tr>
      <w:tr w:rsidR="004D5D50" w:rsidRPr="00F67060" w14:paraId="67194FE3" w14:textId="77777777" w:rsidTr="004A2E8B">
        <w:trPr>
          <w:trHeight w:val="300"/>
          <w:jc w:val="center"/>
        </w:trPr>
        <w:tc>
          <w:tcPr>
            <w:tcW w:w="1843" w:type="dxa"/>
            <w:tcBorders>
              <w:top w:val="nil"/>
              <w:left w:val="nil"/>
              <w:bottom w:val="nil"/>
              <w:right w:val="nil"/>
            </w:tcBorders>
            <w:noWrap/>
            <w:vAlign w:val="bottom"/>
            <w:hideMark/>
          </w:tcPr>
          <w:p w14:paraId="33E7EE3C" w14:textId="77777777" w:rsidR="004D5D50" w:rsidRPr="00F67060" w:rsidRDefault="004D5D50" w:rsidP="004A2E8B">
            <w:pPr>
              <w:spacing w:after="0" w:line="240" w:lineRule="auto"/>
              <w:rPr>
                <w:rFonts w:ascii="Times New Roman" w:eastAsia="Times New Roman" w:hAnsi="Times New Roman" w:cs="Times New Roman"/>
                <w:i/>
                <w:iCs/>
                <w:color w:val="000000"/>
                <w:sz w:val="20"/>
                <w:szCs w:val="20"/>
                <w:lang w:eastAsia="en-CA"/>
              </w:rPr>
            </w:pPr>
            <w:r w:rsidRPr="00F67060">
              <w:rPr>
                <w:rFonts w:ascii="Times New Roman" w:eastAsia="Times New Roman" w:hAnsi="Times New Roman" w:cs="Times New Roman"/>
                <w:i/>
                <w:iCs/>
                <w:color w:val="000000"/>
                <w:sz w:val="20"/>
                <w:szCs w:val="20"/>
                <w:lang w:eastAsia="en-CA"/>
              </w:rPr>
              <w:t>|earn|</w:t>
            </w:r>
          </w:p>
        </w:tc>
        <w:tc>
          <w:tcPr>
            <w:tcW w:w="755" w:type="dxa"/>
            <w:tcBorders>
              <w:top w:val="nil"/>
              <w:left w:val="nil"/>
              <w:bottom w:val="nil"/>
              <w:right w:val="nil"/>
            </w:tcBorders>
            <w:noWrap/>
            <w:vAlign w:val="bottom"/>
            <w:hideMark/>
          </w:tcPr>
          <w:p w14:paraId="63AB43D2" w14:textId="77777777" w:rsidR="004D5D50" w:rsidRPr="00F67060"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881" w:type="dxa"/>
            <w:tcBorders>
              <w:top w:val="nil"/>
              <w:left w:val="nil"/>
              <w:bottom w:val="nil"/>
              <w:right w:val="nil"/>
            </w:tcBorders>
            <w:noWrap/>
            <w:vAlign w:val="bottom"/>
            <w:hideMark/>
          </w:tcPr>
          <w:p w14:paraId="3C55A8D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0.260</w:t>
            </w:r>
          </w:p>
        </w:tc>
        <w:tc>
          <w:tcPr>
            <w:tcW w:w="881" w:type="dxa"/>
            <w:tcBorders>
              <w:top w:val="nil"/>
              <w:left w:val="nil"/>
              <w:bottom w:val="nil"/>
              <w:right w:val="nil"/>
            </w:tcBorders>
            <w:noWrap/>
            <w:vAlign w:val="bottom"/>
            <w:hideMark/>
          </w:tcPr>
          <w:p w14:paraId="3D3AA92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0.354</w:t>
            </w:r>
          </w:p>
        </w:tc>
        <w:tc>
          <w:tcPr>
            <w:tcW w:w="879" w:type="dxa"/>
            <w:tcBorders>
              <w:top w:val="nil"/>
              <w:left w:val="nil"/>
              <w:bottom w:val="nil"/>
              <w:right w:val="nil"/>
            </w:tcBorders>
            <w:noWrap/>
            <w:vAlign w:val="bottom"/>
            <w:hideMark/>
          </w:tcPr>
          <w:p w14:paraId="0E790D3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0.255</w:t>
            </w:r>
          </w:p>
        </w:tc>
        <w:tc>
          <w:tcPr>
            <w:tcW w:w="883" w:type="dxa"/>
            <w:tcBorders>
              <w:top w:val="nil"/>
              <w:left w:val="nil"/>
              <w:bottom w:val="nil"/>
              <w:right w:val="nil"/>
            </w:tcBorders>
            <w:noWrap/>
            <w:vAlign w:val="bottom"/>
            <w:hideMark/>
          </w:tcPr>
          <w:p w14:paraId="54FD106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-0.099</w:t>
            </w:r>
          </w:p>
        </w:tc>
        <w:tc>
          <w:tcPr>
            <w:tcW w:w="449" w:type="dxa"/>
            <w:tcBorders>
              <w:top w:val="nil"/>
              <w:left w:val="nil"/>
              <w:bottom w:val="nil"/>
              <w:right w:val="nil"/>
            </w:tcBorders>
            <w:noWrap/>
            <w:vAlign w:val="bottom"/>
            <w:hideMark/>
          </w:tcPr>
          <w:p w14:paraId="0B6C4C2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54B2B8E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0.335</w:t>
            </w:r>
          </w:p>
        </w:tc>
        <w:tc>
          <w:tcPr>
            <w:tcW w:w="849" w:type="dxa"/>
            <w:tcBorders>
              <w:top w:val="nil"/>
              <w:left w:val="nil"/>
              <w:bottom w:val="nil"/>
              <w:right w:val="nil"/>
            </w:tcBorders>
            <w:noWrap/>
            <w:vAlign w:val="bottom"/>
            <w:hideMark/>
          </w:tcPr>
          <w:p w14:paraId="676D5BD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0.395</w:t>
            </w:r>
          </w:p>
        </w:tc>
        <w:tc>
          <w:tcPr>
            <w:tcW w:w="850" w:type="dxa"/>
            <w:tcBorders>
              <w:top w:val="nil"/>
              <w:left w:val="nil"/>
              <w:bottom w:val="nil"/>
              <w:right w:val="nil"/>
            </w:tcBorders>
            <w:noWrap/>
            <w:vAlign w:val="bottom"/>
            <w:hideMark/>
          </w:tcPr>
          <w:p w14:paraId="6969886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0.337</w:t>
            </w:r>
          </w:p>
        </w:tc>
        <w:tc>
          <w:tcPr>
            <w:tcW w:w="851" w:type="dxa"/>
            <w:tcBorders>
              <w:top w:val="nil"/>
              <w:left w:val="nil"/>
              <w:bottom w:val="nil"/>
              <w:right w:val="nil"/>
            </w:tcBorders>
            <w:noWrap/>
            <w:vAlign w:val="bottom"/>
            <w:hideMark/>
          </w:tcPr>
          <w:p w14:paraId="10A362FD"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-0.059</w:t>
            </w:r>
          </w:p>
        </w:tc>
      </w:tr>
      <w:tr w:rsidR="004D5D50" w:rsidRPr="00F67060" w14:paraId="3D9D1973" w14:textId="77777777" w:rsidTr="004A2E8B">
        <w:trPr>
          <w:trHeight w:val="300"/>
          <w:jc w:val="center"/>
        </w:trPr>
        <w:tc>
          <w:tcPr>
            <w:tcW w:w="1843" w:type="dxa"/>
            <w:tcBorders>
              <w:top w:val="nil"/>
              <w:left w:val="nil"/>
              <w:bottom w:val="nil"/>
              <w:right w:val="nil"/>
            </w:tcBorders>
            <w:noWrap/>
            <w:vAlign w:val="bottom"/>
            <w:hideMark/>
          </w:tcPr>
          <w:p w14:paraId="511A985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755" w:type="dxa"/>
            <w:tcBorders>
              <w:top w:val="nil"/>
              <w:left w:val="nil"/>
              <w:bottom w:val="nil"/>
              <w:right w:val="nil"/>
            </w:tcBorders>
            <w:noWrap/>
            <w:vAlign w:val="bottom"/>
            <w:hideMark/>
          </w:tcPr>
          <w:p w14:paraId="045362DB"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bottom w:val="nil"/>
              <w:right w:val="nil"/>
            </w:tcBorders>
            <w:noWrap/>
            <w:vAlign w:val="bottom"/>
            <w:hideMark/>
          </w:tcPr>
          <w:p w14:paraId="0E041AD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1" w:type="dxa"/>
            <w:tcBorders>
              <w:top w:val="nil"/>
              <w:left w:val="nil"/>
              <w:bottom w:val="nil"/>
              <w:right w:val="nil"/>
            </w:tcBorders>
            <w:noWrap/>
            <w:vAlign w:val="bottom"/>
            <w:hideMark/>
          </w:tcPr>
          <w:p w14:paraId="4E86752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79" w:type="dxa"/>
            <w:tcBorders>
              <w:top w:val="nil"/>
              <w:left w:val="nil"/>
              <w:bottom w:val="nil"/>
              <w:right w:val="nil"/>
            </w:tcBorders>
            <w:noWrap/>
            <w:vAlign w:val="bottom"/>
            <w:hideMark/>
          </w:tcPr>
          <w:p w14:paraId="174A661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3" w:type="dxa"/>
            <w:tcBorders>
              <w:top w:val="nil"/>
              <w:left w:val="nil"/>
              <w:bottom w:val="nil"/>
              <w:right w:val="nil"/>
            </w:tcBorders>
            <w:noWrap/>
            <w:vAlign w:val="bottom"/>
            <w:hideMark/>
          </w:tcPr>
          <w:p w14:paraId="1C3A536C"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449" w:type="dxa"/>
            <w:tcBorders>
              <w:top w:val="nil"/>
              <w:left w:val="nil"/>
              <w:bottom w:val="nil"/>
              <w:right w:val="nil"/>
            </w:tcBorders>
            <w:noWrap/>
            <w:vAlign w:val="bottom"/>
            <w:hideMark/>
          </w:tcPr>
          <w:p w14:paraId="049F276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68B6A99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49" w:type="dxa"/>
            <w:tcBorders>
              <w:top w:val="nil"/>
              <w:left w:val="nil"/>
              <w:bottom w:val="nil"/>
              <w:right w:val="nil"/>
            </w:tcBorders>
            <w:noWrap/>
            <w:vAlign w:val="bottom"/>
            <w:hideMark/>
          </w:tcPr>
          <w:p w14:paraId="4294577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0" w:type="dxa"/>
            <w:tcBorders>
              <w:top w:val="nil"/>
              <w:left w:val="nil"/>
              <w:bottom w:val="nil"/>
              <w:right w:val="nil"/>
            </w:tcBorders>
            <w:noWrap/>
            <w:vAlign w:val="bottom"/>
            <w:hideMark/>
          </w:tcPr>
          <w:p w14:paraId="4FECAC7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1" w:type="dxa"/>
            <w:tcBorders>
              <w:top w:val="nil"/>
              <w:left w:val="nil"/>
              <w:bottom w:val="nil"/>
              <w:right w:val="nil"/>
            </w:tcBorders>
            <w:noWrap/>
            <w:vAlign w:val="bottom"/>
            <w:hideMark/>
          </w:tcPr>
          <w:p w14:paraId="45A09C6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0.005</w:t>
            </w:r>
            <w:r>
              <w:rPr>
                <w:rFonts w:ascii="Times New Roman" w:eastAsia="Times New Roman" w:hAnsi="Times New Roman" w:cs="Times New Roman"/>
                <w:color w:val="000000"/>
                <w:sz w:val="20"/>
                <w:szCs w:val="20"/>
                <w:lang w:eastAsia="en-GB"/>
              </w:rPr>
              <w:t>)</w:t>
            </w:r>
          </w:p>
        </w:tc>
      </w:tr>
      <w:tr w:rsidR="004D5D50" w:rsidRPr="00F67060" w14:paraId="0A8E17F1" w14:textId="77777777" w:rsidTr="004A2E8B">
        <w:trPr>
          <w:trHeight w:val="300"/>
          <w:jc w:val="center"/>
        </w:trPr>
        <w:tc>
          <w:tcPr>
            <w:tcW w:w="1843" w:type="dxa"/>
            <w:tcBorders>
              <w:top w:val="nil"/>
              <w:left w:val="nil"/>
              <w:bottom w:val="nil"/>
              <w:right w:val="nil"/>
            </w:tcBorders>
            <w:noWrap/>
            <w:vAlign w:val="bottom"/>
          </w:tcPr>
          <w:p w14:paraId="4EE6182F" w14:textId="77777777" w:rsidR="004D5D50" w:rsidRPr="00F67060" w:rsidRDefault="004D5D50" w:rsidP="004A2E8B">
            <w:pPr>
              <w:spacing w:after="0" w:line="240" w:lineRule="auto"/>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i/>
                <w:iCs/>
                <w:color w:val="000000"/>
                <w:sz w:val="20"/>
                <w:szCs w:val="20"/>
                <w:lang w:eastAsia="en-CA"/>
              </w:rPr>
              <w:t>|earn|×I</w:t>
            </w:r>
            <w:r w:rsidRPr="00F67060">
              <w:rPr>
                <w:rFonts w:ascii="Times New Roman" w:eastAsia="Times New Roman" w:hAnsi="Times New Roman" w:cs="Times New Roman"/>
                <w:i/>
                <w:iCs/>
                <w:color w:val="000000"/>
                <w:sz w:val="20"/>
                <w:szCs w:val="20"/>
                <w:vertAlign w:val="subscript"/>
                <w:lang w:eastAsia="en-CA"/>
              </w:rPr>
              <w:t>EARN&lt;0</w:t>
            </w:r>
          </w:p>
        </w:tc>
        <w:tc>
          <w:tcPr>
            <w:tcW w:w="755" w:type="dxa"/>
            <w:tcBorders>
              <w:top w:val="nil"/>
              <w:left w:val="nil"/>
              <w:bottom w:val="nil"/>
              <w:right w:val="nil"/>
            </w:tcBorders>
            <w:noWrap/>
            <w:vAlign w:val="bottom"/>
          </w:tcPr>
          <w:p w14:paraId="6C3AA0E2"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bottom w:val="nil"/>
              <w:right w:val="nil"/>
            </w:tcBorders>
            <w:noWrap/>
            <w:vAlign w:val="bottom"/>
          </w:tcPr>
          <w:p w14:paraId="203AE7D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9823FA">
              <w:rPr>
                <w:rFonts w:ascii="Times New Roman" w:eastAsia="Times New Roman" w:hAnsi="Times New Roman" w:cs="Times New Roman"/>
                <w:color w:val="000000"/>
                <w:sz w:val="20"/>
                <w:szCs w:val="20"/>
                <w:lang w:eastAsia="en-GB"/>
              </w:rPr>
              <w:t>-0.279</w:t>
            </w:r>
          </w:p>
        </w:tc>
        <w:tc>
          <w:tcPr>
            <w:tcW w:w="881" w:type="dxa"/>
            <w:tcBorders>
              <w:top w:val="nil"/>
              <w:left w:val="nil"/>
              <w:bottom w:val="nil"/>
              <w:right w:val="nil"/>
            </w:tcBorders>
            <w:noWrap/>
            <w:vAlign w:val="bottom"/>
          </w:tcPr>
          <w:p w14:paraId="0EDC6EE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9823FA">
              <w:rPr>
                <w:rFonts w:ascii="Times New Roman" w:eastAsia="Times New Roman" w:hAnsi="Times New Roman" w:cs="Times New Roman"/>
                <w:color w:val="000000"/>
                <w:sz w:val="20"/>
                <w:szCs w:val="20"/>
                <w:lang w:eastAsia="en-GB"/>
              </w:rPr>
              <w:t>-0.365</w:t>
            </w:r>
          </w:p>
        </w:tc>
        <w:tc>
          <w:tcPr>
            <w:tcW w:w="879" w:type="dxa"/>
            <w:tcBorders>
              <w:top w:val="nil"/>
              <w:left w:val="nil"/>
              <w:bottom w:val="nil"/>
              <w:right w:val="nil"/>
            </w:tcBorders>
            <w:noWrap/>
            <w:vAlign w:val="bottom"/>
          </w:tcPr>
          <w:p w14:paraId="399696C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9823FA">
              <w:rPr>
                <w:rFonts w:ascii="Times New Roman" w:eastAsia="Times New Roman" w:hAnsi="Times New Roman" w:cs="Times New Roman"/>
                <w:color w:val="000000"/>
                <w:sz w:val="20"/>
                <w:szCs w:val="20"/>
                <w:lang w:eastAsia="en-GB"/>
              </w:rPr>
              <w:t>-0.246</w:t>
            </w:r>
          </w:p>
        </w:tc>
        <w:tc>
          <w:tcPr>
            <w:tcW w:w="883" w:type="dxa"/>
            <w:tcBorders>
              <w:top w:val="nil"/>
              <w:left w:val="nil"/>
              <w:bottom w:val="nil"/>
              <w:right w:val="nil"/>
            </w:tcBorders>
            <w:noWrap/>
            <w:vAlign w:val="bottom"/>
          </w:tcPr>
          <w:p w14:paraId="6123902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9823FA">
              <w:rPr>
                <w:rFonts w:ascii="Times New Roman" w:eastAsia="Times New Roman" w:hAnsi="Times New Roman" w:cs="Times New Roman"/>
                <w:color w:val="000000"/>
                <w:sz w:val="20"/>
                <w:szCs w:val="20"/>
                <w:lang w:eastAsia="en-GB"/>
              </w:rPr>
              <w:t>0.119</w:t>
            </w:r>
          </w:p>
        </w:tc>
        <w:tc>
          <w:tcPr>
            <w:tcW w:w="449" w:type="dxa"/>
            <w:tcBorders>
              <w:top w:val="nil"/>
              <w:left w:val="nil"/>
              <w:bottom w:val="nil"/>
              <w:right w:val="nil"/>
            </w:tcBorders>
            <w:noWrap/>
            <w:vAlign w:val="bottom"/>
          </w:tcPr>
          <w:p w14:paraId="2C5F3BE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tcPr>
          <w:p w14:paraId="5C891AA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C6A4F">
              <w:rPr>
                <w:rFonts w:ascii="Times New Roman" w:eastAsia="Times New Roman" w:hAnsi="Times New Roman" w:cs="Times New Roman"/>
                <w:color w:val="000000"/>
                <w:sz w:val="20"/>
                <w:szCs w:val="20"/>
                <w:lang w:eastAsia="en-GB"/>
              </w:rPr>
              <w:t>-0.229</w:t>
            </w:r>
          </w:p>
        </w:tc>
        <w:tc>
          <w:tcPr>
            <w:tcW w:w="849" w:type="dxa"/>
            <w:tcBorders>
              <w:top w:val="nil"/>
              <w:left w:val="nil"/>
              <w:bottom w:val="nil"/>
              <w:right w:val="nil"/>
            </w:tcBorders>
            <w:noWrap/>
            <w:vAlign w:val="bottom"/>
          </w:tcPr>
          <w:p w14:paraId="12D0526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C6A4F">
              <w:rPr>
                <w:rFonts w:ascii="Times New Roman" w:eastAsia="Times New Roman" w:hAnsi="Times New Roman" w:cs="Times New Roman"/>
                <w:color w:val="000000"/>
                <w:sz w:val="20"/>
                <w:szCs w:val="20"/>
                <w:lang w:eastAsia="en-GB"/>
              </w:rPr>
              <w:t>-0.294</w:t>
            </w:r>
          </w:p>
        </w:tc>
        <w:tc>
          <w:tcPr>
            <w:tcW w:w="850" w:type="dxa"/>
            <w:tcBorders>
              <w:top w:val="nil"/>
              <w:left w:val="nil"/>
              <w:bottom w:val="nil"/>
              <w:right w:val="nil"/>
            </w:tcBorders>
            <w:noWrap/>
            <w:vAlign w:val="bottom"/>
          </w:tcPr>
          <w:p w14:paraId="5CF7370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C6A4F">
              <w:rPr>
                <w:rFonts w:ascii="Times New Roman" w:eastAsia="Times New Roman" w:hAnsi="Times New Roman" w:cs="Times New Roman"/>
                <w:color w:val="000000"/>
                <w:sz w:val="20"/>
                <w:szCs w:val="20"/>
                <w:lang w:eastAsia="en-GB"/>
              </w:rPr>
              <w:t>-0.174</w:t>
            </w:r>
          </w:p>
        </w:tc>
        <w:tc>
          <w:tcPr>
            <w:tcW w:w="851" w:type="dxa"/>
            <w:tcBorders>
              <w:top w:val="nil"/>
              <w:left w:val="nil"/>
              <w:bottom w:val="nil"/>
              <w:right w:val="nil"/>
            </w:tcBorders>
            <w:noWrap/>
            <w:vAlign w:val="bottom"/>
          </w:tcPr>
          <w:p w14:paraId="1306E50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C6A4F">
              <w:rPr>
                <w:rFonts w:ascii="Times New Roman" w:eastAsia="Times New Roman" w:hAnsi="Times New Roman" w:cs="Times New Roman"/>
                <w:color w:val="000000"/>
                <w:sz w:val="20"/>
                <w:szCs w:val="20"/>
                <w:lang w:eastAsia="en-GB"/>
              </w:rPr>
              <w:t>0.119</w:t>
            </w:r>
          </w:p>
        </w:tc>
      </w:tr>
      <w:tr w:rsidR="004D5D50" w:rsidRPr="00F67060" w14:paraId="1240BBF1" w14:textId="77777777" w:rsidTr="004A2E8B">
        <w:trPr>
          <w:trHeight w:val="300"/>
          <w:jc w:val="center"/>
        </w:trPr>
        <w:tc>
          <w:tcPr>
            <w:tcW w:w="1843" w:type="dxa"/>
            <w:tcBorders>
              <w:top w:val="nil"/>
              <w:left w:val="nil"/>
              <w:bottom w:val="nil"/>
              <w:right w:val="nil"/>
            </w:tcBorders>
            <w:noWrap/>
            <w:vAlign w:val="bottom"/>
            <w:hideMark/>
          </w:tcPr>
          <w:p w14:paraId="0839217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755" w:type="dxa"/>
            <w:tcBorders>
              <w:top w:val="nil"/>
              <w:left w:val="nil"/>
              <w:bottom w:val="nil"/>
              <w:right w:val="nil"/>
            </w:tcBorders>
            <w:noWrap/>
            <w:vAlign w:val="bottom"/>
            <w:hideMark/>
          </w:tcPr>
          <w:p w14:paraId="12C58C74"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bottom w:val="nil"/>
              <w:right w:val="nil"/>
            </w:tcBorders>
            <w:noWrap/>
            <w:vAlign w:val="bottom"/>
            <w:hideMark/>
          </w:tcPr>
          <w:p w14:paraId="3FA9F6C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881" w:type="dxa"/>
            <w:tcBorders>
              <w:top w:val="nil"/>
              <w:left w:val="nil"/>
              <w:bottom w:val="nil"/>
              <w:right w:val="nil"/>
            </w:tcBorders>
            <w:noWrap/>
            <w:vAlign w:val="bottom"/>
            <w:hideMark/>
          </w:tcPr>
          <w:p w14:paraId="766D632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879" w:type="dxa"/>
            <w:tcBorders>
              <w:top w:val="nil"/>
              <w:left w:val="nil"/>
              <w:bottom w:val="nil"/>
              <w:right w:val="nil"/>
            </w:tcBorders>
            <w:noWrap/>
            <w:vAlign w:val="bottom"/>
            <w:hideMark/>
          </w:tcPr>
          <w:p w14:paraId="5D81726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0.002</w:t>
            </w:r>
            <w:r>
              <w:rPr>
                <w:rFonts w:ascii="Times New Roman" w:eastAsia="Times New Roman" w:hAnsi="Times New Roman" w:cs="Times New Roman"/>
                <w:color w:val="000000"/>
                <w:sz w:val="20"/>
                <w:szCs w:val="20"/>
                <w:lang w:eastAsia="en-GB"/>
              </w:rPr>
              <w:t>)</w:t>
            </w:r>
          </w:p>
        </w:tc>
        <w:tc>
          <w:tcPr>
            <w:tcW w:w="883" w:type="dxa"/>
            <w:tcBorders>
              <w:top w:val="nil"/>
              <w:left w:val="nil"/>
              <w:bottom w:val="nil"/>
              <w:right w:val="nil"/>
            </w:tcBorders>
            <w:noWrap/>
            <w:vAlign w:val="bottom"/>
            <w:hideMark/>
          </w:tcPr>
          <w:p w14:paraId="4A0E01D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0.008</w:t>
            </w:r>
            <w:r>
              <w:rPr>
                <w:rFonts w:ascii="Times New Roman" w:eastAsia="Times New Roman" w:hAnsi="Times New Roman" w:cs="Times New Roman"/>
                <w:color w:val="000000"/>
                <w:sz w:val="20"/>
                <w:szCs w:val="20"/>
                <w:lang w:eastAsia="en-GB"/>
              </w:rPr>
              <w:t>)</w:t>
            </w:r>
          </w:p>
        </w:tc>
        <w:tc>
          <w:tcPr>
            <w:tcW w:w="449" w:type="dxa"/>
            <w:tcBorders>
              <w:top w:val="nil"/>
              <w:left w:val="nil"/>
              <w:bottom w:val="nil"/>
              <w:right w:val="nil"/>
            </w:tcBorders>
            <w:noWrap/>
            <w:vAlign w:val="bottom"/>
            <w:hideMark/>
          </w:tcPr>
          <w:p w14:paraId="1668EEE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52A1889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49" w:type="dxa"/>
            <w:tcBorders>
              <w:top w:val="nil"/>
              <w:left w:val="nil"/>
              <w:bottom w:val="nil"/>
              <w:right w:val="nil"/>
            </w:tcBorders>
            <w:noWrap/>
            <w:vAlign w:val="bottom"/>
            <w:hideMark/>
          </w:tcPr>
          <w:p w14:paraId="1A026BB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0" w:type="dxa"/>
            <w:tcBorders>
              <w:top w:val="nil"/>
              <w:left w:val="nil"/>
              <w:bottom w:val="nil"/>
              <w:right w:val="nil"/>
            </w:tcBorders>
            <w:noWrap/>
            <w:vAlign w:val="bottom"/>
            <w:hideMark/>
          </w:tcPr>
          <w:p w14:paraId="69EC0BCC"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1" w:type="dxa"/>
            <w:tcBorders>
              <w:top w:val="nil"/>
              <w:left w:val="nil"/>
              <w:bottom w:val="nil"/>
              <w:right w:val="nil"/>
            </w:tcBorders>
            <w:noWrap/>
            <w:vAlign w:val="bottom"/>
            <w:hideMark/>
          </w:tcPr>
          <w:p w14:paraId="1F8D7EA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67060" w14:paraId="02EB0789" w14:textId="77777777" w:rsidTr="004A2E8B">
        <w:trPr>
          <w:trHeight w:val="300"/>
          <w:jc w:val="center"/>
        </w:trPr>
        <w:tc>
          <w:tcPr>
            <w:tcW w:w="1843" w:type="dxa"/>
            <w:tcBorders>
              <w:top w:val="nil"/>
              <w:left w:val="nil"/>
              <w:bottom w:val="nil"/>
              <w:right w:val="nil"/>
            </w:tcBorders>
            <w:noWrap/>
            <w:vAlign w:val="bottom"/>
            <w:hideMark/>
          </w:tcPr>
          <w:p w14:paraId="5876B5E9" w14:textId="77777777" w:rsidR="004D5D50" w:rsidRPr="00F67060" w:rsidRDefault="004D5D50" w:rsidP="004A2E8B">
            <w:pPr>
              <w:spacing w:after="0" w:line="240" w:lineRule="auto"/>
              <w:rPr>
                <w:rFonts w:ascii="Times New Roman" w:eastAsia="Times New Roman" w:hAnsi="Times New Roman" w:cs="Times New Roman"/>
                <w:i/>
                <w:iCs/>
                <w:color w:val="000000"/>
                <w:sz w:val="20"/>
                <w:szCs w:val="20"/>
                <w:lang w:eastAsia="en-CA"/>
              </w:rPr>
            </w:pPr>
            <w:r w:rsidRPr="00F67060">
              <w:rPr>
                <w:rFonts w:ascii="Times New Roman" w:eastAsia="Times New Roman" w:hAnsi="Times New Roman" w:cs="Times New Roman"/>
                <w:i/>
                <w:iCs/>
                <w:color w:val="000000"/>
                <w:sz w:val="20"/>
                <w:szCs w:val="20"/>
                <w:lang w:eastAsia="en-CA"/>
              </w:rPr>
              <w:t>LEV</w:t>
            </w:r>
          </w:p>
        </w:tc>
        <w:tc>
          <w:tcPr>
            <w:tcW w:w="755" w:type="dxa"/>
            <w:tcBorders>
              <w:top w:val="nil"/>
              <w:left w:val="nil"/>
              <w:bottom w:val="nil"/>
              <w:right w:val="nil"/>
            </w:tcBorders>
            <w:noWrap/>
            <w:vAlign w:val="bottom"/>
            <w:hideMark/>
          </w:tcPr>
          <w:p w14:paraId="5D2D8FAC" w14:textId="77777777" w:rsidR="004D5D50" w:rsidRPr="00F67060" w:rsidRDefault="004D5D50" w:rsidP="004A2E8B">
            <w:pPr>
              <w:spacing w:after="0" w:line="240" w:lineRule="auto"/>
              <w:rPr>
                <w:rFonts w:ascii="Times New Roman" w:eastAsia="Times New Roman" w:hAnsi="Times New Roman" w:cs="Times New Roman"/>
                <w:i/>
                <w:iCs/>
                <w:color w:val="000000"/>
                <w:sz w:val="20"/>
                <w:szCs w:val="20"/>
                <w:lang w:eastAsia="en-CA"/>
              </w:rPr>
            </w:pPr>
          </w:p>
        </w:tc>
        <w:tc>
          <w:tcPr>
            <w:tcW w:w="881" w:type="dxa"/>
            <w:tcBorders>
              <w:top w:val="nil"/>
              <w:left w:val="nil"/>
              <w:bottom w:val="nil"/>
              <w:right w:val="nil"/>
            </w:tcBorders>
            <w:noWrap/>
            <w:vAlign w:val="bottom"/>
            <w:hideMark/>
          </w:tcPr>
          <w:p w14:paraId="37EDA62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0.118</w:t>
            </w:r>
          </w:p>
        </w:tc>
        <w:tc>
          <w:tcPr>
            <w:tcW w:w="881" w:type="dxa"/>
            <w:tcBorders>
              <w:top w:val="nil"/>
              <w:left w:val="nil"/>
              <w:bottom w:val="nil"/>
              <w:right w:val="nil"/>
            </w:tcBorders>
            <w:noWrap/>
            <w:vAlign w:val="bottom"/>
            <w:hideMark/>
          </w:tcPr>
          <w:p w14:paraId="330B285D"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0.013</w:t>
            </w:r>
          </w:p>
        </w:tc>
        <w:tc>
          <w:tcPr>
            <w:tcW w:w="879" w:type="dxa"/>
            <w:tcBorders>
              <w:top w:val="nil"/>
              <w:left w:val="nil"/>
              <w:bottom w:val="nil"/>
              <w:right w:val="nil"/>
            </w:tcBorders>
            <w:noWrap/>
            <w:vAlign w:val="bottom"/>
            <w:hideMark/>
          </w:tcPr>
          <w:p w14:paraId="4E18529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0.143</w:t>
            </w:r>
          </w:p>
        </w:tc>
        <w:tc>
          <w:tcPr>
            <w:tcW w:w="883" w:type="dxa"/>
            <w:tcBorders>
              <w:top w:val="nil"/>
              <w:left w:val="nil"/>
              <w:bottom w:val="nil"/>
              <w:right w:val="nil"/>
            </w:tcBorders>
            <w:noWrap/>
            <w:vAlign w:val="bottom"/>
            <w:hideMark/>
          </w:tcPr>
          <w:p w14:paraId="1625971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0.130</w:t>
            </w:r>
          </w:p>
        </w:tc>
        <w:tc>
          <w:tcPr>
            <w:tcW w:w="449" w:type="dxa"/>
            <w:tcBorders>
              <w:top w:val="nil"/>
              <w:left w:val="nil"/>
              <w:bottom w:val="nil"/>
              <w:right w:val="nil"/>
            </w:tcBorders>
            <w:noWrap/>
            <w:vAlign w:val="bottom"/>
            <w:hideMark/>
          </w:tcPr>
          <w:p w14:paraId="3B23241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4E2BE65C"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-0.344</w:t>
            </w:r>
          </w:p>
        </w:tc>
        <w:tc>
          <w:tcPr>
            <w:tcW w:w="849" w:type="dxa"/>
            <w:tcBorders>
              <w:top w:val="nil"/>
              <w:left w:val="nil"/>
              <w:bottom w:val="nil"/>
              <w:right w:val="nil"/>
            </w:tcBorders>
            <w:noWrap/>
            <w:vAlign w:val="bottom"/>
            <w:hideMark/>
          </w:tcPr>
          <w:p w14:paraId="05314220"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-0.444</w:t>
            </w:r>
          </w:p>
        </w:tc>
        <w:tc>
          <w:tcPr>
            <w:tcW w:w="850" w:type="dxa"/>
            <w:tcBorders>
              <w:top w:val="nil"/>
              <w:left w:val="nil"/>
              <w:bottom w:val="nil"/>
              <w:right w:val="nil"/>
            </w:tcBorders>
            <w:noWrap/>
            <w:vAlign w:val="bottom"/>
            <w:hideMark/>
          </w:tcPr>
          <w:p w14:paraId="4DC26BE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-0.227</w:t>
            </w:r>
          </w:p>
        </w:tc>
        <w:tc>
          <w:tcPr>
            <w:tcW w:w="851" w:type="dxa"/>
            <w:tcBorders>
              <w:top w:val="nil"/>
              <w:left w:val="nil"/>
              <w:bottom w:val="nil"/>
              <w:right w:val="nil"/>
            </w:tcBorders>
            <w:noWrap/>
            <w:vAlign w:val="bottom"/>
            <w:hideMark/>
          </w:tcPr>
          <w:p w14:paraId="36B2C2E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0.217</w:t>
            </w:r>
          </w:p>
        </w:tc>
      </w:tr>
      <w:tr w:rsidR="004D5D50" w:rsidRPr="00F67060" w14:paraId="286214B8" w14:textId="77777777" w:rsidTr="004A2E8B">
        <w:trPr>
          <w:trHeight w:val="300"/>
          <w:jc w:val="center"/>
        </w:trPr>
        <w:tc>
          <w:tcPr>
            <w:tcW w:w="1843" w:type="dxa"/>
            <w:tcBorders>
              <w:top w:val="nil"/>
              <w:left w:val="nil"/>
              <w:bottom w:val="nil"/>
              <w:right w:val="nil"/>
            </w:tcBorders>
            <w:noWrap/>
            <w:vAlign w:val="bottom"/>
            <w:hideMark/>
          </w:tcPr>
          <w:p w14:paraId="0D8CC56D"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755" w:type="dxa"/>
            <w:tcBorders>
              <w:top w:val="nil"/>
              <w:left w:val="nil"/>
              <w:bottom w:val="nil"/>
              <w:right w:val="nil"/>
            </w:tcBorders>
            <w:noWrap/>
            <w:vAlign w:val="bottom"/>
            <w:hideMark/>
          </w:tcPr>
          <w:p w14:paraId="6C7E91FB"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bottom w:val="nil"/>
              <w:right w:val="nil"/>
            </w:tcBorders>
            <w:noWrap/>
            <w:vAlign w:val="bottom"/>
            <w:hideMark/>
          </w:tcPr>
          <w:p w14:paraId="4EB3418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0.291</w:t>
            </w:r>
            <w:r>
              <w:rPr>
                <w:rFonts w:ascii="Times New Roman" w:eastAsia="Times New Roman" w:hAnsi="Times New Roman" w:cs="Times New Roman"/>
                <w:color w:val="000000"/>
                <w:sz w:val="20"/>
                <w:szCs w:val="20"/>
                <w:lang w:eastAsia="en-GB"/>
              </w:rPr>
              <w:t>)</w:t>
            </w:r>
          </w:p>
        </w:tc>
        <w:tc>
          <w:tcPr>
            <w:tcW w:w="881" w:type="dxa"/>
            <w:tcBorders>
              <w:top w:val="nil"/>
              <w:left w:val="nil"/>
              <w:bottom w:val="nil"/>
              <w:right w:val="nil"/>
            </w:tcBorders>
            <w:noWrap/>
            <w:vAlign w:val="bottom"/>
            <w:hideMark/>
          </w:tcPr>
          <w:p w14:paraId="4DE658F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0.898</w:t>
            </w:r>
            <w:r>
              <w:rPr>
                <w:rFonts w:ascii="Times New Roman" w:eastAsia="Times New Roman" w:hAnsi="Times New Roman" w:cs="Times New Roman"/>
                <w:color w:val="000000"/>
                <w:sz w:val="20"/>
                <w:szCs w:val="20"/>
                <w:lang w:eastAsia="en-GB"/>
              </w:rPr>
              <w:t>)</w:t>
            </w:r>
          </w:p>
        </w:tc>
        <w:tc>
          <w:tcPr>
            <w:tcW w:w="879" w:type="dxa"/>
            <w:tcBorders>
              <w:top w:val="nil"/>
              <w:left w:val="nil"/>
              <w:bottom w:val="nil"/>
              <w:right w:val="nil"/>
            </w:tcBorders>
            <w:noWrap/>
            <w:vAlign w:val="bottom"/>
            <w:hideMark/>
          </w:tcPr>
          <w:p w14:paraId="18F01C6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0.247</w:t>
            </w:r>
            <w:r>
              <w:rPr>
                <w:rFonts w:ascii="Times New Roman" w:eastAsia="Times New Roman" w:hAnsi="Times New Roman" w:cs="Times New Roman"/>
                <w:color w:val="000000"/>
                <w:sz w:val="20"/>
                <w:szCs w:val="20"/>
                <w:lang w:eastAsia="en-GB"/>
              </w:rPr>
              <w:t>)</w:t>
            </w:r>
          </w:p>
        </w:tc>
        <w:tc>
          <w:tcPr>
            <w:tcW w:w="883" w:type="dxa"/>
            <w:tcBorders>
              <w:top w:val="nil"/>
              <w:left w:val="nil"/>
              <w:bottom w:val="nil"/>
              <w:right w:val="nil"/>
            </w:tcBorders>
            <w:noWrap/>
            <w:vAlign w:val="bottom"/>
            <w:hideMark/>
          </w:tcPr>
          <w:p w14:paraId="4E7D797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0.110</w:t>
            </w:r>
            <w:r>
              <w:rPr>
                <w:rFonts w:ascii="Times New Roman" w:eastAsia="Times New Roman" w:hAnsi="Times New Roman" w:cs="Times New Roman"/>
                <w:color w:val="000000"/>
                <w:sz w:val="20"/>
                <w:szCs w:val="20"/>
                <w:lang w:eastAsia="en-GB"/>
              </w:rPr>
              <w:t>)</w:t>
            </w:r>
          </w:p>
        </w:tc>
        <w:tc>
          <w:tcPr>
            <w:tcW w:w="449" w:type="dxa"/>
            <w:tcBorders>
              <w:top w:val="nil"/>
              <w:left w:val="nil"/>
              <w:bottom w:val="nil"/>
              <w:right w:val="nil"/>
            </w:tcBorders>
            <w:noWrap/>
            <w:vAlign w:val="bottom"/>
            <w:hideMark/>
          </w:tcPr>
          <w:p w14:paraId="3EAAE92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3DC0871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49" w:type="dxa"/>
            <w:tcBorders>
              <w:top w:val="nil"/>
              <w:left w:val="nil"/>
              <w:bottom w:val="nil"/>
              <w:right w:val="nil"/>
            </w:tcBorders>
            <w:noWrap/>
            <w:vAlign w:val="bottom"/>
            <w:hideMark/>
          </w:tcPr>
          <w:p w14:paraId="1E0A6C9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0" w:type="dxa"/>
            <w:tcBorders>
              <w:top w:val="nil"/>
              <w:left w:val="nil"/>
              <w:bottom w:val="nil"/>
              <w:right w:val="nil"/>
            </w:tcBorders>
            <w:noWrap/>
            <w:vAlign w:val="bottom"/>
            <w:hideMark/>
          </w:tcPr>
          <w:p w14:paraId="10F4DFC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0.023</w:t>
            </w:r>
            <w:r>
              <w:rPr>
                <w:rFonts w:ascii="Times New Roman" w:eastAsia="Times New Roman" w:hAnsi="Times New Roman" w:cs="Times New Roman"/>
                <w:color w:val="000000"/>
                <w:sz w:val="20"/>
                <w:szCs w:val="20"/>
                <w:lang w:eastAsia="en-GB"/>
              </w:rPr>
              <w:t>)</w:t>
            </w:r>
          </w:p>
        </w:tc>
        <w:tc>
          <w:tcPr>
            <w:tcW w:w="851" w:type="dxa"/>
            <w:tcBorders>
              <w:top w:val="nil"/>
              <w:left w:val="nil"/>
              <w:bottom w:val="nil"/>
              <w:right w:val="nil"/>
            </w:tcBorders>
            <w:noWrap/>
            <w:vAlign w:val="bottom"/>
            <w:hideMark/>
          </w:tcPr>
          <w:p w14:paraId="1D38D57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0.012</w:t>
            </w:r>
            <w:r>
              <w:rPr>
                <w:rFonts w:ascii="Times New Roman" w:eastAsia="Times New Roman" w:hAnsi="Times New Roman" w:cs="Times New Roman"/>
                <w:color w:val="000000"/>
                <w:sz w:val="20"/>
                <w:szCs w:val="20"/>
                <w:lang w:eastAsia="en-GB"/>
              </w:rPr>
              <w:t>)</w:t>
            </w:r>
          </w:p>
        </w:tc>
      </w:tr>
      <w:tr w:rsidR="004D5D50" w:rsidRPr="00F67060" w14:paraId="4473C3BB" w14:textId="77777777" w:rsidTr="004A2E8B">
        <w:trPr>
          <w:trHeight w:val="300"/>
          <w:jc w:val="center"/>
        </w:trPr>
        <w:tc>
          <w:tcPr>
            <w:tcW w:w="1843" w:type="dxa"/>
            <w:tcBorders>
              <w:top w:val="nil"/>
              <w:left w:val="nil"/>
              <w:bottom w:val="nil"/>
              <w:right w:val="nil"/>
            </w:tcBorders>
            <w:noWrap/>
            <w:vAlign w:val="bottom"/>
            <w:hideMark/>
          </w:tcPr>
          <w:p w14:paraId="55C18C31" w14:textId="77777777" w:rsidR="004D5D50" w:rsidRPr="00F67060" w:rsidRDefault="004D5D50" w:rsidP="004A2E8B">
            <w:pPr>
              <w:spacing w:after="0" w:line="240" w:lineRule="auto"/>
              <w:rPr>
                <w:rFonts w:ascii="Times New Roman" w:eastAsia="Times New Roman" w:hAnsi="Times New Roman" w:cs="Times New Roman"/>
                <w:i/>
                <w:color w:val="000000"/>
                <w:sz w:val="20"/>
                <w:szCs w:val="20"/>
                <w:lang w:eastAsia="en-CA"/>
              </w:rPr>
            </w:pPr>
            <w:proofErr w:type="spellStart"/>
            <w:r w:rsidRPr="00F67060">
              <w:rPr>
                <w:rFonts w:ascii="Times New Roman" w:eastAsia="Times New Roman" w:hAnsi="Times New Roman" w:cs="Times New Roman"/>
                <w:i/>
                <w:color w:val="000000"/>
                <w:sz w:val="20"/>
                <w:szCs w:val="20"/>
                <w:lang w:eastAsia="en-CA"/>
              </w:rPr>
              <w:t>rd</w:t>
            </w:r>
            <w:proofErr w:type="spellEnd"/>
          </w:p>
        </w:tc>
        <w:tc>
          <w:tcPr>
            <w:tcW w:w="755" w:type="dxa"/>
            <w:tcBorders>
              <w:top w:val="nil"/>
              <w:left w:val="nil"/>
              <w:bottom w:val="nil"/>
              <w:right w:val="nil"/>
            </w:tcBorders>
            <w:noWrap/>
            <w:vAlign w:val="bottom"/>
            <w:hideMark/>
          </w:tcPr>
          <w:p w14:paraId="7D2C1A39" w14:textId="77777777" w:rsidR="004D5D50" w:rsidRPr="00F67060" w:rsidRDefault="004D5D50" w:rsidP="004A2E8B">
            <w:pPr>
              <w:spacing w:after="0" w:line="240" w:lineRule="auto"/>
              <w:rPr>
                <w:rFonts w:ascii="Times New Roman" w:eastAsia="Times New Roman" w:hAnsi="Times New Roman" w:cs="Times New Roman"/>
                <w:color w:val="000000"/>
                <w:sz w:val="20"/>
                <w:szCs w:val="20"/>
                <w:lang w:eastAsia="en-CA"/>
              </w:rPr>
            </w:pPr>
          </w:p>
        </w:tc>
        <w:tc>
          <w:tcPr>
            <w:tcW w:w="881" w:type="dxa"/>
            <w:tcBorders>
              <w:top w:val="nil"/>
              <w:left w:val="nil"/>
              <w:bottom w:val="nil"/>
              <w:right w:val="nil"/>
            </w:tcBorders>
            <w:noWrap/>
            <w:vAlign w:val="bottom"/>
            <w:hideMark/>
          </w:tcPr>
          <w:p w14:paraId="1FF70887"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0.142</w:t>
            </w:r>
          </w:p>
        </w:tc>
        <w:tc>
          <w:tcPr>
            <w:tcW w:w="881" w:type="dxa"/>
            <w:tcBorders>
              <w:top w:val="nil"/>
              <w:left w:val="nil"/>
              <w:bottom w:val="nil"/>
              <w:right w:val="nil"/>
            </w:tcBorders>
            <w:noWrap/>
            <w:vAlign w:val="bottom"/>
            <w:hideMark/>
          </w:tcPr>
          <w:p w14:paraId="630ED46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0.107</w:t>
            </w:r>
          </w:p>
        </w:tc>
        <w:tc>
          <w:tcPr>
            <w:tcW w:w="879" w:type="dxa"/>
            <w:tcBorders>
              <w:top w:val="nil"/>
              <w:left w:val="nil"/>
              <w:bottom w:val="nil"/>
              <w:right w:val="nil"/>
            </w:tcBorders>
            <w:noWrap/>
            <w:vAlign w:val="bottom"/>
            <w:hideMark/>
          </w:tcPr>
          <w:p w14:paraId="4AF8019C"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0.135</w:t>
            </w:r>
          </w:p>
        </w:tc>
        <w:tc>
          <w:tcPr>
            <w:tcW w:w="883" w:type="dxa"/>
            <w:tcBorders>
              <w:top w:val="nil"/>
              <w:left w:val="nil"/>
              <w:bottom w:val="nil"/>
              <w:right w:val="nil"/>
            </w:tcBorders>
            <w:noWrap/>
            <w:vAlign w:val="bottom"/>
            <w:hideMark/>
          </w:tcPr>
          <w:p w14:paraId="2762975D"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0.028</w:t>
            </w:r>
          </w:p>
        </w:tc>
        <w:tc>
          <w:tcPr>
            <w:tcW w:w="449" w:type="dxa"/>
            <w:tcBorders>
              <w:top w:val="nil"/>
              <w:left w:val="nil"/>
              <w:bottom w:val="nil"/>
              <w:right w:val="nil"/>
            </w:tcBorders>
            <w:noWrap/>
            <w:vAlign w:val="bottom"/>
            <w:hideMark/>
          </w:tcPr>
          <w:p w14:paraId="0C558E8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nil"/>
              <w:right w:val="nil"/>
            </w:tcBorders>
            <w:noWrap/>
            <w:vAlign w:val="bottom"/>
            <w:hideMark/>
          </w:tcPr>
          <w:p w14:paraId="494965F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0.091</w:t>
            </w:r>
          </w:p>
        </w:tc>
        <w:tc>
          <w:tcPr>
            <w:tcW w:w="849" w:type="dxa"/>
            <w:tcBorders>
              <w:top w:val="nil"/>
              <w:left w:val="nil"/>
              <w:bottom w:val="nil"/>
              <w:right w:val="nil"/>
            </w:tcBorders>
            <w:noWrap/>
            <w:vAlign w:val="bottom"/>
            <w:hideMark/>
          </w:tcPr>
          <w:p w14:paraId="1FD8E8C1"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0.084</w:t>
            </w:r>
          </w:p>
        </w:tc>
        <w:tc>
          <w:tcPr>
            <w:tcW w:w="850" w:type="dxa"/>
            <w:tcBorders>
              <w:top w:val="nil"/>
              <w:left w:val="nil"/>
              <w:bottom w:val="nil"/>
              <w:right w:val="nil"/>
            </w:tcBorders>
            <w:noWrap/>
            <w:vAlign w:val="bottom"/>
            <w:hideMark/>
          </w:tcPr>
          <w:p w14:paraId="5F6606E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0.087</w:t>
            </w:r>
          </w:p>
        </w:tc>
        <w:tc>
          <w:tcPr>
            <w:tcW w:w="851" w:type="dxa"/>
            <w:tcBorders>
              <w:top w:val="nil"/>
              <w:left w:val="nil"/>
              <w:bottom w:val="nil"/>
              <w:right w:val="nil"/>
            </w:tcBorders>
            <w:noWrap/>
            <w:vAlign w:val="bottom"/>
            <w:hideMark/>
          </w:tcPr>
          <w:p w14:paraId="6823E778"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0.003</w:t>
            </w:r>
          </w:p>
        </w:tc>
      </w:tr>
      <w:tr w:rsidR="004D5D50" w:rsidRPr="00F67060" w14:paraId="5381EBD7" w14:textId="77777777" w:rsidTr="004A2E8B">
        <w:trPr>
          <w:trHeight w:val="300"/>
          <w:jc w:val="center"/>
        </w:trPr>
        <w:tc>
          <w:tcPr>
            <w:tcW w:w="1843" w:type="dxa"/>
            <w:tcBorders>
              <w:top w:val="nil"/>
              <w:left w:val="nil"/>
              <w:right w:val="nil"/>
            </w:tcBorders>
            <w:noWrap/>
            <w:vAlign w:val="bottom"/>
            <w:hideMark/>
          </w:tcPr>
          <w:p w14:paraId="2828AE4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755" w:type="dxa"/>
            <w:tcBorders>
              <w:top w:val="nil"/>
              <w:left w:val="nil"/>
              <w:right w:val="nil"/>
            </w:tcBorders>
            <w:noWrap/>
            <w:vAlign w:val="bottom"/>
            <w:hideMark/>
          </w:tcPr>
          <w:p w14:paraId="3BB3CA37" w14:textId="77777777" w:rsidR="004D5D50" w:rsidRPr="00F67060" w:rsidRDefault="004D5D50" w:rsidP="004A2E8B">
            <w:pPr>
              <w:spacing w:after="0" w:line="240" w:lineRule="auto"/>
              <w:rPr>
                <w:rFonts w:ascii="Times New Roman" w:eastAsia="Times New Roman" w:hAnsi="Times New Roman" w:cs="Times New Roman"/>
                <w:sz w:val="20"/>
                <w:szCs w:val="20"/>
                <w:lang w:eastAsia="en-CA"/>
              </w:rPr>
            </w:pPr>
          </w:p>
        </w:tc>
        <w:tc>
          <w:tcPr>
            <w:tcW w:w="881" w:type="dxa"/>
            <w:tcBorders>
              <w:top w:val="nil"/>
              <w:left w:val="nil"/>
              <w:right w:val="nil"/>
            </w:tcBorders>
            <w:noWrap/>
            <w:vAlign w:val="bottom"/>
            <w:hideMark/>
          </w:tcPr>
          <w:p w14:paraId="7B617EB0"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1" w:type="dxa"/>
            <w:tcBorders>
              <w:top w:val="nil"/>
              <w:left w:val="nil"/>
              <w:right w:val="nil"/>
            </w:tcBorders>
            <w:noWrap/>
            <w:vAlign w:val="bottom"/>
            <w:hideMark/>
          </w:tcPr>
          <w:p w14:paraId="6646168D"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79" w:type="dxa"/>
            <w:tcBorders>
              <w:top w:val="nil"/>
              <w:left w:val="nil"/>
              <w:right w:val="nil"/>
            </w:tcBorders>
            <w:noWrap/>
            <w:vAlign w:val="bottom"/>
            <w:hideMark/>
          </w:tcPr>
          <w:p w14:paraId="29DC1FBA"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83" w:type="dxa"/>
            <w:tcBorders>
              <w:top w:val="nil"/>
              <w:left w:val="nil"/>
              <w:right w:val="nil"/>
            </w:tcBorders>
            <w:noWrap/>
            <w:vAlign w:val="bottom"/>
            <w:hideMark/>
          </w:tcPr>
          <w:p w14:paraId="7CB9E9C0"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0.043</w:t>
            </w:r>
            <w:r>
              <w:rPr>
                <w:rFonts w:ascii="Times New Roman" w:eastAsia="Times New Roman" w:hAnsi="Times New Roman" w:cs="Times New Roman"/>
                <w:color w:val="000000"/>
                <w:sz w:val="20"/>
                <w:szCs w:val="20"/>
                <w:lang w:eastAsia="en-GB"/>
              </w:rPr>
              <w:t>)</w:t>
            </w:r>
          </w:p>
        </w:tc>
        <w:tc>
          <w:tcPr>
            <w:tcW w:w="449" w:type="dxa"/>
            <w:tcBorders>
              <w:top w:val="nil"/>
              <w:left w:val="nil"/>
              <w:right w:val="nil"/>
            </w:tcBorders>
            <w:noWrap/>
            <w:vAlign w:val="bottom"/>
            <w:hideMark/>
          </w:tcPr>
          <w:p w14:paraId="03495A0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right w:val="nil"/>
            </w:tcBorders>
            <w:noWrap/>
            <w:vAlign w:val="bottom"/>
            <w:hideMark/>
          </w:tcPr>
          <w:p w14:paraId="300F419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49" w:type="dxa"/>
            <w:tcBorders>
              <w:top w:val="nil"/>
              <w:left w:val="nil"/>
              <w:right w:val="nil"/>
            </w:tcBorders>
            <w:noWrap/>
            <w:vAlign w:val="bottom"/>
            <w:hideMark/>
          </w:tcPr>
          <w:p w14:paraId="54550F09"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0" w:type="dxa"/>
            <w:tcBorders>
              <w:top w:val="nil"/>
              <w:left w:val="nil"/>
              <w:right w:val="nil"/>
            </w:tcBorders>
            <w:noWrap/>
            <w:vAlign w:val="bottom"/>
            <w:hideMark/>
          </w:tcPr>
          <w:p w14:paraId="5E2EA56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851" w:type="dxa"/>
            <w:tcBorders>
              <w:top w:val="nil"/>
              <w:left w:val="nil"/>
              <w:right w:val="nil"/>
            </w:tcBorders>
            <w:noWrap/>
            <w:vAlign w:val="bottom"/>
            <w:hideMark/>
          </w:tcPr>
          <w:p w14:paraId="3E8D7302"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0.772</w:t>
            </w:r>
            <w:r>
              <w:rPr>
                <w:rFonts w:ascii="Times New Roman" w:eastAsia="Times New Roman" w:hAnsi="Times New Roman" w:cs="Times New Roman"/>
                <w:color w:val="000000"/>
                <w:sz w:val="20"/>
                <w:szCs w:val="20"/>
                <w:lang w:eastAsia="en-GB"/>
              </w:rPr>
              <w:t>)</w:t>
            </w:r>
          </w:p>
        </w:tc>
      </w:tr>
      <w:tr w:rsidR="004D5D50" w:rsidRPr="00F67060" w14:paraId="69ECFD1C" w14:textId="77777777" w:rsidTr="004A2E8B">
        <w:trPr>
          <w:trHeight w:val="452"/>
          <w:jc w:val="center"/>
        </w:trPr>
        <w:tc>
          <w:tcPr>
            <w:tcW w:w="1843" w:type="dxa"/>
            <w:tcBorders>
              <w:top w:val="nil"/>
              <w:left w:val="nil"/>
              <w:bottom w:val="single" w:sz="4" w:space="0" w:color="auto"/>
              <w:right w:val="nil"/>
            </w:tcBorders>
            <w:noWrap/>
            <w:vAlign w:val="bottom"/>
            <w:hideMark/>
          </w:tcPr>
          <w:p w14:paraId="3A418853" w14:textId="77777777" w:rsidR="004D5D50" w:rsidRPr="00F67060" w:rsidRDefault="004D5D50" w:rsidP="004A2E8B">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xml:space="preserve">Adj. </w:t>
            </w:r>
            <w:r w:rsidRPr="00B54CBE">
              <w:rPr>
                <w:rFonts w:ascii="Times New Roman" w:eastAsia="Times New Roman" w:hAnsi="Times New Roman" w:cs="Times New Roman"/>
                <w:color w:val="000000"/>
                <w:sz w:val="20"/>
                <w:szCs w:val="20"/>
                <w:lang w:eastAsia="en-CA"/>
              </w:rPr>
              <w:t>R</w:t>
            </w:r>
            <w:r w:rsidRPr="0023366F">
              <w:rPr>
                <w:rFonts w:ascii="Times New Roman" w:eastAsia="Times New Roman" w:hAnsi="Times New Roman" w:cs="Times New Roman"/>
                <w:color w:val="000000"/>
                <w:sz w:val="20"/>
                <w:szCs w:val="20"/>
                <w:vertAlign w:val="superscript"/>
                <w:lang w:eastAsia="en-CA"/>
              </w:rPr>
              <w:t>2</w:t>
            </w:r>
            <w:r>
              <w:rPr>
                <w:rFonts w:ascii="Times New Roman" w:eastAsia="Times New Roman" w:hAnsi="Times New Roman" w:cs="Times New Roman"/>
                <w:color w:val="000000"/>
                <w:sz w:val="20"/>
                <w:szCs w:val="20"/>
                <w:vertAlign w:val="superscript"/>
                <w:lang w:eastAsia="en-CA"/>
              </w:rPr>
              <w:t xml:space="preserve"> </w:t>
            </w:r>
            <w:r>
              <w:rPr>
                <w:rFonts w:ascii="Times New Roman" w:eastAsia="Times New Roman" w:hAnsi="Times New Roman" w:cs="Times New Roman"/>
                <w:color w:val="000000"/>
                <w:sz w:val="20"/>
                <w:szCs w:val="20"/>
                <w:lang w:eastAsia="en-CA"/>
              </w:rPr>
              <w:t>[Pseudo R</w:t>
            </w:r>
            <w:r w:rsidRPr="0023366F">
              <w:rPr>
                <w:rFonts w:ascii="Times New Roman" w:eastAsia="Times New Roman" w:hAnsi="Times New Roman" w:cs="Times New Roman"/>
                <w:color w:val="000000"/>
                <w:sz w:val="20"/>
                <w:szCs w:val="20"/>
                <w:vertAlign w:val="superscript"/>
                <w:lang w:eastAsia="en-CA"/>
              </w:rPr>
              <w:t>2</w:t>
            </w:r>
            <w:r>
              <w:rPr>
                <w:rFonts w:ascii="Times New Roman" w:eastAsia="Times New Roman" w:hAnsi="Times New Roman" w:cs="Times New Roman"/>
                <w:color w:val="000000"/>
                <w:sz w:val="20"/>
                <w:szCs w:val="20"/>
                <w:lang w:eastAsia="en-CA"/>
              </w:rPr>
              <w:t>]</w:t>
            </w:r>
          </w:p>
        </w:tc>
        <w:tc>
          <w:tcPr>
            <w:tcW w:w="755" w:type="dxa"/>
            <w:tcBorders>
              <w:top w:val="nil"/>
              <w:left w:val="nil"/>
              <w:bottom w:val="single" w:sz="4" w:space="0" w:color="auto"/>
              <w:right w:val="nil"/>
            </w:tcBorders>
            <w:noWrap/>
            <w:vAlign w:val="bottom"/>
            <w:hideMark/>
          </w:tcPr>
          <w:p w14:paraId="7F179D3C" w14:textId="77777777" w:rsidR="004D5D50" w:rsidRPr="00F67060" w:rsidRDefault="004D5D50" w:rsidP="004A2E8B">
            <w:pPr>
              <w:spacing w:after="0" w:line="240" w:lineRule="auto"/>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CA"/>
              </w:rPr>
              <w:t> </w:t>
            </w:r>
          </w:p>
        </w:tc>
        <w:tc>
          <w:tcPr>
            <w:tcW w:w="881" w:type="dxa"/>
            <w:tcBorders>
              <w:top w:val="nil"/>
              <w:left w:val="nil"/>
              <w:bottom w:val="single" w:sz="4" w:space="0" w:color="auto"/>
              <w:right w:val="nil"/>
            </w:tcBorders>
            <w:noWrap/>
            <w:vAlign w:val="bottom"/>
            <w:hideMark/>
          </w:tcPr>
          <w:p w14:paraId="47F7F2C5"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9823FA">
              <w:rPr>
                <w:rFonts w:ascii="Times New Roman" w:eastAsia="Times New Roman" w:hAnsi="Times New Roman" w:cs="Times New Roman"/>
                <w:color w:val="000000"/>
                <w:sz w:val="20"/>
                <w:szCs w:val="20"/>
                <w:lang w:eastAsia="en-GB"/>
              </w:rPr>
              <w:t>0.848</w:t>
            </w:r>
          </w:p>
        </w:tc>
        <w:tc>
          <w:tcPr>
            <w:tcW w:w="881" w:type="dxa"/>
            <w:tcBorders>
              <w:top w:val="nil"/>
              <w:left w:val="nil"/>
              <w:bottom w:val="single" w:sz="4" w:space="0" w:color="auto"/>
              <w:right w:val="nil"/>
            </w:tcBorders>
            <w:noWrap/>
            <w:vAlign w:val="bottom"/>
            <w:hideMark/>
          </w:tcPr>
          <w:p w14:paraId="0E293FAB"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0.571</w:t>
            </w:r>
            <w:r>
              <w:rPr>
                <w:rFonts w:ascii="Times New Roman" w:eastAsia="Times New Roman" w:hAnsi="Times New Roman" w:cs="Times New Roman"/>
                <w:color w:val="000000"/>
                <w:sz w:val="20"/>
                <w:szCs w:val="20"/>
                <w:lang w:eastAsia="en-GB"/>
              </w:rPr>
              <w:t>]</w:t>
            </w:r>
          </w:p>
        </w:tc>
        <w:tc>
          <w:tcPr>
            <w:tcW w:w="879" w:type="dxa"/>
            <w:tcBorders>
              <w:top w:val="nil"/>
              <w:left w:val="nil"/>
              <w:bottom w:val="single" w:sz="4" w:space="0" w:color="auto"/>
              <w:right w:val="nil"/>
            </w:tcBorders>
            <w:noWrap/>
            <w:vAlign w:val="bottom"/>
            <w:hideMark/>
          </w:tcPr>
          <w:p w14:paraId="5F7C3D44"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9823FA">
              <w:rPr>
                <w:rFonts w:ascii="Times New Roman" w:eastAsia="Times New Roman" w:hAnsi="Times New Roman" w:cs="Times New Roman"/>
                <w:color w:val="000000"/>
                <w:sz w:val="20"/>
                <w:szCs w:val="20"/>
                <w:lang w:eastAsia="en-GB"/>
              </w:rPr>
              <w:t>0.653</w:t>
            </w:r>
            <w:r>
              <w:rPr>
                <w:rFonts w:ascii="Times New Roman" w:eastAsia="Times New Roman" w:hAnsi="Times New Roman" w:cs="Times New Roman"/>
                <w:color w:val="000000"/>
                <w:sz w:val="20"/>
                <w:szCs w:val="20"/>
                <w:lang w:eastAsia="en-GB"/>
              </w:rPr>
              <w:t>]</w:t>
            </w:r>
          </w:p>
        </w:tc>
        <w:tc>
          <w:tcPr>
            <w:tcW w:w="883" w:type="dxa"/>
            <w:tcBorders>
              <w:top w:val="nil"/>
              <w:left w:val="nil"/>
              <w:bottom w:val="single" w:sz="4" w:space="0" w:color="auto"/>
              <w:right w:val="nil"/>
            </w:tcBorders>
            <w:noWrap/>
            <w:vAlign w:val="bottom"/>
            <w:hideMark/>
          </w:tcPr>
          <w:p w14:paraId="3C4731BF"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GB"/>
              </w:rPr>
              <w:t> </w:t>
            </w:r>
          </w:p>
        </w:tc>
        <w:tc>
          <w:tcPr>
            <w:tcW w:w="449" w:type="dxa"/>
            <w:tcBorders>
              <w:top w:val="nil"/>
              <w:left w:val="nil"/>
              <w:bottom w:val="single" w:sz="4" w:space="0" w:color="auto"/>
              <w:right w:val="nil"/>
            </w:tcBorders>
            <w:noWrap/>
            <w:vAlign w:val="bottom"/>
            <w:hideMark/>
          </w:tcPr>
          <w:p w14:paraId="124C3046"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p>
        </w:tc>
        <w:tc>
          <w:tcPr>
            <w:tcW w:w="848" w:type="dxa"/>
            <w:tcBorders>
              <w:top w:val="nil"/>
              <w:left w:val="nil"/>
              <w:bottom w:val="single" w:sz="4" w:space="0" w:color="auto"/>
              <w:right w:val="nil"/>
            </w:tcBorders>
            <w:noWrap/>
            <w:vAlign w:val="bottom"/>
            <w:hideMark/>
          </w:tcPr>
          <w:p w14:paraId="0FE4B6A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6C6A4F">
              <w:rPr>
                <w:rFonts w:ascii="Times New Roman" w:eastAsia="Times New Roman" w:hAnsi="Times New Roman" w:cs="Times New Roman"/>
                <w:color w:val="000000"/>
                <w:sz w:val="20"/>
                <w:szCs w:val="20"/>
                <w:lang w:eastAsia="en-GB"/>
              </w:rPr>
              <w:t>0.822</w:t>
            </w:r>
          </w:p>
        </w:tc>
        <w:tc>
          <w:tcPr>
            <w:tcW w:w="849" w:type="dxa"/>
            <w:tcBorders>
              <w:top w:val="nil"/>
              <w:left w:val="nil"/>
              <w:bottom w:val="single" w:sz="4" w:space="0" w:color="auto"/>
              <w:right w:val="nil"/>
            </w:tcBorders>
            <w:noWrap/>
            <w:vAlign w:val="bottom"/>
            <w:hideMark/>
          </w:tcPr>
          <w:p w14:paraId="543F507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0.587</w:t>
            </w:r>
            <w:r>
              <w:rPr>
                <w:rFonts w:ascii="Times New Roman" w:eastAsia="Times New Roman" w:hAnsi="Times New Roman" w:cs="Times New Roman"/>
                <w:color w:val="000000"/>
                <w:sz w:val="20"/>
                <w:szCs w:val="20"/>
                <w:lang w:eastAsia="en-GB"/>
              </w:rPr>
              <w:t>]</w:t>
            </w:r>
          </w:p>
        </w:tc>
        <w:tc>
          <w:tcPr>
            <w:tcW w:w="850" w:type="dxa"/>
            <w:tcBorders>
              <w:top w:val="nil"/>
              <w:left w:val="nil"/>
              <w:bottom w:val="single" w:sz="4" w:space="0" w:color="auto"/>
              <w:right w:val="nil"/>
            </w:tcBorders>
            <w:noWrap/>
            <w:vAlign w:val="bottom"/>
            <w:hideMark/>
          </w:tcPr>
          <w:p w14:paraId="1BFE1F53"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GB"/>
              </w:rPr>
              <w:t>[</w:t>
            </w:r>
            <w:r w:rsidRPr="006C6A4F">
              <w:rPr>
                <w:rFonts w:ascii="Times New Roman" w:eastAsia="Times New Roman" w:hAnsi="Times New Roman" w:cs="Times New Roman"/>
                <w:color w:val="000000"/>
                <w:sz w:val="20"/>
                <w:szCs w:val="20"/>
                <w:lang w:eastAsia="en-GB"/>
              </w:rPr>
              <w:t>0.601</w:t>
            </w:r>
            <w:r>
              <w:rPr>
                <w:rFonts w:ascii="Times New Roman" w:eastAsia="Times New Roman" w:hAnsi="Times New Roman" w:cs="Times New Roman"/>
                <w:color w:val="000000"/>
                <w:sz w:val="20"/>
                <w:szCs w:val="20"/>
                <w:lang w:eastAsia="en-GB"/>
              </w:rPr>
              <w:t>]</w:t>
            </w:r>
          </w:p>
        </w:tc>
        <w:tc>
          <w:tcPr>
            <w:tcW w:w="851" w:type="dxa"/>
            <w:tcBorders>
              <w:top w:val="nil"/>
              <w:left w:val="nil"/>
              <w:bottom w:val="single" w:sz="4" w:space="0" w:color="auto"/>
              <w:right w:val="nil"/>
            </w:tcBorders>
            <w:noWrap/>
            <w:vAlign w:val="bottom"/>
            <w:hideMark/>
          </w:tcPr>
          <w:p w14:paraId="7F047AEE" w14:textId="77777777" w:rsidR="004D5D50" w:rsidRPr="00F67060"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F67060">
              <w:rPr>
                <w:rFonts w:ascii="Times New Roman" w:eastAsia="Times New Roman" w:hAnsi="Times New Roman" w:cs="Times New Roman"/>
                <w:color w:val="000000"/>
                <w:sz w:val="20"/>
                <w:szCs w:val="20"/>
                <w:lang w:eastAsia="en-GB"/>
              </w:rPr>
              <w:t> </w:t>
            </w:r>
          </w:p>
        </w:tc>
      </w:tr>
    </w:tbl>
    <w:p w14:paraId="43B716BB" w14:textId="77777777" w:rsidR="004D5D50" w:rsidRDefault="004D5D50" w:rsidP="004D5D50">
      <w:pPr>
        <w:rPr>
          <w:rFonts w:ascii="Times New Roman" w:hAnsi="Times New Roman" w:cs="Times New Roman"/>
          <w:noProof/>
          <w:sz w:val="20"/>
          <w:szCs w:val="20"/>
          <w:lang w:val="en-US"/>
        </w:rPr>
      </w:pPr>
    </w:p>
    <w:p w14:paraId="61EFCB90" w14:textId="77777777" w:rsidR="004D5D50" w:rsidRDefault="004D5D50" w:rsidP="004D5D50">
      <w:pPr>
        <w:rPr>
          <w:rFonts w:ascii="Times New Roman" w:hAnsi="Times New Roman" w:cs="Times New Roman"/>
          <w:b/>
          <w:sz w:val="20"/>
          <w:szCs w:val="20"/>
        </w:rPr>
      </w:pPr>
      <w:r>
        <w:rPr>
          <w:rFonts w:ascii="Times New Roman" w:hAnsi="Times New Roman" w:cs="Times New Roman"/>
          <w:b/>
          <w:sz w:val="20"/>
          <w:szCs w:val="20"/>
        </w:rPr>
        <w:br w:type="page"/>
      </w:r>
    </w:p>
    <w:p w14:paraId="47614607" w14:textId="77777777" w:rsidR="004D5D50" w:rsidRPr="006A0B5D" w:rsidRDefault="004D5D50" w:rsidP="004D5D5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TABLE A3</w:t>
      </w:r>
    </w:p>
    <w:p w14:paraId="79C857E7" w14:textId="77777777" w:rsidR="004D5D50" w:rsidRDefault="004D5D50" w:rsidP="004D5D50">
      <w:pPr>
        <w:jc w:val="center"/>
        <w:rPr>
          <w:rFonts w:ascii="Times New Roman" w:hAnsi="Times New Roman" w:cs="Times New Roman"/>
          <w:b/>
          <w:bCs/>
          <w:sz w:val="20"/>
          <w:szCs w:val="20"/>
        </w:rPr>
      </w:pPr>
      <w:r>
        <w:rPr>
          <w:rFonts w:ascii="Times New Roman" w:hAnsi="Times New Roman" w:cs="Times New Roman"/>
          <w:b/>
          <w:bCs/>
          <w:sz w:val="20"/>
          <w:szCs w:val="20"/>
        </w:rPr>
        <w:t>Descriptive Statistics of VU</w:t>
      </w:r>
    </w:p>
    <w:p w14:paraId="15E11F33" w14:textId="77777777" w:rsidR="004D5D50" w:rsidRDefault="004D5D50" w:rsidP="004D5D50">
      <w:pPr>
        <w:spacing w:after="0"/>
        <w:jc w:val="both"/>
        <w:rPr>
          <w:rFonts w:ascii="Times New Roman" w:hAnsi="Times New Roman" w:cs="Times New Roman"/>
          <w:sz w:val="20"/>
          <w:szCs w:val="20"/>
        </w:rPr>
      </w:pPr>
      <w:r>
        <w:rPr>
          <w:rFonts w:ascii="Times New Roman" w:hAnsi="Times New Roman" w:cs="Times New Roman"/>
          <w:sz w:val="20"/>
          <w:szCs w:val="20"/>
        </w:rPr>
        <w:t xml:space="preserve">This table reports descriptive statistics of the valuation uncertainty measure (VU) for the overall sample, as well as for each industry in the Fama-French 12-industry classification (excluding financials): </w:t>
      </w:r>
      <w:r w:rsidRPr="00F10715">
        <w:rPr>
          <w:rFonts w:ascii="Times New Roman" w:eastAsia="Times New Roman" w:hAnsi="Times New Roman" w:cs="Times New Roman"/>
          <w:color w:val="000000"/>
          <w:sz w:val="20"/>
          <w:szCs w:val="20"/>
          <w:lang w:eastAsia="en-GB"/>
        </w:rPr>
        <w:t>Consumer Non</w:t>
      </w:r>
      <w:r>
        <w:rPr>
          <w:rFonts w:ascii="Times New Roman" w:eastAsia="Times New Roman" w:hAnsi="Times New Roman" w:cs="Times New Roman"/>
          <w:color w:val="000000"/>
          <w:sz w:val="20"/>
          <w:szCs w:val="20"/>
          <w:lang w:eastAsia="en-GB"/>
        </w:rPr>
        <w:t>-</w:t>
      </w:r>
      <w:r w:rsidRPr="00F10715">
        <w:rPr>
          <w:rFonts w:ascii="Times New Roman" w:eastAsia="Times New Roman" w:hAnsi="Times New Roman" w:cs="Times New Roman"/>
          <w:color w:val="000000"/>
          <w:sz w:val="20"/>
          <w:szCs w:val="20"/>
          <w:lang w:eastAsia="en-GB"/>
        </w:rPr>
        <w:t>Durables</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Consumer Durables</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Manufacturing</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Energy</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Chemicals and Allied Products</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Business Equipment</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Telephone and TV Transmission</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Utilities</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Wholesale</w:t>
      </w:r>
      <w:r>
        <w:rPr>
          <w:rFonts w:ascii="Times New Roman" w:eastAsia="Times New Roman" w:hAnsi="Times New Roman" w:cs="Times New Roman"/>
          <w:color w:val="000000"/>
          <w:sz w:val="20"/>
          <w:szCs w:val="20"/>
          <w:lang w:eastAsia="en-GB"/>
        </w:rPr>
        <w:t xml:space="preserve">, </w:t>
      </w:r>
      <w:r w:rsidRPr="00F10715">
        <w:rPr>
          <w:rFonts w:ascii="Times New Roman" w:eastAsia="Times New Roman" w:hAnsi="Times New Roman" w:cs="Times New Roman"/>
          <w:color w:val="000000"/>
          <w:sz w:val="20"/>
          <w:szCs w:val="20"/>
          <w:lang w:eastAsia="en-GB"/>
        </w:rPr>
        <w:t>Medical</w:t>
      </w:r>
      <w:r>
        <w:rPr>
          <w:rFonts w:ascii="Times New Roman" w:eastAsia="Times New Roman" w:hAnsi="Times New Roman" w:cs="Times New Roman"/>
          <w:color w:val="000000"/>
          <w:sz w:val="20"/>
          <w:szCs w:val="20"/>
          <w:lang w:eastAsia="en-GB"/>
        </w:rPr>
        <w:t xml:space="preserve"> and </w:t>
      </w:r>
      <w:r w:rsidRPr="00F10715">
        <w:rPr>
          <w:rFonts w:ascii="Times New Roman" w:eastAsia="Times New Roman" w:hAnsi="Times New Roman" w:cs="Times New Roman"/>
          <w:color w:val="000000"/>
          <w:sz w:val="20"/>
          <w:szCs w:val="20"/>
          <w:lang w:eastAsia="en-GB"/>
        </w:rPr>
        <w:t>Everyt</w:t>
      </w:r>
      <w:r>
        <w:rPr>
          <w:rFonts w:ascii="Times New Roman" w:eastAsia="Times New Roman" w:hAnsi="Times New Roman" w:cs="Times New Roman"/>
          <w:color w:val="000000"/>
          <w:sz w:val="20"/>
          <w:szCs w:val="20"/>
          <w:lang w:eastAsia="en-GB"/>
        </w:rPr>
        <w:t>h</w:t>
      </w:r>
      <w:r w:rsidRPr="00F10715">
        <w:rPr>
          <w:rFonts w:ascii="Times New Roman" w:eastAsia="Times New Roman" w:hAnsi="Times New Roman" w:cs="Times New Roman"/>
          <w:color w:val="000000"/>
          <w:sz w:val="20"/>
          <w:szCs w:val="20"/>
          <w:lang w:eastAsia="en-GB"/>
        </w:rPr>
        <w:t xml:space="preserve">ing </w:t>
      </w:r>
      <w:r>
        <w:rPr>
          <w:rFonts w:ascii="Times New Roman" w:eastAsia="Times New Roman" w:hAnsi="Times New Roman" w:cs="Times New Roman"/>
          <w:color w:val="000000"/>
          <w:sz w:val="20"/>
          <w:szCs w:val="20"/>
          <w:lang w:eastAsia="en-GB"/>
        </w:rPr>
        <w:t>E</w:t>
      </w:r>
      <w:r w:rsidRPr="00F10715">
        <w:rPr>
          <w:rFonts w:ascii="Times New Roman" w:eastAsia="Times New Roman" w:hAnsi="Times New Roman" w:cs="Times New Roman"/>
          <w:color w:val="000000"/>
          <w:sz w:val="20"/>
          <w:szCs w:val="20"/>
          <w:lang w:eastAsia="en-GB"/>
        </w:rPr>
        <w:t>lse (except finance)</w:t>
      </w:r>
      <w:r>
        <w:rPr>
          <w:rFonts w:ascii="Times New Roman" w:hAnsi="Times New Roman" w:cs="Times New Roman"/>
          <w:sz w:val="20"/>
          <w:szCs w:val="20"/>
        </w:rPr>
        <w:t>. The sample includes 120,183 firm-year observations. The sample period runs from 1975 to 2022 (48 years). VU is defined in detail in the Appendix of the paper.</w:t>
      </w:r>
    </w:p>
    <w:p w14:paraId="787698C1" w14:textId="77777777" w:rsidR="004D5D50" w:rsidRPr="00987345" w:rsidRDefault="004D5D50" w:rsidP="004D5D50">
      <w:pPr>
        <w:spacing w:after="0"/>
        <w:jc w:val="both"/>
        <w:rPr>
          <w:rFonts w:ascii="Times New Roman" w:hAnsi="Times New Roman" w:cs="Times New Roman"/>
          <w:sz w:val="20"/>
          <w:szCs w:val="20"/>
        </w:rPr>
      </w:pPr>
    </w:p>
    <w:tbl>
      <w:tblPr>
        <w:tblW w:w="5000" w:type="pct"/>
        <w:tblLook w:val="04A0" w:firstRow="1" w:lastRow="0" w:firstColumn="1" w:lastColumn="0" w:noHBand="0" w:noVBand="1"/>
      </w:tblPr>
      <w:tblGrid>
        <w:gridCol w:w="2911"/>
        <w:gridCol w:w="1001"/>
        <w:gridCol w:w="824"/>
        <w:gridCol w:w="822"/>
        <w:gridCol w:w="824"/>
        <w:gridCol w:w="822"/>
        <w:gridCol w:w="824"/>
        <w:gridCol w:w="824"/>
        <w:gridCol w:w="827"/>
        <w:gridCol w:w="824"/>
        <w:gridCol w:w="822"/>
        <w:gridCol w:w="824"/>
        <w:gridCol w:w="811"/>
      </w:tblGrid>
      <w:tr w:rsidR="004D5D50" w:rsidRPr="002357CC" w14:paraId="2B8B845B" w14:textId="77777777" w:rsidTr="004A2E8B">
        <w:trPr>
          <w:trHeight w:val="271"/>
        </w:trPr>
        <w:tc>
          <w:tcPr>
            <w:tcW w:w="1123" w:type="pct"/>
            <w:tcBorders>
              <w:top w:val="single" w:sz="4" w:space="0" w:color="auto"/>
              <w:left w:val="nil"/>
              <w:bottom w:val="single" w:sz="4" w:space="0" w:color="auto"/>
              <w:right w:val="nil"/>
            </w:tcBorders>
            <w:noWrap/>
            <w:vAlign w:val="bottom"/>
            <w:hideMark/>
          </w:tcPr>
          <w:p w14:paraId="78CF0AE9" w14:textId="77777777" w:rsidR="004D5D50" w:rsidRPr="002357CC" w:rsidRDefault="004D5D50" w:rsidP="004A2E8B">
            <w:pPr>
              <w:spacing w:after="0" w:line="240" w:lineRule="auto"/>
              <w:rPr>
                <w:rFonts w:ascii="Times New Roman" w:eastAsia="Times New Roman" w:hAnsi="Times New Roman" w:cs="Times New Roman"/>
                <w:color w:val="000000"/>
                <w:sz w:val="20"/>
                <w:szCs w:val="20"/>
                <w:lang w:eastAsia="en-CA"/>
              </w:rPr>
            </w:pPr>
            <w:r w:rsidRPr="002357CC">
              <w:rPr>
                <w:rFonts w:ascii="Times New Roman" w:eastAsia="Times New Roman" w:hAnsi="Times New Roman" w:cs="Times New Roman"/>
                <w:color w:val="000000"/>
                <w:sz w:val="20"/>
                <w:szCs w:val="20"/>
                <w:lang w:eastAsia="en-CA"/>
              </w:rPr>
              <w:t> </w:t>
            </w:r>
          </w:p>
        </w:tc>
        <w:tc>
          <w:tcPr>
            <w:tcW w:w="386" w:type="pct"/>
            <w:tcBorders>
              <w:top w:val="single" w:sz="4" w:space="0" w:color="auto"/>
              <w:left w:val="nil"/>
              <w:bottom w:val="single" w:sz="4" w:space="0" w:color="auto"/>
              <w:right w:val="nil"/>
            </w:tcBorders>
            <w:noWrap/>
            <w:vAlign w:val="bottom"/>
            <w:hideMark/>
          </w:tcPr>
          <w:p w14:paraId="39E294F1"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N</w:t>
            </w:r>
          </w:p>
        </w:tc>
        <w:tc>
          <w:tcPr>
            <w:tcW w:w="318" w:type="pct"/>
            <w:tcBorders>
              <w:top w:val="single" w:sz="4" w:space="0" w:color="auto"/>
              <w:left w:val="nil"/>
              <w:bottom w:val="single" w:sz="4" w:space="0" w:color="auto"/>
              <w:right w:val="nil"/>
            </w:tcBorders>
            <w:noWrap/>
            <w:vAlign w:val="bottom"/>
            <w:hideMark/>
          </w:tcPr>
          <w:p w14:paraId="4478A49D"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Mean</w:t>
            </w:r>
          </w:p>
        </w:tc>
        <w:tc>
          <w:tcPr>
            <w:tcW w:w="317" w:type="pct"/>
            <w:tcBorders>
              <w:top w:val="single" w:sz="4" w:space="0" w:color="auto"/>
              <w:left w:val="nil"/>
              <w:bottom w:val="single" w:sz="4" w:space="0" w:color="auto"/>
              <w:right w:val="nil"/>
            </w:tcBorders>
            <w:noWrap/>
            <w:vAlign w:val="bottom"/>
            <w:hideMark/>
          </w:tcPr>
          <w:p w14:paraId="634FE450"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SD</w:t>
            </w:r>
          </w:p>
        </w:tc>
        <w:tc>
          <w:tcPr>
            <w:tcW w:w="318" w:type="pct"/>
            <w:tcBorders>
              <w:top w:val="single" w:sz="4" w:space="0" w:color="auto"/>
              <w:left w:val="nil"/>
              <w:bottom w:val="single" w:sz="4" w:space="0" w:color="auto"/>
              <w:right w:val="nil"/>
            </w:tcBorders>
            <w:noWrap/>
            <w:vAlign w:val="bottom"/>
            <w:hideMark/>
          </w:tcPr>
          <w:p w14:paraId="0AF6C3A2"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Min</w:t>
            </w:r>
          </w:p>
        </w:tc>
        <w:tc>
          <w:tcPr>
            <w:tcW w:w="317" w:type="pct"/>
            <w:tcBorders>
              <w:top w:val="single" w:sz="4" w:space="0" w:color="auto"/>
              <w:left w:val="nil"/>
              <w:bottom w:val="single" w:sz="4" w:space="0" w:color="auto"/>
              <w:right w:val="nil"/>
            </w:tcBorders>
            <w:noWrap/>
            <w:vAlign w:val="bottom"/>
            <w:hideMark/>
          </w:tcPr>
          <w:p w14:paraId="37BBC6EA"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1%</w:t>
            </w:r>
          </w:p>
        </w:tc>
        <w:tc>
          <w:tcPr>
            <w:tcW w:w="318" w:type="pct"/>
            <w:tcBorders>
              <w:top w:val="single" w:sz="4" w:space="0" w:color="auto"/>
              <w:left w:val="nil"/>
              <w:bottom w:val="single" w:sz="4" w:space="0" w:color="auto"/>
              <w:right w:val="nil"/>
            </w:tcBorders>
            <w:noWrap/>
            <w:vAlign w:val="bottom"/>
            <w:hideMark/>
          </w:tcPr>
          <w:p w14:paraId="39CAC72A"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5%</w:t>
            </w:r>
          </w:p>
        </w:tc>
        <w:tc>
          <w:tcPr>
            <w:tcW w:w="318" w:type="pct"/>
            <w:tcBorders>
              <w:top w:val="single" w:sz="4" w:space="0" w:color="auto"/>
              <w:left w:val="nil"/>
              <w:bottom w:val="single" w:sz="4" w:space="0" w:color="auto"/>
              <w:right w:val="nil"/>
            </w:tcBorders>
            <w:noWrap/>
            <w:vAlign w:val="bottom"/>
            <w:hideMark/>
          </w:tcPr>
          <w:p w14:paraId="33476D07"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25%</w:t>
            </w:r>
          </w:p>
        </w:tc>
        <w:tc>
          <w:tcPr>
            <w:tcW w:w="319" w:type="pct"/>
            <w:tcBorders>
              <w:top w:val="single" w:sz="4" w:space="0" w:color="auto"/>
              <w:left w:val="nil"/>
              <w:bottom w:val="single" w:sz="4" w:space="0" w:color="auto"/>
              <w:right w:val="nil"/>
            </w:tcBorders>
            <w:noWrap/>
            <w:vAlign w:val="bottom"/>
            <w:hideMark/>
          </w:tcPr>
          <w:p w14:paraId="562E660E"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Median</w:t>
            </w:r>
          </w:p>
        </w:tc>
        <w:tc>
          <w:tcPr>
            <w:tcW w:w="318" w:type="pct"/>
            <w:tcBorders>
              <w:top w:val="single" w:sz="4" w:space="0" w:color="auto"/>
              <w:left w:val="nil"/>
              <w:bottom w:val="single" w:sz="4" w:space="0" w:color="auto"/>
              <w:right w:val="nil"/>
            </w:tcBorders>
            <w:noWrap/>
            <w:vAlign w:val="bottom"/>
            <w:hideMark/>
          </w:tcPr>
          <w:p w14:paraId="4D0E0FFC"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75%</w:t>
            </w:r>
          </w:p>
        </w:tc>
        <w:tc>
          <w:tcPr>
            <w:tcW w:w="317" w:type="pct"/>
            <w:tcBorders>
              <w:top w:val="single" w:sz="4" w:space="0" w:color="auto"/>
              <w:left w:val="nil"/>
              <w:bottom w:val="single" w:sz="4" w:space="0" w:color="auto"/>
              <w:right w:val="nil"/>
            </w:tcBorders>
            <w:noWrap/>
            <w:vAlign w:val="bottom"/>
            <w:hideMark/>
          </w:tcPr>
          <w:p w14:paraId="2F881BC7"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95%</w:t>
            </w:r>
          </w:p>
        </w:tc>
        <w:tc>
          <w:tcPr>
            <w:tcW w:w="318" w:type="pct"/>
            <w:tcBorders>
              <w:top w:val="single" w:sz="4" w:space="0" w:color="auto"/>
              <w:left w:val="nil"/>
              <w:bottom w:val="single" w:sz="4" w:space="0" w:color="auto"/>
              <w:right w:val="nil"/>
            </w:tcBorders>
            <w:noWrap/>
            <w:vAlign w:val="bottom"/>
            <w:hideMark/>
          </w:tcPr>
          <w:p w14:paraId="139E63FB"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99%</w:t>
            </w:r>
          </w:p>
        </w:tc>
        <w:tc>
          <w:tcPr>
            <w:tcW w:w="313" w:type="pct"/>
            <w:tcBorders>
              <w:top w:val="single" w:sz="4" w:space="0" w:color="auto"/>
              <w:left w:val="nil"/>
              <w:bottom w:val="single" w:sz="4" w:space="0" w:color="auto"/>
              <w:right w:val="nil"/>
            </w:tcBorders>
            <w:noWrap/>
            <w:vAlign w:val="bottom"/>
            <w:hideMark/>
          </w:tcPr>
          <w:p w14:paraId="3E6E60FC" w14:textId="77777777" w:rsidR="004D5D50" w:rsidRPr="002357CC" w:rsidRDefault="004D5D50" w:rsidP="004A2E8B">
            <w:pPr>
              <w:spacing w:after="0" w:line="240" w:lineRule="auto"/>
              <w:jc w:val="center"/>
              <w:rPr>
                <w:rFonts w:ascii="Times New Roman" w:eastAsia="Times New Roman" w:hAnsi="Times New Roman" w:cs="Times New Roman"/>
                <w:bCs/>
                <w:color w:val="000000"/>
                <w:sz w:val="20"/>
                <w:szCs w:val="20"/>
                <w:lang w:eastAsia="en-CA"/>
              </w:rPr>
            </w:pPr>
            <w:r w:rsidRPr="002357CC">
              <w:rPr>
                <w:rFonts w:ascii="Times New Roman" w:eastAsia="Times New Roman" w:hAnsi="Times New Roman" w:cs="Times New Roman"/>
                <w:bCs/>
                <w:color w:val="000000"/>
                <w:sz w:val="20"/>
                <w:szCs w:val="20"/>
                <w:lang w:eastAsia="en-CA"/>
              </w:rPr>
              <w:t>Max</w:t>
            </w:r>
          </w:p>
        </w:tc>
      </w:tr>
      <w:tr w:rsidR="004D5D50" w:rsidRPr="00654D6E" w14:paraId="03F9E677" w14:textId="77777777" w:rsidTr="004A2E8B">
        <w:trPr>
          <w:trHeight w:val="361"/>
        </w:trPr>
        <w:tc>
          <w:tcPr>
            <w:tcW w:w="1123" w:type="pct"/>
            <w:tcBorders>
              <w:top w:val="nil"/>
              <w:left w:val="nil"/>
              <w:bottom w:val="nil"/>
              <w:right w:val="nil"/>
            </w:tcBorders>
            <w:noWrap/>
            <w:vAlign w:val="bottom"/>
          </w:tcPr>
          <w:p w14:paraId="2261649D" w14:textId="77777777" w:rsidR="004D5D50" w:rsidRPr="00654D6E" w:rsidRDefault="004D5D50" w:rsidP="004A2E8B">
            <w:pPr>
              <w:spacing w:after="0" w:line="240" w:lineRule="auto"/>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Full Sample</w:t>
            </w:r>
          </w:p>
        </w:tc>
        <w:tc>
          <w:tcPr>
            <w:tcW w:w="386" w:type="pct"/>
            <w:tcBorders>
              <w:top w:val="nil"/>
              <w:left w:val="nil"/>
              <w:bottom w:val="nil"/>
              <w:right w:val="nil"/>
            </w:tcBorders>
            <w:noWrap/>
            <w:vAlign w:val="bottom"/>
          </w:tcPr>
          <w:p w14:paraId="0D5D8E70"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120,183</w:t>
            </w:r>
          </w:p>
        </w:tc>
        <w:tc>
          <w:tcPr>
            <w:tcW w:w="318" w:type="pct"/>
            <w:tcBorders>
              <w:top w:val="nil"/>
              <w:left w:val="nil"/>
              <w:bottom w:val="nil"/>
              <w:right w:val="nil"/>
            </w:tcBorders>
            <w:noWrap/>
            <w:vAlign w:val="bottom"/>
          </w:tcPr>
          <w:p w14:paraId="592E2964"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0.777</w:t>
            </w:r>
          </w:p>
        </w:tc>
        <w:tc>
          <w:tcPr>
            <w:tcW w:w="317" w:type="pct"/>
            <w:tcBorders>
              <w:top w:val="nil"/>
              <w:left w:val="nil"/>
              <w:bottom w:val="nil"/>
              <w:right w:val="nil"/>
            </w:tcBorders>
            <w:noWrap/>
            <w:vAlign w:val="bottom"/>
          </w:tcPr>
          <w:p w14:paraId="5AF6BED6"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0.239</w:t>
            </w:r>
          </w:p>
        </w:tc>
        <w:tc>
          <w:tcPr>
            <w:tcW w:w="318" w:type="pct"/>
            <w:tcBorders>
              <w:top w:val="nil"/>
              <w:left w:val="nil"/>
              <w:bottom w:val="nil"/>
              <w:right w:val="nil"/>
            </w:tcBorders>
            <w:noWrap/>
            <w:vAlign w:val="bottom"/>
          </w:tcPr>
          <w:p w14:paraId="47040BF5"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0.077</w:t>
            </w:r>
          </w:p>
        </w:tc>
        <w:tc>
          <w:tcPr>
            <w:tcW w:w="317" w:type="pct"/>
            <w:tcBorders>
              <w:top w:val="nil"/>
              <w:left w:val="nil"/>
              <w:bottom w:val="nil"/>
              <w:right w:val="nil"/>
            </w:tcBorders>
            <w:noWrap/>
            <w:vAlign w:val="bottom"/>
          </w:tcPr>
          <w:p w14:paraId="014B8548"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0.213</w:t>
            </w:r>
          </w:p>
        </w:tc>
        <w:tc>
          <w:tcPr>
            <w:tcW w:w="318" w:type="pct"/>
            <w:tcBorders>
              <w:top w:val="nil"/>
              <w:left w:val="nil"/>
              <w:bottom w:val="nil"/>
              <w:right w:val="nil"/>
            </w:tcBorders>
            <w:noWrap/>
            <w:vAlign w:val="bottom"/>
          </w:tcPr>
          <w:p w14:paraId="4944D560"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0.366</w:t>
            </w:r>
          </w:p>
        </w:tc>
        <w:tc>
          <w:tcPr>
            <w:tcW w:w="318" w:type="pct"/>
            <w:tcBorders>
              <w:top w:val="nil"/>
              <w:left w:val="nil"/>
              <w:bottom w:val="nil"/>
              <w:right w:val="nil"/>
            </w:tcBorders>
            <w:noWrap/>
            <w:vAlign w:val="bottom"/>
          </w:tcPr>
          <w:p w14:paraId="70BAA2E2"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0.625</w:t>
            </w:r>
          </w:p>
        </w:tc>
        <w:tc>
          <w:tcPr>
            <w:tcW w:w="319" w:type="pct"/>
            <w:tcBorders>
              <w:top w:val="nil"/>
              <w:left w:val="nil"/>
              <w:bottom w:val="nil"/>
              <w:right w:val="nil"/>
            </w:tcBorders>
            <w:noWrap/>
            <w:vAlign w:val="bottom"/>
          </w:tcPr>
          <w:p w14:paraId="4307A9B1"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0.777</w:t>
            </w:r>
          </w:p>
        </w:tc>
        <w:tc>
          <w:tcPr>
            <w:tcW w:w="318" w:type="pct"/>
            <w:tcBorders>
              <w:top w:val="nil"/>
              <w:left w:val="nil"/>
              <w:bottom w:val="nil"/>
              <w:right w:val="nil"/>
            </w:tcBorders>
            <w:noWrap/>
            <w:vAlign w:val="bottom"/>
          </w:tcPr>
          <w:p w14:paraId="1805D33B"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0.935</w:t>
            </w:r>
          </w:p>
        </w:tc>
        <w:tc>
          <w:tcPr>
            <w:tcW w:w="317" w:type="pct"/>
            <w:tcBorders>
              <w:top w:val="nil"/>
              <w:left w:val="nil"/>
              <w:bottom w:val="nil"/>
              <w:right w:val="nil"/>
            </w:tcBorders>
            <w:noWrap/>
            <w:vAlign w:val="bottom"/>
          </w:tcPr>
          <w:p w14:paraId="32852F70"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654D6E">
              <w:rPr>
                <w:rFonts w:ascii="Times New Roman" w:eastAsia="Times New Roman" w:hAnsi="Times New Roman" w:cs="Times New Roman"/>
                <w:color w:val="000000"/>
                <w:sz w:val="20"/>
                <w:szCs w:val="20"/>
                <w:lang w:eastAsia="en-GB"/>
              </w:rPr>
              <w:t>1.164</w:t>
            </w:r>
          </w:p>
        </w:tc>
        <w:tc>
          <w:tcPr>
            <w:tcW w:w="318" w:type="pct"/>
            <w:tcBorders>
              <w:top w:val="nil"/>
              <w:left w:val="nil"/>
              <w:bottom w:val="nil"/>
              <w:right w:val="nil"/>
            </w:tcBorders>
            <w:noWrap/>
            <w:vAlign w:val="bottom"/>
          </w:tcPr>
          <w:p w14:paraId="3A79AD96"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1.374</w:t>
            </w:r>
          </w:p>
        </w:tc>
        <w:tc>
          <w:tcPr>
            <w:tcW w:w="313" w:type="pct"/>
            <w:tcBorders>
              <w:top w:val="nil"/>
              <w:left w:val="nil"/>
              <w:bottom w:val="nil"/>
              <w:right w:val="nil"/>
            </w:tcBorders>
            <w:noWrap/>
            <w:vAlign w:val="bottom"/>
          </w:tcPr>
          <w:p w14:paraId="69051B6C" w14:textId="77777777" w:rsidR="004D5D50" w:rsidRPr="00654D6E"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1.859</w:t>
            </w:r>
          </w:p>
        </w:tc>
      </w:tr>
      <w:tr w:rsidR="004D5D50" w:rsidRPr="002357CC" w14:paraId="6E06046C" w14:textId="77777777" w:rsidTr="004A2E8B">
        <w:trPr>
          <w:trHeight w:val="375"/>
        </w:trPr>
        <w:tc>
          <w:tcPr>
            <w:tcW w:w="1123" w:type="pct"/>
            <w:tcBorders>
              <w:top w:val="nil"/>
              <w:left w:val="nil"/>
              <w:bottom w:val="nil"/>
              <w:right w:val="nil"/>
            </w:tcBorders>
            <w:noWrap/>
            <w:vAlign w:val="bottom"/>
            <w:hideMark/>
          </w:tcPr>
          <w:p w14:paraId="250B09BF" w14:textId="77777777" w:rsidR="004D5D50" w:rsidRPr="002357CC" w:rsidRDefault="004D5D50" w:rsidP="004A2E8B">
            <w:pPr>
              <w:spacing w:after="0" w:line="240" w:lineRule="auto"/>
              <w:rPr>
                <w:rFonts w:ascii="Times New Roman" w:eastAsia="Times New Roman" w:hAnsi="Times New Roman" w:cs="Times New Roman"/>
                <w:b/>
                <w:bCs/>
                <w:i/>
                <w:iCs/>
                <w:color w:val="000000"/>
                <w:sz w:val="20"/>
                <w:szCs w:val="20"/>
                <w:lang w:eastAsia="en-CA"/>
              </w:rPr>
            </w:pPr>
            <w:r>
              <w:rPr>
                <w:rFonts w:ascii="Times New Roman" w:eastAsia="Times New Roman" w:hAnsi="Times New Roman" w:cs="Times New Roman"/>
                <w:b/>
                <w:bCs/>
                <w:i/>
                <w:iCs/>
                <w:color w:val="000000"/>
                <w:sz w:val="20"/>
                <w:szCs w:val="20"/>
                <w:lang w:eastAsia="en-CA"/>
              </w:rPr>
              <w:t>By Industry</w:t>
            </w:r>
          </w:p>
        </w:tc>
        <w:tc>
          <w:tcPr>
            <w:tcW w:w="386" w:type="pct"/>
            <w:tcBorders>
              <w:top w:val="nil"/>
              <w:left w:val="nil"/>
              <w:bottom w:val="nil"/>
              <w:right w:val="nil"/>
            </w:tcBorders>
            <w:noWrap/>
            <w:vAlign w:val="bottom"/>
            <w:hideMark/>
          </w:tcPr>
          <w:p w14:paraId="3381A5CD" w14:textId="77777777" w:rsidR="004D5D50" w:rsidRPr="002357CC" w:rsidRDefault="004D5D50" w:rsidP="004A2E8B">
            <w:pPr>
              <w:spacing w:after="0" w:line="240" w:lineRule="auto"/>
              <w:rPr>
                <w:rFonts w:ascii="Times New Roman" w:eastAsia="Times New Roman" w:hAnsi="Times New Roman" w:cs="Times New Roman"/>
                <w:b/>
                <w:bCs/>
                <w:i/>
                <w:iCs/>
                <w:color w:val="000000"/>
                <w:sz w:val="20"/>
                <w:szCs w:val="20"/>
                <w:lang w:eastAsia="en-CA"/>
              </w:rPr>
            </w:pPr>
          </w:p>
        </w:tc>
        <w:tc>
          <w:tcPr>
            <w:tcW w:w="318" w:type="pct"/>
            <w:tcBorders>
              <w:top w:val="nil"/>
              <w:left w:val="nil"/>
              <w:bottom w:val="nil"/>
              <w:right w:val="nil"/>
            </w:tcBorders>
            <w:noWrap/>
            <w:vAlign w:val="bottom"/>
            <w:hideMark/>
          </w:tcPr>
          <w:p w14:paraId="0FC272E8"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7" w:type="pct"/>
            <w:tcBorders>
              <w:top w:val="nil"/>
              <w:left w:val="nil"/>
              <w:bottom w:val="nil"/>
              <w:right w:val="nil"/>
            </w:tcBorders>
            <w:noWrap/>
            <w:vAlign w:val="bottom"/>
            <w:hideMark/>
          </w:tcPr>
          <w:p w14:paraId="31BEE20F"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8" w:type="pct"/>
            <w:tcBorders>
              <w:top w:val="nil"/>
              <w:left w:val="nil"/>
              <w:bottom w:val="nil"/>
              <w:right w:val="nil"/>
            </w:tcBorders>
            <w:noWrap/>
            <w:vAlign w:val="bottom"/>
            <w:hideMark/>
          </w:tcPr>
          <w:p w14:paraId="02F320A3"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7" w:type="pct"/>
            <w:tcBorders>
              <w:top w:val="nil"/>
              <w:left w:val="nil"/>
              <w:bottom w:val="nil"/>
              <w:right w:val="nil"/>
            </w:tcBorders>
            <w:noWrap/>
            <w:vAlign w:val="bottom"/>
            <w:hideMark/>
          </w:tcPr>
          <w:p w14:paraId="4437AFC2"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8" w:type="pct"/>
            <w:tcBorders>
              <w:top w:val="nil"/>
              <w:left w:val="nil"/>
              <w:bottom w:val="nil"/>
              <w:right w:val="nil"/>
            </w:tcBorders>
            <w:noWrap/>
            <w:vAlign w:val="bottom"/>
            <w:hideMark/>
          </w:tcPr>
          <w:p w14:paraId="275E7534"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8" w:type="pct"/>
            <w:tcBorders>
              <w:top w:val="nil"/>
              <w:left w:val="nil"/>
              <w:bottom w:val="nil"/>
              <w:right w:val="nil"/>
            </w:tcBorders>
            <w:noWrap/>
            <w:vAlign w:val="bottom"/>
            <w:hideMark/>
          </w:tcPr>
          <w:p w14:paraId="6DC3208F"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9" w:type="pct"/>
            <w:tcBorders>
              <w:top w:val="nil"/>
              <w:left w:val="nil"/>
              <w:bottom w:val="nil"/>
              <w:right w:val="nil"/>
            </w:tcBorders>
            <w:noWrap/>
            <w:vAlign w:val="bottom"/>
            <w:hideMark/>
          </w:tcPr>
          <w:p w14:paraId="71C4F187"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8" w:type="pct"/>
            <w:tcBorders>
              <w:top w:val="nil"/>
              <w:left w:val="nil"/>
              <w:bottom w:val="nil"/>
              <w:right w:val="nil"/>
            </w:tcBorders>
            <w:noWrap/>
            <w:vAlign w:val="bottom"/>
            <w:hideMark/>
          </w:tcPr>
          <w:p w14:paraId="2B72B152"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7" w:type="pct"/>
            <w:tcBorders>
              <w:top w:val="nil"/>
              <w:left w:val="nil"/>
              <w:bottom w:val="nil"/>
              <w:right w:val="nil"/>
            </w:tcBorders>
            <w:noWrap/>
            <w:vAlign w:val="bottom"/>
            <w:hideMark/>
          </w:tcPr>
          <w:p w14:paraId="6A095234"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8" w:type="pct"/>
            <w:tcBorders>
              <w:top w:val="nil"/>
              <w:left w:val="nil"/>
              <w:bottom w:val="nil"/>
              <w:right w:val="nil"/>
            </w:tcBorders>
            <w:noWrap/>
            <w:vAlign w:val="bottom"/>
            <w:hideMark/>
          </w:tcPr>
          <w:p w14:paraId="02A396AC"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c>
          <w:tcPr>
            <w:tcW w:w="313" w:type="pct"/>
            <w:tcBorders>
              <w:top w:val="nil"/>
              <w:left w:val="nil"/>
              <w:bottom w:val="nil"/>
              <w:right w:val="nil"/>
            </w:tcBorders>
            <w:noWrap/>
            <w:vAlign w:val="bottom"/>
            <w:hideMark/>
          </w:tcPr>
          <w:p w14:paraId="58D7E8AC" w14:textId="77777777" w:rsidR="004D5D50" w:rsidRPr="002357CC" w:rsidRDefault="004D5D50" w:rsidP="004A2E8B">
            <w:pPr>
              <w:spacing w:after="0" w:line="240" w:lineRule="auto"/>
              <w:jc w:val="center"/>
              <w:rPr>
                <w:rFonts w:ascii="Times New Roman" w:eastAsia="Times New Roman" w:hAnsi="Times New Roman" w:cs="Times New Roman"/>
                <w:sz w:val="20"/>
                <w:szCs w:val="20"/>
                <w:lang w:eastAsia="en-CA"/>
              </w:rPr>
            </w:pPr>
          </w:p>
        </w:tc>
      </w:tr>
      <w:tr w:rsidR="004D5D50" w:rsidRPr="002357CC" w14:paraId="0545ED4C" w14:textId="77777777" w:rsidTr="004A2E8B">
        <w:trPr>
          <w:trHeight w:val="271"/>
        </w:trPr>
        <w:tc>
          <w:tcPr>
            <w:tcW w:w="1123" w:type="pct"/>
            <w:tcBorders>
              <w:top w:val="nil"/>
              <w:left w:val="nil"/>
              <w:bottom w:val="nil"/>
              <w:right w:val="nil"/>
            </w:tcBorders>
            <w:noWrap/>
            <w:vAlign w:val="bottom"/>
            <w:hideMark/>
          </w:tcPr>
          <w:p w14:paraId="77E49054"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Medical</w:t>
            </w:r>
          </w:p>
        </w:tc>
        <w:tc>
          <w:tcPr>
            <w:tcW w:w="386" w:type="pct"/>
            <w:tcBorders>
              <w:top w:val="nil"/>
              <w:left w:val="nil"/>
              <w:bottom w:val="nil"/>
              <w:right w:val="nil"/>
            </w:tcBorders>
            <w:noWrap/>
            <w:vAlign w:val="bottom"/>
            <w:hideMark/>
          </w:tcPr>
          <w:p w14:paraId="1681D25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13,855</w:t>
            </w:r>
          </w:p>
        </w:tc>
        <w:tc>
          <w:tcPr>
            <w:tcW w:w="318" w:type="pct"/>
            <w:tcBorders>
              <w:top w:val="nil"/>
              <w:left w:val="nil"/>
              <w:bottom w:val="nil"/>
              <w:right w:val="nil"/>
            </w:tcBorders>
            <w:noWrap/>
            <w:vAlign w:val="bottom"/>
            <w:hideMark/>
          </w:tcPr>
          <w:p w14:paraId="0D6F15C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0.906</w:t>
            </w:r>
          </w:p>
        </w:tc>
        <w:tc>
          <w:tcPr>
            <w:tcW w:w="317" w:type="pct"/>
            <w:tcBorders>
              <w:top w:val="nil"/>
              <w:left w:val="nil"/>
              <w:bottom w:val="nil"/>
              <w:right w:val="nil"/>
            </w:tcBorders>
            <w:noWrap/>
            <w:vAlign w:val="bottom"/>
            <w:hideMark/>
          </w:tcPr>
          <w:p w14:paraId="79A2E8F3"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0.186</w:t>
            </w:r>
          </w:p>
        </w:tc>
        <w:tc>
          <w:tcPr>
            <w:tcW w:w="318" w:type="pct"/>
            <w:tcBorders>
              <w:top w:val="nil"/>
              <w:left w:val="nil"/>
              <w:bottom w:val="nil"/>
              <w:right w:val="nil"/>
            </w:tcBorders>
            <w:noWrap/>
            <w:vAlign w:val="bottom"/>
            <w:hideMark/>
          </w:tcPr>
          <w:p w14:paraId="79CFAFE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0.196</w:t>
            </w:r>
          </w:p>
        </w:tc>
        <w:tc>
          <w:tcPr>
            <w:tcW w:w="317" w:type="pct"/>
            <w:tcBorders>
              <w:top w:val="nil"/>
              <w:left w:val="nil"/>
              <w:bottom w:val="nil"/>
              <w:right w:val="nil"/>
            </w:tcBorders>
            <w:noWrap/>
            <w:vAlign w:val="bottom"/>
            <w:hideMark/>
          </w:tcPr>
          <w:p w14:paraId="2F9D2ED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0.411</w:t>
            </w:r>
          </w:p>
        </w:tc>
        <w:tc>
          <w:tcPr>
            <w:tcW w:w="318" w:type="pct"/>
            <w:tcBorders>
              <w:top w:val="nil"/>
              <w:left w:val="nil"/>
              <w:bottom w:val="nil"/>
              <w:right w:val="nil"/>
            </w:tcBorders>
            <w:noWrap/>
            <w:vAlign w:val="bottom"/>
            <w:hideMark/>
          </w:tcPr>
          <w:p w14:paraId="3C1A4E1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0.582</w:t>
            </w:r>
          </w:p>
        </w:tc>
        <w:tc>
          <w:tcPr>
            <w:tcW w:w="318" w:type="pct"/>
            <w:tcBorders>
              <w:top w:val="nil"/>
              <w:left w:val="nil"/>
              <w:bottom w:val="nil"/>
              <w:right w:val="nil"/>
            </w:tcBorders>
            <w:noWrap/>
            <w:vAlign w:val="bottom"/>
            <w:hideMark/>
          </w:tcPr>
          <w:p w14:paraId="583372D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0.794</w:t>
            </w:r>
          </w:p>
        </w:tc>
        <w:tc>
          <w:tcPr>
            <w:tcW w:w="319" w:type="pct"/>
            <w:tcBorders>
              <w:top w:val="nil"/>
              <w:left w:val="nil"/>
              <w:bottom w:val="nil"/>
              <w:right w:val="nil"/>
            </w:tcBorders>
            <w:noWrap/>
            <w:vAlign w:val="bottom"/>
            <w:hideMark/>
          </w:tcPr>
          <w:p w14:paraId="48CAA1AA"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0.914</w:t>
            </w:r>
          </w:p>
        </w:tc>
        <w:tc>
          <w:tcPr>
            <w:tcW w:w="318" w:type="pct"/>
            <w:tcBorders>
              <w:top w:val="nil"/>
              <w:left w:val="nil"/>
              <w:bottom w:val="nil"/>
              <w:right w:val="nil"/>
            </w:tcBorders>
            <w:noWrap/>
            <w:vAlign w:val="bottom"/>
            <w:hideMark/>
          </w:tcPr>
          <w:p w14:paraId="20A8C9A1"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1.026</w:t>
            </w:r>
          </w:p>
        </w:tc>
        <w:tc>
          <w:tcPr>
            <w:tcW w:w="317" w:type="pct"/>
            <w:tcBorders>
              <w:top w:val="nil"/>
              <w:left w:val="nil"/>
              <w:bottom w:val="nil"/>
              <w:right w:val="nil"/>
            </w:tcBorders>
            <w:noWrap/>
            <w:vAlign w:val="bottom"/>
            <w:hideMark/>
          </w:tcPr>
          <w:p w14:paraId="064BFB4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1.196</w:t>
            </w:r>
          </w:p>
        </w:tc>
        <w:tc>
          <w:tcPr>
            <w:tcW w:w="318" w:type="pct"/>
            <w:tcBorders>
              <w:top w:val="nil"/>
              <w:left w:val="nil"/>
              <w:bottom w:val="nil"/>
              <w:right w:val="nil"/>
            </w:tcBorders>
            <w:noWrap/>
            <w:vAlign w:val="bottom"/>
            <w:hideMark/>
          </w:tcPr>
          <w:p w14:paraId="2BF3D22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1.327</w:t>
            </w:r>
          </w:p>
        </w:tc>
        <w:tc>
          <w:tcPr>
            <w:tcW w:w="313" w:type="pct"/>
            <w:tcBorders>
              <w:top w:val="nil"/>
              <w:left w:val="nil"/>
              <w:bottom w:val="nil"/>
              <w:right w:val="nil"/>
            </w:tcBorders>
            <w:noWrap/>
            <w:vAlign w:val="bottom"/>
            <w:hideMark/>
          </w:tcPr>
          <w:p w14:paraId="43D2B3B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1.649</w:t>
            </w:r>
          </w:p>
        </w:tc>
      </w:tr>
      <w:tr w:rsidR="004D5D50" w:rsidRPr="002357CC" w14:paraId="75B17117" w14:textId="77777777" w:rsidTr="004A2E8B">
        <w:trPr>
          <w:trHeight w:val="271"/>
        </w:trPr>
        <w:tc>
          <w:tcPr>
            <w:tcW w:w="1123" w:type="pct"/>
            <w:tcBorders>
              <w:top w:val="nil"/>
              <w:left w:val="nil"/>
              <w:bottom w:val="nil"/>
              <w:right w:val="nil"/>
            </w:tcBorders>
            <w:noWrap/>
            <w:vAlign w:val="bottom"/>
            <w:hideMark/>
          </w:tcPr>
          <w:p w14:paraId="66AD2059"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Business Equipment</w:t>
            </w:r>
          </w:p>
        </w:tc>
        <w:tc>
          <w:tcPr>
            <w:tcW w:w="386" w:type="pct"/>
            <w:tcBorders>
              <w:top w:val="nil"/>
              <w:left w:val="nil"/>
              <w:bottom w:val="nil"/>
              <w:right w:val="nil"/>
            </w:tcBorders>
            <w:noWrap/>
            <w:vAlign w:val="bottom"/>
            <w:hideMark/>
          </w:tcPr>
          <w:p w14:paraId="1ABEE8D3"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25,813</w:t>
            </w:r>
          </w:p>
        </w:tc>
        <w:tc>
          <w:tcPr>
            <w:tcW w:w="318" w:type="pct"/>
            <w:tcBorders>
              <w:top w:val="nil"/>
              <w:left w:val="nil"/>
              <w:bottom w:val="nil"/>
              <w:right w:val="nil"/>
            </w:tcBorders>
            <w:noWrap/>
            <w:vAlign w:val="bottom"/>
            <w:hideMark/>
          </w:tcPr>
          <w:p w14:paraId="28F6AF1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0.897</w:t>
            </w:r>
          </w:p>
        </w:tc>
        <w:tc>
          <w:tcPr>
            <w:tcW w:w="317" w:type="pct"/>
            <w:tcBorders>
              <w:top w:val="nil"/>
              <w:left w:val="nil"/>
              <w:bottom w:val="nil"/>
              <w:right w:val="nil"/>
            </w:tcBorders>
            <w:noWrap/>
            <w:vAlign w:val="bottom"/>
            <w:hideMark/>
          </w:tcPr>
          <w:p w14:paraId="1AA8917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0.199</w:t>
            </w:r>
          </w:p>
        </w:tc>
        <w:tc>
          <w:tcPr>
            <w:tcW w:w="318" w:type="pct"/>
            <w:tcBorders>
              <w:top w:val="nil"/>
              <w:left w:val="nil"/>
              <w:bottom w:val="nil"/>
              <w:right w:val="nil"/>
            </w:tcBorders>
            <w:noWrap/>
            <w:vAlign w:val="bottom"/>
            <w:hideMark/>
          </w:tcPr>
          <w:p w14:paraId="4FE0BF2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0.129</w:t>
            </w:r>
          </w:p>
        </w:tc>
        <w:tc>
          <w:tcPr>
            <w:tcW w:w="317" w:type="pct"/>
            <w:tcBorders>
              <w:top w:val="nil"/>
              <w:left w:val="nil"/>
              <w:bottom w:val="nil"/>
              <w:right w:val="nil"/>
            </w:tcBorders>
            <w:noWrap/>
            <w:vAlign w:val="bottom"/>
            <w:hideMark/>
          </w:tcPr>
          <w:p w14:paraId="7C12BF0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0.484</w:t>
            </w:r>
          </w:p>
        </w:tc>
        <w:tc>
          <w:tcPr>
            <w:tcW w:w="318" w:type="pct"/>
            <w:tcBorders>
              <w:top w:val="nil"/>
              <w:left w:val="nil"/>
              <w:bottom w:val="nil"/>
              <w:right w:val="nil"/>
            </w:tcBorders>
            <w:noWrap/>
            <w:vAlign w:val="bottom"/>
            <w:hideMark/>
          </w:tcPr>
          <w:p w14:paraId="7636F9F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0.600</w:t>
            </w:r>
          </w:p>
        </w:tc>
        <w:tc>
          <w:tcPr>
            <w:tcW w:w="318" w:type="pct"/>
            <w:tcBorders>
              <w:top w:val="nil"/>
              <w:left w:val="nil"/>
              <w:bottom w:val="nil"/>
              <w:right w:val="nil"/>
            </w:tcBorders>
            <w:noWrap/>
            <w:vAlign w:val="bottom"/>
            <w:hideMark/>
          </w:tcPr>
          <w:p w14:paraId="36200F6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0.757</w:t>
            </w:r>
          </w:p>
        </w:tc>
        <w:tc>
          <w:tcPr>
            <w:tcW w:w="319" w:type="pct"/>
            <w:tcBorders>
              <w:top w:val="nil"/>
              <w:left w:val="nil"/>
              <w:bottom w:val="nil"/>
              <w:right w:val="nil"/>
            </w:tcBorders>
            <w:noWrap/>
            <w:vAlign w:val="bottom"/>
            <w:hideMark/>
          </w:tcPr>
          <w:p w14:paraId="06FCF0AA"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0.887</w:t>
            </w:r>
          </w:p>
        </w:tc>
        <w:tc>
          <w:tcPr>
            <w:tcW w:w="318" w:type="pct"/>
            <w:tcBorders>
              <w:top w:val="nil"/>
              <w:left w:val="nil"/>
              <w:bottom w:val="nil"/>
              <w:right w:val="nil"/>
            </w:tcBorders>
            <w:noWrap/>
            <w:vAlign w:val="bottom"/>
            <w:hideMark/>
          </w:tcPr>
          <w:p w14:paraId="30A96D5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1.020</w:t>
            </w:r>
          </w:p>
        </w:tc>
        <w:tc>
          <w:tcPr>
            <w:tcW w:w="317" w:type="pct"/>
            <w:tcBorders>
              <w:top w:val="nil"/>
              <w:left w:val="nil"/>
              <w:bottom w:val="nil"/>
              <w:right w:val="nil"/>
            </w:tcBorders>
            <w:noWrap/>
            <w:vAlign w:val="bottom"/>
            <w:hideMark/>
          </w:tcPr>
          <w:p w14:paraId="6ED49CA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1.261</w:t>
            </w:r>
          </w:p>
        </w:tc>
        <w:tc>
          <w:tcPr>
            <w:tcW w:w="318" w:type="pct"/>
            <w:tcBorders>
              <w:top w:val="nil"/>
              <w:left w:val="nil"/>
              <w:bottom w:val="nil"/>
              <w:right w:val="nil"/>
            </w:tcBorders>
            <w:noWrap/>
            <w:vAlign w:val="bottom"/>
            <w:hideMark/>
          </w:tcPr>
          <w:p w14:paraId="6D8AFB7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1.429</w:t>
            </w:r>
          </w:p>
        </w:tc>
        <w:tc>
          <w:tcPr>
            <w:tcW w:w="313" w:type="pct"/>
            <w:tcBorders>
              <w:top w:val="nil"/>
              <w:left w:val="nil"/>
              <w:bottom w:val="nil"/>
              <w:right w:val="nil"/>
            </w:tcBorders>
            <w:noWrap/>
            <w:vAlign w:val="bottom"/>
            <w:hideMark/>
          </w:tcPr>
          <w:p w14:paraId="07DE495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1.697</w:t>
            </w:r>
          </w:p>
        </w:tc>
      </w:tr>
      <w:tr w:rsidR="004D5D50" w:rsidRPr="002357CC" w14:paraId="0B9462F1" w14:textId="77777777" w:rsidTr="004A2E8B">
        <w:trPr>
          <w:trHeight w:val="271"/>
        </w:trPr>
        <w:tc>
          <w:tcPr>
            <w:tcW w:w="1123" w:type="pct"/>
            <w:tcBorders>
              <w:top w:val="nil"/>
              <w:left w:val="nil"/>
              <w:bottom w:val="nil"/>
              <w:right w:val="nil"/>
            </w:tcBorders>
            <w:noWrap/>
            <w:vAlign w:val="bottom"/>
            <w:hideMark/>
          </w:tcPr>
          <w:p w14:paraId="334C664F"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Telephone and TV Transmission</w:t>
            </w:r>
          </w:p>
        </w:tc>
        <w:tc>
          <w:tcPr>
            <w:tcW w:w="386" w:type="pct"/>
            <w:tcBorders>
              <w:top w:val="nil"/>
              <w:left w:val="nil"/>
              <w:bottom w:val="nil"/>
              <w:right w:val="nil"/>
            </w:tcBorders>
            <w:noWrap/>
            <w:vAlign w:val="bottom"/>
            <w:hideMark/>
          </w:tcPr>
          <w:p w14:paraId="14FDAE5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1,374</w:t>
            </w:r>
          </w:p>
        </w:tc>
        <w:tc>
          <w:tcPr>
            <w:tcW w:w="318" w:type="pct"/>
            <w:tcBorders>
              <w:top w:val="nil"/>
              <w:left w:val="nil"/>
              <w:bottom w:val="nil"/>
              <w:right w:val="nil"/>
            </w:tcBorders>
            <w:noWrap/>
            <w:vAlign w:val="bottom"/>
            <w:hideMark/>
          </w:tcPr>
          <w:p w14:paraId="6316A1B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0.846</w:t>
            </w:r>
          </w:p>
        </w:tc>
        <w:tc>
          <w:tcPr>
            <w:tcW w:w="317" w:type="pct"/>
            <w:tcBorders>
              <w:top w:val="nil"/>
              <w:left w:val="nil"/>
              <w:bottom w:val="nil"/>
              <w:right w:val="nil"/>
            </w:tcBorders>
            <w:noWrap/>
            <w:vAlign w:val="bottom"/>
            <w:hideMark/>
          </w:tcPr>
          <w:p w14:paraId="7647B0D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0.297</w:t>
            </w:r>
          </w:p>
        </w:tc>
        <w:tc>
          <w:tcPr>
            <w:tcW w:w="318" w:type="pct"/>
            <w:tcBorders>
              <w:top w:val="nil"/>
              <w:left w:val="nil"/>
              <w:bottom w:val="nil"/>
              <w:right w:val="nil"/>
            </w:tcBorders>
            <w:noWrap/>
            <w:vAlign w:val="bottom"/>
            <w:hideMark/>
          </w:tcPr>
          <w:p w14:paraId="3758188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0.147</w:t>
            </w:r>
          </w:p>
        </w:tc>
        <w:tc>
          <w:tcPr>
            <w:tcW w:w="317" w:type="pct"/>
            <w:tcBorders>
              <w:top w:val="nil"/>
              <w:left w:val="nil"/>
              <w:bottom w:val="nil"/>
              <w:right w:val="nil"/>
            </w:tcBorders>
            <w:noWrap/>
            <w:vAlign w:val="bottom"/>
            <w:hideMark/>
          </w:tcPr>
          <w:p w14:paraId="49B0ABA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0.251</w:t>
            </w:r>
          </w:p>
        </w:tc>
        <w:tc>
          <w:tcPr>
            <w:tcW w:w="318" w:type="pct"/>
            <w:tcBorders>
              <w:top w:val="nil"/>
              <w:left w:val="nil"/>
              <w:bottom w:val="nil"/>
              <w:right w:val="nil"/>
            </w:tcBorders>
            <w:noWrap/>
            <w:vAlign w:val="bottom"/>
            <w:hideMark/>
          </w:tcPr>
          <w:p w14:paraId="19B63EF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0.369</w:t>
            </w:r>
          </w:p>
        </w:tc>
        <w:tc>
          <w:tcPr>
            <w:tcW w:w="318" w:type="pct"/>
            <w:tcBorders>
              <w:top w:val="nil"/>
              <w:left w:val="nil"/>
              <w:bottom w:val="nil"/>
              <w:right w:val="nil"/>
            </w:tcBorders>
            <w:noWrap/>
            <w:vAlign w:val="bottom"/>
            <w:hideMark/>
          </w:tcPr>
          <w:p w14:paraId="7F9AA25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0.642</w:t>
            </w:r>
          </w:p>
        </w:tc>
        <w:tc>
          <w:tcPr>
            <w:tcW w:w="319" w:type="pct"/>
            <w:tcBorders>
              <w:top w:val="nil"/>
              <w:left w:val="nil"/>
              <w:bottom w:val="nil"/>
              <w:right w:val="nil"/>
            </w:tcBorders>
            <w:noWrap/>
            <w:vAlign w:val="bottom"/>
            <w:hideMark/>
          </w:tcPr>
          <w:p w14:paraId="6A537D5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0.826</w:t>
            </w:r>
          </w:p>
        </w:tc>
        <w:tc>
          <w:tcPr>
            <w:tcW w:w="318" w:type="pct"/>
            <w:tcBorders>
              <w:top w:val="nil"/>
              <w:left w:val="nil"/>
              <w:bottom w:val="nil"/>
              <w:right w:val="nil"/>
            </w:tcBorders>
            <w:noWrap/>
            <w:vAlign w:val="bottom"/>
            <w:hideMark/>
          </w:tcPr>
          <w:p w14:paraId="1FFC24E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1.042</w:t>
            </w:r>
          </w:p>
        </w:tc>
        <w:tc>
          <w:tcPr>
            <w:tcW w:w="317" w:type="pct"/>
            <w:tcBorders>
              <w:top w:val="nil"/>
              <w:left w:val="nil"/>
              <w:bottom w:val="nil"/>
              <w:right w:val="nil"/>
            </w:tcBorders>
            <w:noWrap/>
            <w:vAlign w:val="bottom"/>
            <w:hideMark/>
          </w:tcPr>
          <w:p w14:paraId="271FC75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1.362</w:t>
            </w:r>
          </w:p>
        </w:tc>
        <w:tc>
          <w:tcPr>
            <w:tcW w:w="318" w:type="pct"/>
            <w:tcBorders>
              <w:top w:val="nil"/>
              <w:left w:val="nil"/>
              <w:bottom w:val="nil"/>
              <w:right w:val="nil"/>
            </w:tcBorders>
            <w:noWrap/>
            <w:vAlign w:val="bottom"/>
            <w:hideMark/>
          </w:tcPr>
          <w:p w14:paraId="0930561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1.530</w:t>
            </w:r>
          </w:p>
        </w:tc>
        <w:tc>
          <w:tcPr>
            <w:tcW w:w="313" w:type="pct"/>
            <w:tcBorders>
              <w:top w:val="nil"/>
              <w:left w:val="nil"/>
              <w:bottom w:val="nil"/>
              <w:right w:val="nil"/>
            </w:tcBorders>
            <w:noWrap/>
            <w:vAlign w:val="bottom"/>
            <w:hideMark/>
          </w:tcPr>
          <w:p w14:paraId="1E645EC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1.749</w:t>
            </w:r>
          </w:p>
        </w:tc>
      </w:tr>
      <w:tr w:rsidR="004D5D50" w:rsidRPr="002357CC" w14:paraId="5A602F49" w14:textId="77777777" w:rsidTr="004A2E8B">
        <w:trPr>
          <w:trHeight w:val="271"/>
        </w:trPr>
        <w:tc>
          <w:tcPr>
            <w:tcW w:w="1123" w:type="pct"/>
            <w:tcBorders>
              <w:top w:val="nil"/>
              <w:left w:val="nil"/>
              <w:bottom w:val="nil"/>
              <w:right w:val="nil"/>
            </w:tcBorders>
            <w:noWrap/>
            <w:vAlign w:val="bottom"/>
            <w:hideMark/>
          </w:tcPr>
          <w:p w14:paraId="56A473F1"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Everyt</w:t>
            </w:r>
            <w:r>
              <w:rPr>
                <w:rFonts w:ascii="Times New Roman" w:hAnsi="Times New Roman" w:cs="Times New Roman"/>
                <w:color w:val="000000"/>
                <w:sz w:val="20"/>
                <w:szCs w:val="20"/>
              </w:rPr>
              <w:t>h</w:t>
            </w:r>
            <w:r w:rsidRPr="0007230B">
              <w:rPr>
                <w:rFonts w:ascii="Times New Roman" w:hAnsi="Times New Roman" w:cs="Times New Roman"/>
                <w:color w:val="000000"/>
                <w:sz w:val="20"/>
                <w:szCs w:val="20"/>
              </w:rPr>
              <w:t xml:space="preserve">ing </w:t>
            </w:r>
            <w:r>
              <w:rPr>
                <w:rFonts w:ascii="Times New Roman" w:hAnsi="Times New Roman" w:cs="Times New Roman"/>
                <w:color w:val="000000"/>
                <w:sz w:val="20"/>
                <w:szCs w:val="20"/>
              </w:rPr>
              <w:t>E</w:t>
            </w:r>
            <w:r w:rsidRPr="0007230B">
              <w:rPr>
                <w:rFonts w:ascii="Times New Roman" w:hAnsi="Times New Roman" w:cs="Times New Roman"/>
                <w:color w:val="000000"/>
                <w:sz w:val="20"/>
                <w:szCs w:val="20"/>
              </w:rPr>
              <w:t>lse (except finance)</w:t>
            </w:r>
          </w:p>
        </w:tc>
        <w:tc>
          <w:tcPr>
            <w:tcW w:w="386" w:type="pct"/>
            <w:tcBorders>
              <w:top w:val="nil"/>
              <w:left w:val="nil"/>
              <w:bottom w:val="nil"/>
              <w:right w:val="nil"/>
            </w:tcBorders>
            <w:noWrap/>
            <w:vAlign w:val="bottom"/>
            <w:hideMark/>
          </w:tcPr>
          <w:p w14:paraId="7E00CDD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18,324</w:t>
            </w:r>
          </w:p>
        </w:tc>
        <w:tc>
          <w:tcPr>
            <w:tcW w:w="318" w:type="pct"/>
            <w:tcBorders>
              <w:top w:val="nil"/>
              <w:left w:val="nil"/>
              <w:bottom w:val="nil"/>
              <w:right w:val="nil"/>
            </w:tcBorders>
            <w:noWrap/>
            <w:vAlign w:val="bottom"/>
            <w:hideMark/>
          </w:tcPr>
          <w:p w14:paraId="7FE4F95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0.843</w:t>
            </w:r>
          </w:p>
        </w:tc>
        <w:tc>
          <w:tcPr>
            <w:tcW w:w="317" w:type="pct"/>
            <w:tcBorders>
              <w:top w:val="nil"/>
              <w:left w:val="nil"/>
              <w:bottom w:val="nil"/>
              <w:right w:val="nil"/>
            </w:tcBorders>
            <w:noWrap/>
            <w:vAlign w:val="bottom"/>
            <w:hideMark/>
          </w:tcPr>
          <w:p w14:paraId="0E3F12D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0.200</w:t>
            </w:r>
          </w:p>
        </w:tc>
        <w:tc>
          <w:tcPr>
            <w:tcW w:w="318" w:type="pct"/>
            <w:tcBorders>
              <w:top w:val="nil"/>
              <w:left w:val="nil"/>
              <w:bottom w:val="nil"/>
              <w:right w:val="nil"/>
            </w:tcBorders>
            <w:noWrap/>
            <w:vAlign w:val="bottom"/>
            <w:hideMark/>
          </w:tcPr>
          <w:p w14:paraId="24C39D6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0.223</w:t>
            </w:r>
          </w:p>
        </w:tc>
        <w:tc>
          <w:tcPr>
            <w:tcW w:w="317" w:type="pct"/>
            <w:tcBorders>
              <w:top w:val="nil"/>
              <w:left w:val="nil"/>
              <w:bottom w:val="nil"/>
              <w:right w:val="nil"/>
            </w:tcBorders>
            <w:noWrap/>
            <w:vAlign w:val="bottom"/>
            <w:hideMark/>
          </w:tcPr>
          <w:p w14:paraId="7F7A283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0.418</w:t>
            </w:r>
          </w:p>
        </w:tc>
        <w:tc>
          <w:tcPr>
            <w:tcW w:w="318" w:type="pct"/>
            <w:tcBorders>
              <w:top w:val="nil"/>
              <w:left w:val="nil"/>
              <w:bottom w:val="nil"/>
              <w:right w:val="nil"/>
            </w:tcBorders>
            <w:noWrap/>
            <w:vAlign w:val="bottom"/>
            <w:hideMark/>
          </w:tcPr>
          <w:p w14:paraId="0C65E83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0.543</w:t>
            </w:r>
          </w:p>
        </w:tc>
        <w:tc>
          <w:tcPr>
            <w:tcW w:w="318" w:type="pct"/>
            <w:tcBorders>
              <w:top w:val="nil"/>
              <w:left w:val="nil"/>
              <w:bottom w:val="nil"/>
              <w:right w:val="nil"/>
            </w:tcBorders>
            <w:noWrap/>
            <w:vAlign w:val="bottom"/>
            <w:hideMark/>
          </w:tcPr>
          <w:p w14:paraId="3C89D01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0.707</w:t>
            </w:r>
          </w:p>
        </w:tc>
        <w:tc>
          <w:tcPr>
            <w:tcW w:w="319" w:type="pct"/>
            <w:tcBorders>
              <w:top w:val="nil"/>
              <w:left w:val="nil"/>
              <w:bottom w:val="nil"/>
              <w:right w:val="nil"/>
            </w:tcBorders>
            <w:noWrap/>
            <w:vAlign w:val="bottom"/>
            <w:hideMark/>
          </w:tcPr>
          <w:p w14:paraId="0E018503"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0.828</w:t>
            </w:r>
          </w:p>
        </w:tc>
        <w:tc>
          <w:tcPr>
            <w:tcW w:w="318" w:type="pct"/>
            <w:tcBorders>
              <w:top w:val="nil"/>
              <w:left w:val="nil"/>
              <w:bottom w:val="nil"/>
              <w:right w:val="nil"/>
            </w:tcBorders>
            <w:noWrap/>
            <w:vAlign w:val="bottom"/>
            <w:hideMark/>
          </w:tcPr>
          <w:p w14:paraId="6B58787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0.963</w:t>
            </w:r>
          </w:p>
        </w:tc>
        <w:tc>
          <w:tcPr>
            <w:tcW w:w="317" w:type="pct"/>
            <w:tcBorders>
              <w:top w:val="nil"/>
              <w:left w:val="nil"/>
              <w:bottom w:val="nil"/>
              <w:right w:val="nil"/>
            </w:tcBorders>
            <w:noWrap/>
            <w:vAlign w:val="bottom"/>
            <w:hideMark/>
          </w:tcPr>
          <w:p w14:paraId="3C1245C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1.192</w:t>
            </w:r>
          </w:p>
        </w:tc>
        <w:tc>
          <w:tcPr>
            <w:tcW w:w="318" w:type="pct"/>
            <w:tcBorders>
              <w:top w:val="nil"/>
              <w:left w:val="nil"/>
              <w:bottom w:val="nil"/>
              <w:right w:val="nil"/>
            </w:tcBorders>
            <w:noWrap/>
            <w:vAlign w:val="bottom"/>
            <w:hideMark/>
          </w:tcPr>
          <w:p w14:paraId="240C719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1.411</w:t>
            </w:r>
          </w:p>
        </w:tc>
        <w:tc>
          <w:tcPr>
            <w:tcW w:w="313" w:type="pct"/>
            <w:tcBorders>
              <w:top w:val="nil"/>
              <w:left w:val="nil"/>
              <w:bottom w:val="nil"/>
              <w:right w:val="nil"/>
            </w:tcBorders>
            <w:noWrap/>
            <w:vAlign w:val="bottom"/>
            <w:hideMark/>
          </w:tcPr>
          <w:p w14:paraId="0C6D5B9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1.750</w:t>
            </w:r>
          </w:p>
        </w:tc>
      </w:tr>
      <w:tr w:rsidR="004D5D50" w:rsidRPr="002357CC" w14:paraId="0EC2E148" w14:textId="77777777" w:rsidTr="004A2E8B">
        <w:trPr>
          <w:trHeight w:val="271"/>
        </w:trPr>
        <w:tc>
          <w:tcPr>
            <w:tcW w:w="1123" w:type="pct"/>
            <w:tcBorders>
              <w:top w:val="nil"/>
              <w:left w:val="nil"/>
              <w:bottom w:val="nil"/>
              <w:right w:val="nil"/>
            </w:tcBorders>
            <w:noWrap/>
            <w:vAlign w:val="bottom"/>
            <w:hideMark/>
          </w:tcPr>
          <w:p w14:paraId="3702E587"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Wholesale</w:t>
            </w:r>
          </w:p>
        </w:tc>
        <w:tc>
          <w:tcPr>
            <w:tcW w:w="386" w:type="pct"/>
            <w:tcBorders>
              <w:top w:val="nil"/>
              <w:left w:val="nil"/>
              <w:bottom w:val="nil"/>
              <w:right w:val="nil"/>
            </w:tcBorders>
            <w:noWrap/>
            <w:vAlign w:val="bottom"/>
            <w:hideMark/>
          </w:tcPr>
          <w:p w14:paraId="052C360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15,819</w:t>
            </w:r>
          </w:p>
        </w:tc>
        <w:tc>
          <w:tcPr>
            <w:tcW w:w="318" w:type="pct"/>
            <w:tcBorders>
              <w:top w:val="nil"/>
              <w:left w:val="nil"/>
              <w:bottom w:val="nil"/>
              <w:right w:val="nil"/>
            </w:tcBorders>
            <w:noWrap/>
            <w:vAlign w:val="bottom"/>
            <w:hideMark/>
          </w:tcPr>
          <w:p w14:paraId="0C205C3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0.768</w:t>
            </w:r>
          </w:p>
        </w:tc>
        <w:tc>
          <w:tcPr>
            <w:tcW w:w="317" w:type="pct"/>
            <w:tcBorders>
              <w:top w:val="nil"/>
              <w:left w:val="nil"/>
              <w:bottom w:val="nil"/>
              <w:right w:val="nil"/>
            </w:tcBorders>
            <w:noWrap/>
            <w:vAlign w:val="bottom"/>
            <w:hideMark/>
          </w:tcPr>
          <w:p w14:paraId="507D947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0.191</w:t>
            </w:r>
          </w:p>
        </w:tc>
        <w:tc>
          <w:tcPr>
            <w:tcW w:w="318" w:type="pct"/>
            <w:tcBorders>
              <w:top w:val="nil"/>
              <w:left w:val="nil"/>
              <w:bottom w:val="nil"/>
              <w:right w:val="nil"/>
            </w:tcBorders>
            <w:noWrap/>
            <w:vAlign w:val="bottom"/>
            <w:hideMark/>
          </w:tcPr>
          <w:p w14:paraId="7CB6BE0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0.132</w:t>
            </w:r>
          </w:p>
        </w:tc>
        <w:tc>
          <w:tcPr>
            <w:tcW w:w="317" w:type="pct"/>
            <w:tcBorders>
              <w:top w:val="nil"/>
              <w:left w:val="nil"/>
              <w:bottom w:val="nil"/>
              <w:right w:val="nil"/>
            </w:tcBorders>
            <w:noWrap/>
            <w:vAlign w:val="bottom"/>
            <w:hideMark/>
          </w:tcPr>
          <w:p w14:paraId="09A4EFF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0.358</w:t>
            </w:r>
          </w:p>
        </w:tc>
        <w:tc>
          <w:tcPr>
            <w:tcW w:w="318" w:type="pct"/>
            <w:tcBorders>
              <w:top w:val="nil"/>
              <w:left w:val="nil"/>
              <w:bottom w:val="nil"/>
              <w:right w:val="nil"/>
            </w:tcBorders>
            <w:noWrap/>
            <w:vAlign w:val="bottom"/>
            <w:hideMark/>
          </w:tcPr>
          <w:p w14:paraId="1797372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0.472</w:t>
            </w:r>
          </w:p>
        </w:tc>
        <w:tc>
          <w:tcPr>
            <w:tcW w:w="318" w:type="pct"/>
            <w:tcBorders>
              <w:top w:val="nil"/>
              <w:left w:val="nil"/>
              <w:bottom w:val="nil"/>
              <w:right w:val="nil"/>
            </w:tcBorders>
            <w:noWrap/>
            <w:vAlign w:val="bottom"/>
            <w:hideMark/>
          </w:tcPr>
          <w:p w14:paraId="1F2B3A7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0.640</w:t>
            </w:r>
          </w:p>
        </w:tc>
        <w:tc>
          <w:tcPr>
            <w:tcW w:w="319" w:type="pct"/>
            <w:tcBorders>
              <w:top w:val="nil"/>
              <w:left w:val="nil"/>
              <w:bottom w:val="nil"/>
              <w:right w:val="nil"/>
            </w:tcBorders>
            <w:noWrap/>
            <w:vAlign w:val="bottom"/>
            <w:hideMark/>
          </w:tcPr>
          <w:p w14:paraId="586DDD23"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0.757</w:t>
            </w:r>
          </w:p>
        </w:tc>
        <w:tc>
          <w:tcPr>
            <w:tcW w:w="318" w:type="pct"/>
            <w:tcBorders>
              <w:top w:val="nil"/>
              <w:left w:val="nil"/>
              <w:bottom w:val="nil"/>
              <w:right w:val="nil"/>
            </w:tcBorders>
            <w:noWrap/>
            <w:vAlign w:val="bottom"/>
            <w:hideMark/>
          </w:tcPr>
          <w:p w14:paraId="09C96AA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0.880</w:t>
            </w:r>
          </w:p>
        </w:tc>
        <w:tc>
          <w:tcPr>
            <w:tcW w:w="317" w:type="pct"/>
            <w:tcBorders>
              <w:top w:val="nil"/>
              <w:left w:val="nil"/>
              <w:bottom w:val="nil"/>
              <w:right w:val="nil"/>
            </w:tcBorders>
            <w:noWrap/>
            <w:vAlign w:val="bottom"/>
            <w:hideMark/>
          </w:tcPr>
          <w:p w14:paraId="0F0C269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1.096</w:t>
            </w:r>
          </w:p>
        </w:tc>
        <w:tc>
          <w:tcPr>
            <w:tcW w:w="318" w:type="pct"/>
            <w:tcBorders>
              <w:top w:val="nil"/>
              <w:left w:val="nil"/>
              <w:bottom w:val="nil"/>
              <w:right w:val="nil"/>
            </w:tcBorders>
            <w:noWrap/>
            <w:vAlign w:val="bottom"/>
            <w:hideMark/>
          </w:tcPr>
          <w:p w14:paraId="6032082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1.293</w:t>
            </w:r>
          </w:p>
        </w:tc>
        <w:tc>
          <w:tcPr>
            <w:tcW w:w="313" w:type="pct"/>
            <w:tcBorders>
              <w:top w:val="nil"/>
              <w:left w:val="nil"/>
              <w:bottom w:val="nil"/>
              <w:right w:val="nil"/>
            </w:tcBorders>
            <w:noWrap/>
            <w:vAlign w:val="bottom"/>
            <w:hideMark/>
          </w:tcPr>
          <w:p w14:paraId="7A6EFBE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1.686</w:t>
            </w:r>
          </w:p>
        </w:tc>
      </w:tr>
      <w:tr w:rsidR="004D5D50" w:rsidRPr="002357CC" w14:paraId="72FA6E94" w14:textId="77777777" w:rsidTr="004A2E8B">
        <w:trPr>
          <w:trHeight w:val="271"/>
        </w:trPr>
        <w:tc>
          <w:tcPr>
            <w:tcW w:w="1123" w:type="pct"/>
            <w:tcBorders>
              <w:top w:val="nil"/>
              <w:left w:val="nil"/>
              <w:bottom w:val="nil"/>
              <w:right w:val="nil"/>
            </w:tcBorders>
            <w:noWrap/>
            <w:vAlign w:val="bottom"/>
            <w:hideMark/>
          </w:tcPr>
          <w:p w14:paraId="65492D25"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Energy</w:t>
            </w:r>
          </w:p>
        </w:tc>
        <w:tc>
          <w:tcPr>
            <w:tcW w:w="386" w:type="pct"/>
            <w:tcBorders>
              <w:top w:val="nil"/>
              <w:left w:val="nil"/>
              <w:bottom w:val="nil"/>
              <w:right w:val="nil"/>
            </w:tcBorders>
            <w:noWrap/>
            <w:vAlign w:val="bottom"/>
            <w:hideMark/>
          </w:tcPr>
          <w:p w14:paraId="4355C1C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5,514</w:t>
            </w:r>
          </w:p>
        </w:tc>
        <w:tc>
          <w:tcPr>
            <w:tcW w:w="318" w:type="pct"/>
            <w:tcBorders>
              <w:top w:val="nil"/>
              <w:left w:val="nil"/>
              <w:bottom w:val="nil"/>
              <w:right w:val="nil"/>
            </w:tcBorders>
            <w:noWrap/>
            <w:vAlign w:val="bottom"/>
            <w:hideMark/>
          </w:tcPr>
          <w:p w14:paraId="4BF8BBC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0.743</w:t>
            </w:r>
          </w:p>
        </w:tc>
        <w:tc>
          <w:tcPr>
            <w:tcW w:w="317" w:type="pct"/>
            <w:tcBorders>
              <w:top w:val="nil"/>
              <w:left w:val="nil"/>
              <w:bottom w:val="nil"/>
              <w:right w:val="nil"/>
            </w:tcBorders>
            <w:noWrap/>
            <w:vAlign w:val="bottom"/>
            <w:hideMark/>
          </w:tcPr>
          <w:p w14:paraId="20478C4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0.216</w:t>
            </w:r>
          </w:p>
        </w:tc>
        <w:tc>
          <w:tcPr>
            <w:tcW w:w="318" w:type="pct"/>
            <w:tcBorders>
              <w:top w:val="nil"/>
              <w:left w:val="nil"/>
              <w:bottom w:val="nil"/>
              <w:right w:val="nil"/>
            </w:tcBorders>
            <w:noWrap/>
            <w:vAlign w:val="bottom"/>
            <w:hideMark/>
          </w:tcPr>
          <w:p w14:paraId="73DCEC8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0.092</w:t>
            </w:r>
          </w:p>
        </w:tc>
        <w:tc>
          <w:tcPr>
            <w:tcW w:w="317" w:type="pct"/>
            <w:tcBorders>
              <w:top w:val="nil"/>
              <w:left w:val="nil"/>
              <w:bottom w:val="nil"/>
              <w:right w:val="nil"/>
            </w:tcBorders>
            <w:noWrap/>
            <w:vAlign w:val="bottom"/>
            <w:hideMark/>
          </w:tcPr>
          <w:p w14:paraId="7D6B29D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0.279</w:t>
            </w:r>
          </w:p>
        </w:tc>
        <w:tc>
          <w:tcPr>
            <w:tcW w:w="318" w:type="pct"/>
            <w:tcBorders>
              <w:top w:val="nil"/>
              <w:left w:val="nil"/>
              <w:bottom w:val="nil"/>
              <w:right w:val="nil"/>
            </w:tcBorders>
            <w:noWrap/>
            <w:vAlign w:val="bottom"/>
            <w:hideMark/>
          </w:tcPr>
          <w:p w14:paraId="1330466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0.411</w:t>
            </w:r>
          </w:p>
        </w:tc>
        <w:tc>
          <w:tcPr>
            <w:tcW w:w="318" w:type="pct"/>
            <w:tcBorders>
              <w:top w:val="nil"/>
              <w:left w:val="nil"/>
              <w:bottom w:val="nil"/>
              <w:right w:val="nil"/>
            </w:tcBorders>
            <w:noWrap/>
            <w:vAlign w:val="bottom"/>
            <w:hideMark/>
          </w:tcPr>
          <w:p w14:paraId="3E0A245A"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0.607</w:t>
            </w:r>
          </w:p>
        </w:tc>
        <w:tc>
          <w:tcPr>
            <w:tcW w:w="319" w:type="pct"/>
            <w:tcBorders>
              <w:top w:val="nil"/>
              <w:left w:val="nil"/>
              <w:bottom w:val="nil"/>
              <w:right w:val="nil"/>
            </w:tcBorders>
            <w:noWrap/>
            <w:vAlign w:val="bottom"/>
            <w:hideMark/>
          </w:tcPr>
          <w:p w14:paraId="2621745A"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0.727</w:t>
            </w:r>
          </w:p>
        </w:tc>
        <w:tc>
          <w:tcPr>
            <w:tcW w:w="318" w:type="pct"/>
            <w:tcBorders>
              <w:top w:val="nil"/>
              <w:left w:val="nil"/>
              <w:bottom w:val="nil"/>
              <w:right w:val="nil"/>
            </w:tcBorders>
            <w:noWrap/>
            <w:vAlign w:val="bottom"/>
            <w:hideMark/>
          </w:tcPr>
          <w:p w14:paraId="6C796A7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0.867</w:t>
            </w:r>
          </w:p>
        </w:tc>
        <w:tc>
          <w:tcPr>
            <w:tcW w:w="317" w:type="pct"/>
            <w:tcBorders>
              <w:top w:val="nil"/>
              <w:left w:val="nil"/>
              <w:bottom w:val="nil"/>
              <w:right w:val="nil"/>
            </w:tcBorders>
            <w:noWrap/>
            <w:vAlign w:val="bottom"/>
            <w:hideMark/>
          </w:tcPr>
          <w:p w14:paraId="08F7871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1.124</w:t>
            </w:r>
          </w:p>
        </w:tc>
        <w:tc>
          <w:tcPr>
            <w:tcW w:w="318" w:type="pct"/>
            <w:tcBorders>
              <w:top w:val="nil"/>
              <w:left w:val="nil"/>
              <w:bottom w:val="nil"/>
              <w:right w:val="nil"/>
            </w:tcBorders>
            <w:noWrap/>
            <w:vAlign w:val="bottom"/>
            <w:hideMark/>
          </w:tcPr>
          <w:p w14:paraId="1B0762D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1.372</w:t>
            </w:r>
          </w:p>
        </w:tc>
        <w:tc>
          <w:tcPr>
            <w:tcW w:w="313" w:type="pct"/>
            <w:tcBorders>
              <w:top w:val="nil"/>
              <w:left w:val="nil"/>
              <w:bottom w:val="nil"/>
              <w:right w:val="nil"/>
            </w:tcBorders>
            <w:noWrap/>
            <w:vAlign w:val="bottom"/>
            <w:hideMark/>
          </w:tcPr>
          <w:p w14:paraId="05679CE3"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1.672</w:t>
            </w:r>
          </w:p>
        </w:tc>
      </w:tr>
      <w:tr w:rsidR="004D5D50" w:rsidRPr="002357CC" w14:paraId="46D633CE" w14:textId="77777777" w:rsidTr="004A2E8B">
        <w:trPr>
          <w:trHeight w:val="271"/>
        </w:trPr>
        <w:tc>
          <w:tcPr>
            <w:tcW w:w="1123" w:type="pct"/>
            <w:tcBorders>
              <w:top w:val="nil"/>
              <w:left w:val="nil"/>
              <w:bottom w:val="nil"/>
              <w:right w:val="nil"/>
            </w:tcBorders>
            <w:noWrap/>
            <w:vAlign w:val="bottom"/>
            <w:hideMark/>
          </w:tcPr>
          <w:p w14:paraId="0C7113DD" w14:textId="77777777" w:rsidR="004D5D50" w:rsidRPr="0007230B" w:rsidRDefault="004D5D50" w:rsidP="004A2E8B">
            <w:pPr>
              <w:spacing w:after="0" w:line="240" w:lineRule="auto"/>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Consumer Non</w:t>
            </w:r>
            <w:r>
              <w:rPr>
                <w:rFonts w:ascii="Times New Roman" w:hAnsi="Times New Roman" w:cs="Times New Roman"/>
                <w:color w:val="000000"/>
                <w:sz w:val="20"/>
                <w:szCs w:val="20"/>
              </w:rPr>
              <w:t>-</w:t>
            </w:r>
            <w:r w:rsidRPr="0007230B">
              <w:rPr>
                <w:rFonts w:ascii="Times New Roman" w:hAnsi="Times New Roman" w:cs="Times New Roman"/>
                <w:color w:val="000000"/>
                <w:sz w:val="20"/>
                <w:szCs w:val="20"/>
              </w:rPr>
              <w:t>Durables</w:t>
            </w:r>
          </w:p>
        </w:tc>
        <w:tc>
          <w:tcPr>
            <w:tcW w:w="386" w:type="pct"/>
            <w:tcBorders>
              <w:top w:val="nil"/>
              <w:left w:val="nil"/>
              <w:bottom w:val="nil"/>
              <w:right w:val="nil"/>
            </w:tcBorders>
            <w:noWrap/>
            <w:vAlign w:val="bottom"/>
            <w:hideMark/>
          </w:tcPr>
          <w:p w14:paraId="6913AE9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7</w:t>
            </w:r>
            <w:r>
              <w:rPr>
                <w:rFonts w:ascii="Times New Roman" w:hAnsi="Times New Roman" w:cs="Times New Roman"/>
                <w:color w:val="000000"/>
                <w:sz w:val="20"/>
                <w:szCs w:val="20"/>
              </w:rPr>
              <w:t>,</w:t>
            </w:r>
            <w:r w:rsidRPr="0007230B">
              <w:rPr>
                <w:rFonts w:ascii="Times New Roman" w:hAnsi="Times New Roman" w:cs="Times New Roman"/>
                <w:color w:val="000000"/>
                <w:sz w:val="20"/>
                <w:szCs w:val="20"/>
              </w:rPr>
              <w:t>895</w:t>
            </w:r>
          </w:p>
        </w:tc>
        <w:tc>
          <w:tcPr>
            <w:tcW w:w="318" w:type="pct"/>
            <w:tcBorders>
              <w:top w:val="nil"/>
              <w:left w:val="nil"/>
              <w:bottom w:val="nil"/>
              <w:right w:val="nil"/>
            </w:tcBorders>
            <w:noWrap/>
            <w:vAlign w:val="bottom"/>
            <w:hideMark/>
          </w:tcPr>
          <w:p w14:paraId="331CF41A"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0.743</w:t>
            </w:r>
          </w:p>
        </w:tc>
        <w:tc>
          <w:tcPr>
            <w:tcW w:w="317" w:type="pct"/>
            <w:tcBorders>
              <w:top w:val="nil"/>
              <w:left w:val="nil"/>
              <w:bottom w:val="nil"/>
              <w:right w:val="nil"/>
            </w:tcBorders>
            <w:noWrap/>
            <w:vAlign w:val="bottom"/>
            <w:hideMark/>
          </w:tcPr>
          <w:p w14:paraId="78CD53D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0.202</w:t>
            </w:r>
          </w:p>
        </w:tc>
        <w:tc>
          <w:tcPr>
            <w:tcW w:w="318" w:type="pct"/>
            <w:tcBorders>
              <w:top w:val="nil"/>
              <w:left w:val="nil"/>
              <w:bottom w:val="nil"/>
              <w:right w:val="nil"/>
            </w:tcBorders>
            <w:noWrap/>
            <w:vAlign w:val="bottom"/>
            <w:hideMark/>
          </w:tcPr>
          <w:p w14:paraId="781693D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0.149</w:t>
            </w:r>
          </w:p>
        </w:tc>
        <w:tc>
          <w:tcPr>
            <w:tcW w:w="317" w:type="pct"/>
            <w:tcBorders>
              <w:top w:val="nil"/>
              <w:left w:val="nil"/>
              <w:bottom w:val="nil"/>
              <w:right w:val="nil"/>
            </w:tcBorders>
            <w:noWrap/>
            <w:vAlign w:val="bottom"/>
            <w:hideMark/>
          </w:tcPr>
          <w:p w14:paraId="153230B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0.315</w:t>
            </w:r>
          </w:p>
        </w:tc>
        <w:tc>
          <w:tcPr>
            <w:tcW w:w="318" w:type="pct"/>
            <w:tcBorders>
              <w:top w:val="nil"/>
              <w:left w:val="nil"/>
              <w:bottom w:val="nil"/>
              <w:right w:val="nil"/>
            </w:tcBorders>
            <w:noWrap/>
            <w:vAlign w:val="bottom"/>
            <w:hideMark/>
          </w:tcPr>
          <w:p w14:paraId="4183AA5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0.426</w:t>
            </w:r>
          </w:p>
        </w:tc>
        <w:tc>
          <w:tcPr>
            <w:tcW w:w="318" w:type="pct"/>
            <w:tcBorders>
              <w:top w:val="nil"/>
              <w:left w:val="nil"/>
              <w:bottom w:val="nil"/>
              <w:right w:val="nil"/>
            </w:tcBorders>
            <w:noWrap/>
            <w:vAlign w:val="bottom"/>
            <w:hideMark/>
          </w:tcPr>
          <w:p w14:paraId="732A4E2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0.609</w:t>
            </w:r>
          </w:p>
        </w:tc>
        <w:tc>
          <w:tcPr>
            <w:tcW w:w="319" w:type="pct"/>
            <w:tcBorders>
              <w:top w:val="nil"/>
              <w:left w:val="nil"/>
              <w:bottom w:val="nil"/>
              <w:right w:val="nil"/>
            </w:tcBorders>
            <w:noWrap/>
            <w:vAlign w:val="bottom"/>
            <w:hideMark/>
          </w:tcPr>
          <w:p w14:paraId="39050EC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0.730</w:t>
            </w:r>
          </w:p>
        </w:tc>
        <w:tc>
          <w:tcPr>
            <w:tcW w:w="318" w:type="pct"/>
            <w:tcBorders>
              <w:top w:val="nil"/>
              <w:left w:val="nil"/>
              <w:bottom w:val="nil"/>
              <w:right w:val="nil"/>
            </w:tcBorders>
            <w:noWrap/>
            <w:vAlign w:val="bottom"/>
            <w:hideMark/>
          </w:tcPr>
          <w:p w14:paraId="1213BAD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0.864</w:t>
            </w:r>
          </w:p>
        </w:tc>
        <w:tc>
          <w:tcPr>
            <w:tcW w:w="317" w:type="pct"/>
            <w:tcBorders>
              <w:top w:val="nil"/>
              <w:left w:val="nil"/>
              <w:bottom w:val="nil"/>
              <w:right w:val="nil"/>
            </w:tcBorders>
            <w:noWrap/>
            <w:vAlign w:val="bottom"/>
            <w:hideMark/>
          </w:tcPr>
          <w:p w14:paraId="19F36A7A"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1.102</w:t>
            </w:r>
          </w:p>
        </w:tc>
        <w:tc>
          <w:tcPr>
            <w:tcW w:w="318" w:type="pct"/>
            <w:tcBorders>
              <w:top w:val="nil"/>
              <w:left w:val="nil"/>
              <w:bottom w:val="nil"/>
              <w:right w:val="nil"/>
            </w:tcBorders>
            <w:noWrap/>
            <w:vAlign w:val="bottom"/>
            <w:hideMark/>
          </w:tcPr>
          <w:p w14:paraId="2A488FC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1.279</w:t>
            </w:r>
          </w:p>
        </w:tc>
        <w:tc>
          <w:tcPr>
            <w:tcW w:w="313" w:type="pct"/>
            <w:tcBorders>
              <w:top w:val="nil"/>
              <w:left w:val="nil"/>
              <w:bottom w:val="nil"/>
              <w:right w:val="nil"/>
            </w:tcBorders>
            <w:noWrap/>
            <w:vAlign w:val="bottom"/>
            <w:hideMark/>
          </w:tcPr>
          <w:p w14:paraId="3CC0ADB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1.699</w:t>
            </w:r>
          </w:p>
        </w:tc>
      </w:tr>
      <w:tr w:rsidR="004D5D50" w:rsidRPr="002357CC" w14:paraId="18E0517F" w14:textId="77777777" w:rsidTr="004A2E8B">
        <w:trPr>
          <w:trHeight w:val="271"/>
        </w:trPr>
        <w:tc>
          <w:tcPr>
            <w:tcW w:w="1123" w:type="pct"/>
            <w:tcBorders>
              <w:top w:val="nil"/>
              <w:left w:val="nil"/>
              <w:bottom w:val="nil"/>
              <w:right w:val="nil"/>
            </w:tcBorders>
            <w:noWrap/>
            <w:vAlign w:val="bottom"/>
            <w:hideMark/>
          </w:tcPr>
          <w:p w14:paraId="228E4140" w14:textId="77777777" w:rsidR="004D5D50" w:rsidRPr="0007230B" w:rsidRDefault="004D5D50" w:rsidP="004A2E8B">
            <w:pPr>
              <w:spacing w:after="0" w:line="240" w:lineRule="auto"/>
              <w:rPr>
                <w:rFonts w:ascii="Times New Roman" w:eastAsia="Times New Roman" w:hAnsi="Times New Roman" w:cs="Times New Roman"/>
                <w:i/>
                <w:iCs/>
                <w:color w:val="000000"/>
                <w:sz w:val="20"/>
                <w:szCs w:val="20"/>
                <w:lang w:eastAsia="en-CA"/>
              </w:rPr>
            </w:pPr>
            <w:r w:rsidRPr="0007230B">
              <w:rPr>
                <w:rFonts w:ascii="Times New Roman" w:hAnsi="Times New Roman" w:cs="Times New Roman"/>
                <w:color w:val="000000"/>
                <w:sz w:val="20"/>
                <w:szCs w:val="20"/>
              </w:rPr>
              <w:t>Consumer Durables</w:t>
            </w:r>
          </w:p>
        </w:tc>
        <w:tc>
          <w:tcPr>
            <w:tcW w:w="386" w:type="pct"/>
            <w:tcBorders>
              <w:top w:val="nil"/>
              <w:left w:val="nil"/>
              <w:bottom w:val="nil"/>
              <w:right w:val="nil"/>
            </w:tcBorders>
            <w:noWrap/>
            <w:vAlign w:val="bottom"/>
            <w:hideMark/>
          </w:tcPr>
          <w:p w14:paraId="4669FEC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3,462</w:t>
            </w:r>
          </w:p>
        </w:tc>
        <w:tc>
          <w:tcPr>
            <w:tcW w:w="318" w:type="pct"/>
            <w:tcBorders>
              <w:top w:val="nil"/>
              <w:left w:val="nil"/>
              <w:bottom w:val="nil"/>
              <w:right w:val="nil"/>
            </w:tcBorders>
            <w:noWrap/>
            <w:vAlign w:val="bottom"/>
            <w:hideMark/>
          </w:tcPr>
          <w:p w14:paraId="6B60F46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0.669</w:t>
            </w:r>
          </w:p>
        </w:tc>
        <w:tc>
          <w:tcPr>
            <w:tcW w:w="317" w:type="pct"/>
            <w:tcBorders>
              <w:top w:val="nil"/>
              <w:left w:val="nil"/>
              <w:bottom w:val="nil"/>
              <w:right w:val="nil"/>
            </w:tcBorders>
            <w:noWrap/>
            <w:vAlign w:val="bottom"/>
            <w:hideMark/>
          </w:tcPr>
          <w:p w14:paraId="018D363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0.219</w:t>
            </w:r>
          </w:p>
        </w:tc>
        <w:tc>
          <w:tcPr>
            <w:tcW w:w="318" w:type="pct"/>
            <w:tcBorders>
              <w:top w:val="nil"/>
              <w:left w:val="nil"/>
              <w:bottom w:val="nil"/>
              <w:right w:val="nil"/>
            </w:tcBorders>
            <w:noWrap/>
            <w:vAlign w:val="bottom"/>
            <w:hideMark/>
          </w:tcPr>
          <w:p w14:paraId="216690C3"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0.143</w:t>
            </w:r>
          </w:p>
        </w:tc>
        <w:tc>
          <w:tcPr>
            <w:tcW w:w="317" w:type="pct"/>
            <w:tcBorders>
              <w:top w:val="nil"/>
              <w:left w:val="nil"/>
              <w:bottom w:val="nil"/>
              <w:right w:val="nil"/>
            </w:tcBorders>
            <w:noWrap/>
            <w:vAlign w:val="bottom"/>
            <w:hideMark/>
          </w:tcPr>
          <w:p w14:paraId="76CC511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0.263</w:t>
            </w:r>
          </w:p>
        </w:tc>
        <w:tc>
          <w:tcPr>
            <w:tcW w:w="318" w:type="pct"/>
            <w:tcBorders>
              <w:top w:val="nil"/>
              <w:left w:val="nil"/>
              <w:bottom w:val="nil"/>
              <w:right w:val="nil"/>
            </w:tcBorders>
            <w:noWrap/>
            <w:vAlign w:val="bottom"/>
            <w:hideMark/>
          </w:tcPr>
          <w:p w14:paraId="174F08C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0.359</w:t>
            </w:r>
          </w:p>
        </w:tc>
        <w:tc>
          <w:tcPr>
            <w:tcW w:w="318" w:type="pct"/>
            <w:tcBorders>
              <w:top w:val="nil"/>
              <w:left w:val="nil"/>
              <w:bottom w:val="nil"/>
              <w:right w:val="nil"/>
            </w:tcBorders>
            <w:noWrap/>
            <w:vAlign w:val="bottom"/>
            <w:hideMark/>
          </w:tcPr>
          <w:p w14:paraId="4E10857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0.518</w:t>
            </w:r>
          </w:p>
        </w:tc>
        <w:tc>
          <w:tcPr>
            <w:tcW w:w="319" w:type="pct"/>
            <w:tcBorders>
              <w:top w:val="nil"/>
              <w:left w:val="nil"/>
              <w:bottom w:val="nil"/>
              <w:right w:val="nil"/>
            </w:tcBorders>
            <w:noWrap/>
            <w:vAlign w:val="bottom"/>
            <w:hideMark/>
          </w:tcPr>
          <w:p w14:paraId="6ADC475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0.645</w:t>
            </w:r>
          </w:p>
        </w:tc>
        <w:tc>
          <w:tcPr>
            <w:tcW w:w="318" w:type="pct"/>
            <w:tcBorders>
              <w:top w:val="nil"/>
              <w:left w:val="nil"/>
              <w:bottom w:val="nil"/>
              <w:right w:val="nil"/>
            </w:tcBorders>
            <w:noWrap/>
            <w:vAlign w:val="bottom"/>
            <w:hideMark/>
          </w:tcPr>
          <w:p w14:paraId="1FAAE30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0.791</w:t>
            </w:r>
          </w:p>
        </w:tc>
        <w:tc>
          <w:tcPr>
            <w:tcW w:w="317" w:type="pct"/>
            <w:tcBorders>
              <w:top w:val="nil"/>
              <w:left w:val="nil"/>
              <w:bottom w:val="nil"/>
              <w:right w:val="nil"/>
            </w:tcBorders>
            <w:noWrap/>
            <w:vAlign w:val="bottom"/>
            <w:hideMark/>
          </w:tcPr>
          <w:p w14:paraId="79D3489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1.057</w:t>
            </w:r>
          </w:p>
        </w:tc>
        <w:tc>
          <w:tcPr>
            <w:tcW w:w="318" w:type="pct"/>
            <w:tcBorders>
              <w:top w:val="nil"/>
              <w:left w:val="nil"/>
              <w:bottom w:val="nil"/>
              <w:right w:val="nil"/>
            </w:tcBorders>
            <w:noWrap/>
            <w:vAlign w:val="bottom"/>
            <w:hideMark/>
          </w:tcPr>
          <w:p w14:paraId="3994E801"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1.361</w:t>
            </w:r>
          </w:p>
        </w:tc>
        <w:tc>
          <w:tcPr>
            <w:tcW w:w="313" w:type="pct"/>
            <w:tcBorders>
              <w:top w:val="nil"/>
              <w:left w:val="nil"/>
              <w:bottom w:val="nil"/>
              <w:right w:val="nil"/>
            </w:tcBorders>
            <w:noWrap/>
            <w:vAlign w:val="bottom"/>
            <w:hideMark/>
          </w:tcPr>
          <w:p w14:paraId="209540B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1.830</w:t>
            </w:r>
          </w:p>
        </w:tc>
      </w:tr>
      <w:tr w:rsidR="004D5D50" w:rsidRPr="002357CC" w14:paraId="66267A5E" w14:textId="77777777" w:rsidTr="004A2E8B">
        <w:trPr>
          <w:trHeight w:val="271"/>
        </w:trPr>
        <w:tc>
          <w:tcPr>
            <w:tcW w:w="1123" w:type="pct"/>
            <w:tcBorders>
              <w:top w:val="nil"/>
              <w:left w:val="nil"/>
              <w:bottom w:val="nil"/>
              <w:right w:val="nil"/>
            </w:tcBorders>
            <w:noWrap/>
            <w:vAlign w:val="bottom"/>
            <w:hideMark/>
          </w:tcPr>
          <w:p w14:paraId="70A344A2" w14:textId="77777777" w:rsidR="004D5D50" w:rsidRPr="0007230B" w:rsidRDefault="004D5D50" w:rsidP="004A2E8B">
            <w:pPr>
              <w:spacing w:after="0" w:line="240" w:lineRule="auto"/>
              <w:rPr>
                <w:rFonts w:ascii="Times New Roman" w:eastAsia="Times New Roman" w:hAnsi="Times New Roman" w:cs="Times New Roman"/>
                <w:i/>
                <w:iCs/>
                <w:color w:val="000000"/>
                <w:sz w:val="20"/>
                <w:szCs w:val="20"/>
                <w:lang w:eastAsia="en-CA"/>
              </w:rPr>
            </w:pPr>
            <w:r w:rsidRPr="0007230B">
              <w:rPr>
                <w:rFonts w:ascii="Times New Roman" w:hAnsi="Times New Roman" w:cs="Times New Roman"/>
                <w:color w:val="000000"/>
                <w:sz w:val="20"/>
                <w:szCs w:val="20"/>
              </w:rPr>
              <w:t>Manufacturing</w:t>
            </w:r>
          </w:p>
        </w:tc>
        <w:tc>
          <w:tcPr>
            <w:tcW w:w="386" w:type="pct"/>
            <w:tcBorders>
              <w:top w:val="nil"/>
              <w:left w:val="nil"/>
              <w:bottom w:val="nil"/>
              <w:right w:val="nil"/>
            </w:tcBorders>
            <w:noWrap/>
            <w:vAlign w:val="bottom"/>
            <w:hideMark/>
          </w:tcPr>
          <w:p w14:paraId="428CF05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19,478</w:t>
            </w:r>
          </w:p>
        </w:tc>
        <w:tc>
          <w:tcPr>
            <w:tcW w:w="318" w:type="pct"/>
            <w:tcBorders>
              <w:top w:val="nil"/>
              <w:left w:val="nil"/>
              <w:bottom w:val="nil"/>
              <w:right w:val="nil"/>
            </w:tcBorders>
            <w:noWrap/>
            <w:vAlign w:val="bottom"/>
            <w:hideMark/>
          </w:tcPr>
          <w:p w14:paraId="33ED0C41"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0.669</w:t>
            </w:r>
          </w:p>
        </w:tc>
        <w:tc>
          <w:tcPr>
            <w:tcW w:w="317" w:type="pct"/>
            <w:tcBorders>
              <w:top w:val="nil"/>
              <w:left w:val="nil"/>
              <w:bottom w:val="nil"/>
              <w:right w:val="nil"/>
            </w:tcBorders>
            <w:noWrap/>
            <w:vAlign w:val="bottom"/>
            <w:hideMark/>
          </w:tcPr>
          <w:p w14:paraId="27FBDA81"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0.186</w:t>
            </w:r>
          </w:p>
        </w:tc>
        <w:tc>
          <w:tcPr>
            <w:tcW w:w="318" w:type="pct"/>
            <w:tcBorders>
              <w:top w:val="nil"/>
              <w:left w:val="nil"/>
              <w:bottom w:val="nil"/>
              <w:right w:val="nil"/>
            </w:tcBorders>
            <w:noWrap/>
            <w:vAlign w:val="bottom"/>
            <w:hideMark/>
          </w:tcPr>
          <w:p w14:paraId="03FA45E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0.126</w:t>
            </w:r>
          </w:p>
        </w:tc>
        <w:tc>
          <w:tcPr>
            <w:tcW w:w="317" w:type="pct"/>
            <w:tcBorders>
              <w:top w:val="nil"/>
              <w:left w:val="nil"/>
              <w:bottom w:val="nil"/>
              <w:right w:val="nil"/>
            </w:tcBorders>
            <w:noWrap/>
            <w:vAlign w:val="bottom"/>
            <w:hideMark/>
          </w:tcPr>
          <w:p w14:paraId="3357995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0.321</w:t>
            </w:r>
          </w:p>
        </w:tc>
        <w:tc>
          <w:tcPr>
            <w:tcW w:w="318" w:type="pct"/>
            <w:tcBorders>
              <w:top w:val="nil"/>
              <w:left w:val="nil"/>
              <w:bottom w:val="nil"/>
              <w:right w:val="nil"/>
            </w:tcBorders>
            <w:noWrap/>
            <w:vAlign w:val="bottom"/>
            <w:hideMark/>
          </w:tcPr>
          <w:p w14:paraId="42A3495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0.406</w:t>
            </w:r>
          </w:p>
        </w:tc>
        <w:tc>
          <w:tcPr>
            <w:tcW w:w="318" w:type="pct"/>
            <w:tcBorders>
              <w:top w:val="nil"/>
              <w:left w:val="nil"/>
              <w:bottom w:val="nil"/>
              <w:right w:val="nil"/>
            </w:tcBorders>
            <w:noWrap/>
            <w:vAlign w:val="bottom"/>
            <w:hideMark/>
          </w:tcPr>
          <w:p w14:paraId="0D41968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0.540</w:t>
            </w:r>
          </w:p>
        </w:tc>
        <w:tc>
          <w:tcPr>
            <w:tcW w:w="319" w:type="pct"/>
            <w:tcBorders>
              <w:top w:val="nil"/>
              <w:left w:val="nil"/>
              <w:bottom w:val="nil"/>
              <w:right w:val="nil"/>
            </w:tcBorders>
            <w:noWrap/>
            <w:vAlign w:val="bottom"/>
            <w:hideMark/>
          </w:tcPr>
          <w:p w14:paraId="28387F8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0.648</w:t>
            </w:r>
          </w:p>
        </w:tc>
        <w:tc>
          <w:tcPr>
            <w:tcW w:w="318" w:type="pct"/>
            <w:tcBorders>
              <w:top w:val="nil"/>
              <w:left w:val="nil"/>
              <w:bottom w:val="nil"/>
              <w:right w:val="nil"/>
            </w:tcBorders>
            <w:noWrap/>
            <w:vAlign w:val="bottom"/>
            <w:hideMark/>
          </w:tcPr>
          <w:p w14:paraId="1A821B2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0.771</w:t>
            </w:r>
          </w:p>
        </w:tc>
        <w:tc>
          <w:tcPr>
            <w:tcW w:w="317" w:type="pct"/>
            <w:tcBorders>
              <w:top w:val="nil"/>
              <w:left w:val="nil"/>
              <w:bottom w:val="nil"/>
              <w:right w:val="nil"/>
            </w:tcBorders>
            <w:noWrap/>
            <w:vAlign w:val="bottom"/>
            <w:hideMark/>
          </w:tcPr>
          <w:p w14:paraId="0C58028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1.008</w:t>
            </w:r>
          </w:p>
        </w:tc>
        <w:tc>
          <w:tcPr>
            <w:tcW w:w="318" w:type="pct"/>
            <w:tcBorders>
              <w:top w:val="nil"/>
              <w:left w:val="nil"/>
              <w:bottom w:val="nil"/>
              <w:right w:val="nil"/>
            </w:tcBorders>
            <w:noWrap/>
            <w:vAlign w:val="bottom"/>
            <w:hideMark/>
          </w:tcPr>
          <w:p w14:paraId="2765D5B4"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1.230</w:t>
            </w:r>
          </w:p>
        </w:tc>
        <w:tc>
          <w:tcPr>
            <w:tcW w:w="313" w:type="pct"/>
            <w:tcBorders>
              <w:top w:val="nil"/>
              <w:left w:val="nil"/>
              <w:bottom w:val="nil"/>
              <w:right w:val="nil"/>
            </w:tcBorders>
            <w:noWrap/>
            <w:vAlign w:val="bottom"/>
            <w:hideMark/>
          </w:tcPr>
          <w:p w14:paraId="08C41A0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1.606</w:t>
            </w:r>
          </w:p>
        </w:tc>
      </w:tr>
      <w:tr w:rsidR="004D5D50" w:rsidRPr="002357CC" w14:paraId="3764DA60" w14:textId="77777777" w:rsidTr="004A2E8B">
        <w:trPr>
          <w:trHeight w:val="271"/>
        </w:trPr>
        <w:tc>
          <w:tcPr>
            <w:tcW w:w="1123" w:type="pct"/>
            <w:tcBorders>
              <w:top w:val="nil"/>
              <w:left w:val="nil"/>
              <w:bottom w:val="nil"/>
              <w:right w:val="nil"/>
            </w:tcBorders>
            <w:noWrap/>
            <w:vAlign w:val="bottom"/>
            <w:hideMark/>
          </w:tcPr>
          <w:p w14:paraId="6D315877" w14:textId="77777777" w:rsidR="004D5D50" w:rsidRPr="0007230B" w:rsidRDefault="004D5D50" w:rsidP="004A2E8B">
            <w:pPr>
              <w:spacing w:after="0" w:line="240" w:lineRule="auto"/>
              <w:rPr>
                <w:rFonts w:ascii="Times New Roman" w:eastAsia="Times New Roman" w:hAnsi="Times New Roman" w:cs="Times New Roman"/>
                <w:i/>
                <w:iCs/>
                <w:color w:val="000000"/>
                <w:sz w:val="20"/>
                <w:szCs w:val="20"/>
                <w:lang w:eastAsia="en-CA"/>
              </w:rPr>
            </w:pPr>
            <w:r w:rsidRPr="0007230B">
              <w:rPr>
                <w:rFonts w:ascii="Times New Roman" w:hAnsi="Times New Roman" w:cs="Times New Roman"/>
                <w:color w:val="000000"/>
                <w:sz w:val="20"/>
                <w:szCs w:val="20"/>
              </w:rPr>
              <w:t>Chemicals and Allied Products</w:t>
            </w:r>
          </w:p>
        </w:tc>
        <w:tc>
          <w:tcPr>
            <w:tcW w:w="386" w:type="pct"/>
            <w:tcBorders>
              <w:top w:val="nil"/>
              <w:left w:val="nil"/>
              <w:bottom w:val="nil"/>
              <w:right w:val="nil"/>
            </w:tcBorders>
            <w:noWrap/>
            <w:vAlign w:val="bottom"/>
            <w:hideMark/>
          </w:tcPr>
          <w:p w14:paraId="191BB1C9"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2,831</w:t>
            </w:r>
          </w:p>
        </w:tc>
        <w:tc>
          <w:tcPr>
            <w:tcW w:w="318" w:type="pct"/>
            <w:tcBorders>
              <w:top w:val="nil"/>
              <w:left w:val="nil"/>
              <w:bottom w:val="nil"/>
              <w:right w:val="nil"/>
            </w:tcBorders>
            <w:noWrap/>
            <w:vAlign w:val="bottom"/>
            <w:hideMark/>
          </w:tcPr>
          <w:p w14:paraId="56803CD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0.649</w:t>
            </w:r>
          </w:p>
        </w:tc>
        <w:tc>
          <w:tcPr>
            <w:tcW w:w="317" w:type="pct"/>
            <w:tcBorders>
              <w:top w:val="nil"/>
              <w:left w:val="nil"/>
              <w:bottom w:val="nil"/>
              <w:right w:val="nil"/>
            </w:tcBorders>
            <w:noWrap/>
            <w:vAlign w:val="bottom"/>
            <w:hideMark/>
          </w:tcPr>
          <w:p w14:paraId="10ABEA1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0.222</w:t>
            </w:r>
          </w:p>
        </w:tc>
        <w:tc>
          <w:tcPr>
            <w:tcW w:w="318" w:type="pct"/>
            <w:tcBorders>
              <w:top w:val="nil"/>
              <w:left w:val="nil"/>
              <w:bottom w:val="nil"/>
              <w:right w:val="nil"/>
            </w:tcBorders>
            <w:noWrap/>
            <w:vAlign w:val="bottom"/>
            <w:hideMark/>
          </w:tcPr>
          <w:p w14:paraId="2E412FB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0.146</w:t>
            </w:r>
          </w:p>
        </w:tc>
        <w:tc>
          <w:tcPr>
            <w:tcW w:w="317" w:type="pct"/>
            <w:tcBorders>
              <w:top w:val="nil"/>
              <w:left w:val="nil"/>
              <w:bottom w:val="nil"/>
              <w:right w:val="nil"/>
            </w:tcBorders>
            <w:noWrap/>
            <w:vAlign w:val="bottom"/>
            <w:hideMark/>
          </w:tcPr>
          <w:p w14:paraId="15D0E091"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0.238</w:t>
            </w:r>
          </w:p>
        </w:tc>
        <w:tc>
          <w:tcPr>
            <w:tcW w:w="318" w:type="pct"/>
            <w:tcBorders>
              <w:top w:val="nil"/>
              <w:left w:val="nil"/>
              <w:bottom w:val="nil"/>
              <w:right w:val="nil"/>
            </w:tcBorders>
            <w:noWrap/>
            <w:vAlign w:val="bottom"/>
            <w:hideMark/>
          </w:tcPr>
          <w:p w14:paraId="0943E70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0.339</w:t>
            </w:r>
          </w:p>
        </w:tc>
        <w:tc>
          <w:tcPr>
            <w:tcW w:w="318" w:type="pct"/>
            <w:tcBorders>
              <w:top w:val="nil"/>
              <w:left w:val="nil"/>
              <w:bottom w:val="nil"/>
              <w:right w:val="nil"/>
            </w:tcBorders>
            <w:noWrap/>
            <w:vAlign w:val="bottom"/>
            <w:hideMark/>
          </w:tcPr>
          <w:p w14:paraId="0D02D4E8"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0.502</w:t>
            </w:r>
          </w:p>
        </w:tc>
        <w:tc>
          <w:tcPr>
            <w:tcW w:w="319" w:type="pct"/>
            <w:tcBorders>
              <w:top w:val="nil"/>
              <w:left w:val="nil"/>
              <w:bottom w:val="nil"/>
              <w:right w:val="nil"/>
            </w:tcBorders>
            <w:noWrap/>
            <w:vAlign w:val="bottom"/>
            <w:hideMark/>
          </w:tcPr>
          <w:p w14:paraId="40AE8832"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0.622</w:t>
            </w:r>
          </w:p>
        </w:tc>
        <w:tc>
          <w:tcPr>
            <w:tcW w:w="318" w:type="pct"/>
            <w:tcBorders>
              <w:top w:val="nil"/>
              <w:left w:val="nil"/>
              <w:bottom w:val="nil"/>
              <w:right w:val="nil"/>
            </w:tcBorders>
            <w:noWrap/>
            <w:vAlign w:val="bottom"/>
            <w:hideMark/>
          </w:tcPr>
          <w:p w14:paraId="02ABBDA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0.768</w:t>
            </w:r>
          </w:p>
        </w:tc>
        <w:tc>
          <w:tcPr>
            <w:tcW w:w="317" w:type="pct"/>
            <w:tcBorders>
              <w:top w:val="nil"/>
              <w:left w:val="nil"/>
              <w:bottom w:val="nil"/>
              <w:right w:val="nil"/>
            </w:tcBorders>
            <w:noWrap/>
            <w:vAlign w:val="bottom"/>
            <w:hideMark/>
          </w:tcPr>
          <w:p w14:paraId="11989C0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1.015</w:t>
            </w:r>
          </w:p>
        </w:tc>
        <w:tc>
          <w:tcPr>
            <w:tcW w:w="318" w:type="pct"/>
            <w:tcBorders>
              <w:top w:val="nil"/>
              <w:left w:val="nil"/>
              <w:bottom w:val="nil"/>
              <w:right w:val="nil"/>
            </w:tcBorders>
            <w:noWrap/>
            <w:vAlign w:val="bottom"/>
            <w:hideMark/>
          </w:tcPr>
          <w:p w14:paraId="26A7380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1.377</w:t>
            </w:r>
          </w:p>
        </w:tc>
        <w:tc>
          <w:tcPr>
            <w:tcW w:w="313" w:type="pct"/>
            <w:tcBorders>
              <w:top w:val="nil"/>
              <w:left w:val="nil"/>
              <w:bottom w:val="nil"/>
              <w:right w:val="nil"/>
            </w:tcBorders>
            <w:noWrap/>
            <w:vAlign w:val="bottom"/>
            <w:hideMark/>
          </w:tcPr>
          <w:p w14:paraId="781E2455"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1.859</w:t>
            </w:r>
          </w:p>
        </w:tc>
      </w:tr>
      <w:tr w:rsidR="004D5D50" w:rsidRPr="002357CC" w14:paraId="2D10856E" w14:textId="77777777" w:rsidTr="004A2E8B">
        <w:trPr>
          <w:trHeight w:val="271"/>
        </w:trPr>
        <w:tc>
          <w:tcPr>
            <w:tcW w:w="1123" w:type="pct"/>
            <w:tcBorders>
              <w:top w:val="nil"/>
              <w:left w:val="nil"/>
              <w:bottom w:val="single" w:sz="4" w:space="0" w:color="auto"/>
              <w:right w:val="nil"/>
            </w:tcBorders>
            <w:noWrap/>
            <w:vAlign w:val="bottom"/>
            <w:hideMark/>
          </w:tcPr>
          <w:p w14:paraId="331A5457" w14:textId="77777777" w:rsidR="004D5D50" w:rsidRPr="0007230B" w:rsidRDefault="004D5D50" w:rsidP="004A2E8B">
            <w:pPr>
              <w:spacing w:after="0" w:line="240" w:lineRule="auto"/>
              <w:rPr>
                <w:rFonts w:ascii="Times New Roman" w:eastAsia="Times New Roman" w:hAnsi="Times New Roman" w:cs="Times New Roman"/>
                <w:i/>
                <w:iCs/>
                <w:color w:val="000000"/>
                <w:sz w:val="20"/>
                <w:szCs w:val="20"/>
                <w:lang w:eastAsia="en-CA"/>
              </w:rPr>
            </w:pPr>
            <w:r w:rsidRPr="0007230B">
              <w:rPr>
                <w:rFonts w:ascii="Times New Roman" w:hAnsi="Times New Roman" w:cs="Times New Roman"/>
                <w:color w:val="000000"/>
                <w:sz w:val="20"/>
                <w:szCs w:val="20"/>
              </w:rPr>
              <w:t>Utilities</w:t>
            </w:r>
          </w:p>
        </w:tc>
        <w:tc>
          <w:tcPr>
            <w:tcW w:w="386" w:type="pct"/>
            <w:tcBorders>
              <w:top w:val="nil"/>
              <w:left w:val="nil"/>
              <w:bottom w:val="single" w:sz="4" w:space="0" w:color="auto"/>
              <w:right w:val="nil"/>
            </w:tcBorders>
            <w:noWrap/>
            <w:vAlign w:val="bottom"/>
            <w:hideMark/>
          </w:tcPr>
          <w:p w14:paraId="142261AE"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5,818</w:t>
            </w:r>
          </w:p>
        </w:tc>
        <w:tc>
          <w:tcPr>
            <w:tcW w:w="318" w:type="pct"/>
            <w:tcBorders>
              <w:top w:val="nil"/>
              <w:left w:val="nil"/>
              <w:bottom w:val="single" w:sz="4" w:space="0" w:color="auto"/>
              <w:right w:val="nil"/>
            </w:tcBorders>
            <w:noWrap/>
            <w:vAlign w:val="bottom"/>
            <w:hideMark/>
          </w:tcPr>
          <w:p w14:paraId="0609FC0C"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0.309</w:t>
            </w:r>
          </w:p>
        </w:tc>
        <w:tc>
          <w:tcPr>
            <w:tcW w:w="317" w:type="pct"/>
            <w:tcBorders>
              <w:top w:val="nil"/>
              <w:left w:val="nil"/>
              <w:bottom w:val="single" w:sz="4" w:space="0" w:color="auto"/>
              <w:right w:val="nil"/>
            </w:tcBorders>
            <w:noWrap/>
            <w:vAlign w:val="bottom"/>
            <w:hideMark/>
          </w:tcPr>
          <w:p w14:paraId="481715C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0.127</w:t>
            </w:r>
          </w:p>
        </w:tc>
        <w:tc>
          <w:tcPr>
            <w:tcW w:w="318" w:type="pct"/>
            <w:tcBorders>
              <w:top w:val="nil"/>
              <w:left w:val="nil"/>
              <w:bottom w:val="single" w:sz="4" w:space="0" w:color="auto"/>
              <w:right w:val="nil"/>
            </w:tcBorders>
            <w:noWrap/>
            <w:vAlign w:val="bottom"/>
            <w:hideMark/>
          </w:tcPr>
          <w:p w14:paraId="38AC3137"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0.077</w:t>
            </w:r>
          </w:p>
        </w:tc>
        <w:tc>
          <w:tcPr>
            <w:tcW w:w="317" w:type="pct"/>
            <w:tcBorders>
              <w:top w:val="nil"/>
              <w:left w:val="nil"/>
              <w:bottom w:val="single" w:sz="4" w:space="0" w:color="auto"/>
              <w:right w:val="nil"/>
            </w:tcBorders>
            <w:noWrap/>
            <w:vAlign w:val="bottom"/>
            <w:hideMark/>
          </w:tcPr>
          <w:p w14:paraId="40E8D95B"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0.128</w:t>
            </w:r>
          </w:p>
        </w:tc>
        <w:tc>
          <w:tcPr>
            <w:tcW w:w="318" w:type="pct"/>
            <w:tcBorders>
              <w:top w:val="nil"/>
              <w:left w:val="nil"/>
              <w:bottom w:val="single" w:sz="4" w:space="0" w:color="auto"/>
              <w:right w:val="nil"/>
            </w:tcBorders>
            <w:noWrap/>
            <w:vAlign w:val="bottom"/>
            <w:hideMark/>
          </w:tcPr>
          <w:p w14:paraId="3FE751C0"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0.162</w:t>
            </w:r>
          </w:p>
        </w:tc>
        <w:tc>
          <w:tcPr>
            <w:tcW w:w="318" w:type="pct"/>
            <w:tcBorders>
              <w:top w:val="nil"/>
              <w:left w:val="nil"/>
              <w:bottom w:val="single" w:sz="4" w:space="0" w:color="auto"/>
              <w:right w:val="nil"/>
            </w:tcBorders>
            <w:noWrap/>
            <w:vAlign w:val="bottom"/>
            <w:hideMark/>
          </w:tcPr>
          <w:p w14:paraId="2837F67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0.227</w:t>
            </w:r>
          </w:p>
        </w:tc>
        <w:tc>
          <w:tcPr>
            <w:tcW w:w="319" w:type="pct"/>
            <w:tcBorders>
              <w:top w:val="nil"/>
              <w:left w:val="nil"/>
              <w:bottom w:val="single" w:sz="4" w:space="0" w:color="auto"/>
              <w:right w:val="nil"/>
            </w:tcBorders>
            <w:noWrap/>
            <w:vAlign w:val="bottom"/>
            <w:hideMark/>
          </w:tcPr>
          <w:p w14:paraId="05F7D4A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0.284</w:t>
            </w:r>
          </w:p>
        </w:tc>
        <w:tc>
          <w:tcPr>
            <w:tcW w:w="318" w:type="pct"/>
            <w:tcBorders>
              <w:top w:val="nil"/>
              <w:left w:val="nil"/>
              <w:bottom w:val="single" w:sz="4" w:space="0" w:color="auto"/>
              <w:right w:val="nil"/>
            </w:tcBorders>
            <w:noWrap/>
            <w:vAlign w:val="bottom"/>
            <w:hideMark/>
          </w:tcPr>
          <w:p w14:paraId="0FA6E4B1"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0.365</w:t>
            </w:r>
          </w:p>
        </w:tc>
        <w:tc>
          <w:tcPr>
            <w:tcW w:w="317" w:type="pct"/>
            <w:tcBorders>
              <w:top w:val="nil"/>
              <w:left w:val="nil"/>
              <w:bottom w:val="single" w:sz="4" w:space="0" w:color="auto"/>
              <w:right w:val="nil"/>
            </w:tcBorders>
            <w:noWrap/>
            <w:vAlign w:val="bottom"/>
            <w:hideMark/>
          </w:tcPr>
          <w:p w14:paraId="10A006BD"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0.514</w:t>
            </w:r>
          </w:p>
        </w:tc>
        <w:tc>
          <w:tcPr>
            <w:tcW w:w="318" w:type="pct"/>
            <w:tcBorders>
              <w:top w:val="nil"/>
              <w:left w:val="nil"/>
              <w:bottom w:val="single" w:sz="4" w:space="0" w:color="auto"/>
              <w:right w:val="nil"/>
            </w:tcBorders>
            <w:noWrap/>
            <w:vAlign w:val="bottom"/>
            <w:hideMark/>
          </w:tcPr>
          <w:p w14:paraId="662F291F"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0.774</w:t>
            </w:r>
          </w:p>
        </w:tc>
        <w:tc>
          <w:tcPr>
            <w:tcW w:w="313" w:type="pct"/>
            <w:tcBorders>
              <w:top w:val="nil"/>
              <w:left w:val="nil"/>
              <w:bottom w:val="single" w:sz="4" w:space="0" w:color="auto"/>
              <w:right w:val="nil"/>
            </w:tcBorders>
            <w:noWrap/>
            <w:vAlign w:val="bottom"/>
            <w:hideMark/>
          </w:tcPr>
          <w:p w14:paraId="3A496766" w14:textId="77777777" w:rsidR="004D5D50" w:rsidRPr="0007230B" w:rsidRDefault="004D5D50" w:rsidP="004A2E8B">
            <w:pPr>
              <w:spacing w:after="0" w:line="240" w:lineRule="auto"/>
              <w:jc w:val="center"/>
              <w:rPr>
                <w:rFonts w:ascii="Times New Roman" w:eastAsia="Times New Roman" w:hAnsi="Times New Roman" w:cs="Times New Roman"/>
                <w:color w:val="000000"/>
                <w:sz w:val="20"/>
                <w:szCs w:val="20"/>
                <w:lang w:eastAsia="en-CA"/>
              </w:rPr>
            </w:pPr>
            <w:r w:rsidRPr="0007230B">
              <w:rPr>
                <w:rFonts w:ascii="Times New Roman" w:hAnsi="Times New Roman" w:cs="Times New Roman"/>
                <w:color w:val="000000"/>
                <w:sz w:val="20"/>
                <w:szCs w:val="20"/>
              </w:rPr>
              <w:t>1.693</w:t>
            </w:r>
          </w:p>
        </w:tc>
      </w:tr>
    </w:tbl>
    <w:p w14:paraId="6DDB8A79" w14:textId="77777777" w:rsidR="004D5D50" w:rsidRDefault="004D5D50" w:rsidP="004D5D50">
      <w:pPr>
        <w:spacing w:after="0"/>
        <w:rPr>
          <w:rFonts w:ascii="Times New Roman" w:hAnsi="Times New Roman" w:cs="Times New Roman"/>
          <w:b/>
          <w:sz w:val="20"/>
          <w:szCs w:val="20"/>
        </w:rPr>
      </w:pPr>
    </w:p>
    <w:p w14:paraId="6F012E56" w14:textId="77777777" w:rsidR="004D5D50" w:rsidRDefault="004D5D50" w:rsidP="00156408">
      <w:pPr>
        <w:spacing w:after="0" w:line="276" w:lineRule="auto"/>
        <w:rPr>
          <w:rFonts w:ascii="Times New Roman" w:eastAsia="Calibri" w:hAnsi="Times New Roman" w:cs="Times New Roman"/>
          <w:b/>
          <w:bCs/>
          <w:color w:val="000000"/>
          <w:sz w:val="20"/>
          <w:szCs w:val="20"/>
          <w:lang w:val="en-US"/>
        </w:rPr>
        <w:sectPr w:rsidR="004D5D50" w:rsidSect="004D5D50">
          <w:pgSz w:w="15840" w:h="12240" w:orient="landscape"/>
          <w:pgMar w:top="1440" w:right="1440" w:bottom="1440" w:left="1440" w:header="709" w:footer="709" w:gutter="0"/>
          <w:cols w:space="708"/>
          <w:docGrid w:linePitch="360"/>
        </w:sectPr>
      </w:pPr>
    </w:p>
    <w:p w14:paraId="0C77BE73" w14:textId="77777777" w:rsidR="004D5D50" w:rsidRPr="005A60C4" w:rsidRDefault="004D5D50" w:rsidP="004D5D5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w:t>
      </w:r>
      <w:r w:rsidRPr="005A60C4">
        <w:rPr>
          <w:rFonts w:ascii="Times New Roman" w:hAnsi="Times New Roman" w:cs="Times New Roman"/>
          <w:b/>
          <w:sz w:val="20"/>
          <w:szCs w:val="20"/>
        </w:rPr>
        <w:t xml:space="preserve">BLE </w:t>
      </w:r>
      <w:r>
        <w:rPr>
          <w:rFonts w:ascii="Times New Roman" w:hAnsi="Times New Roman" w:cs="Times New Roman"/>
          <w:b/>
          <w:sz w:val="20"/>
          <w:szCs w:val="20"/>
        </w:rPr>
        <w:t>A4</w:t>
      </w:r>
    </w:p>
    <w:p w14:paraId="68D1F1BB" w14:textId="77777777" w:rsidR="004D5D50" w:rsidRDefault="004D5D50" w:rsidP="004D5D50">
      <w:pPr>
        <w:jc w:val="center"/>
        <w:rPr>
          <w:rFonts w:ascii="Times New Roman" w:hAnsi="Times New Roman" w:cs="Times New Roman"/>
          <w:b/>
          <w:bCs/>
          <w:sz w:val="20"/>
          <w:szCs w:val="20"/>
        </w:rPr>
      </w:pPr>
      <w:r>
        <w:rPr>
          <w:rFonts w:ascii="Times New Roman" w:hAnsi="Times New Roman" w:cs="Times New Roman"/>
          <w:b/>
          <w:bCs/>
          <w:sz w:val="20"/>
          <w:szCs w:val="20"/>
        </w:rPr>
        <w:t>Variation in Valuation Uncertainty</w:t>
      </w:r>
    </w:p>
    <w:p w14:paraId="5933765D" w14:textId="77777777" w:rsidR="004D5D50" w:rsidRDefault="004D5D50" w:rsidP="004D5D50">
      <w:pPr>
        <w:spacing w:after="0"/>
        <w:jc w:val="both"/>
        <w:rPr>
          <w:rFonts w:ascii="Times New Roman" w:hAnsi="Times New Roman" w:cs="Times New Roman"/>
          <w:sz w:val="20"/>
          <w:szCs w:val="20"/>
        </w:rPr>
      </w:pPr>
      <w:r w:rsidRPr="007A7B96">
        <w:rPr>
          <w:rFonts w:ascii="Times New Roman" w:hAnsi="Times New Roman" w:cs="Times New Roman"/>
          <w:sz w:val="20"/>
          <w:szCs w:val="20"/>
        </w:rPr>
        <w:t xml:space="preserve">The table </w:t>
      </w:r>
      <w:r>
        <w:rPr>
          <w:rFonts w:ascii="Times New Roman" w:hAnsi="Times New Roman" w:cs="Times New Roman"/>
          <w:sz w:val="20"/>
          <w:szCs w:val="20"/>
        </w:rPr>
        <w:t>reports</w:t>
      </w:r>
      <w:r w:rsidRPr="007A7B96">
        <w:rPr>
          <w:rFonts w:ascii="Times New Roman" w:hAnsi="Times New Roman" w:cs="Times New Roman"/>
          <w:sz w:val="20"/>
          <w:szCs w:val="20"/>
        </w:rPr>
        <w:t xml:space="preserve"> </w:t>
      </w:r>
      <w:r>
        <w:rPr>
          <w:rFonts w:ascii="Times New Roman" w:hAnsi="Times New Roman" w:cs="Times New Roman"/>
          <w:sz w:val="20"/>
          <w:szCs w:val="20"/>
        </w:rPr>
        <w:t xml:space="preserve">R2s from pooled regressions of the valuation uncertainty measure VU on (i) 48 year dummies (column 1), (ii) 44 industry dummies (column 2), (iii) industry and year dummies (column 3), (iv) 13,952 firm dummies (column 4), and (v) firm and year dummies (column 6). Industry dummies are defined based on the Fama-French 48 industry classification. The time period runs from June </w:t>
      </w:r>
      <w:r w:rsidRPr="007A7B96">
        <w:rPr>
          <w:rFonts w:ascii="Times New Roman" w:hAnsi="Times New Roman" w:cs="Times New Roman"/>
          <w:sz w:val="20"/>
          <w:szCs w:val="20"/>
        </w:rPr>
        <w:t>1975–</w:t>
      </w:r>
      <w:r>
        <w:rPr>
          <w:rFonts w:ascii="Times New Roman" w:hAnsi="Times New Roman" w:cs="Times New Roman"/>
          <w:sz w:val="20"/>
          <w:szCs w:val="20"/>
        </w:rPr>
        <w:t xml:space="preserve">June </w:t>
      </w:r>
      <w:r w:rsidRPr="007A7B96">
        <w:rPr>
          <w:rFonts w:ascii="Times New Roman" w:hAnsi="Times New Roman" w:cs="Times New Roman"/>
          <w:sz w:val="20"/>
          <w:szCs w:val="20"/>
        </w:rPr>
        <w:t>20</w:t>
      </w:r>
      <w:r>
        <w:rPr>
          <w:rFonts w:ascii="Times New Roman" w:hAnsi="Times New Roman" w:cs="Times New Roman"/>
          <w:sz w:val="20"/>
          <w:szCs w:val="20"/>
        </w:rPr>
        <w:t>22 and sample consists of 120,183 observations.</w:t>
      </w:r>
    </w:p>
    <w:p w14:paraId="2650A90D" w14:textId="77777777" w:rsidR="004D5D50" w:rsidRDefault="004D5D50" w:rsidP="004D5D50">
      <w:pPr>
        <w:spacing w:after="0"/>
        <w:jc w:val="both"/>
        <w:rPr>
          <w:rFonts w:ascii="Times New Roman" w:eastAsia="Calibri" w:hAnsi="Times New Roman" w:cs="Times New Roman"/>
          <w:b/>
          <w:bCs/>
          <w:color w:val="000000"/>
          <w:sz w:val="20"/>
          <w:szCs w:val="20"/>
          <w:lang w:val="en-US"/>
        </w:rPr>
      </w:pPr>
      <w:r>
        <w:rPr>
          <w:rFonts w:ascii="Times New Roman" w:hAnsi="Times New Roman" w:cs="Times New Roman"/>
          <w:sz w:val="20"/>
          <w:szCs w:val="20"/>
        </w:rPr>
        <w:t xml:space="preserve"> </w:t>
      </w:r>
    </w:p>
    <w:tbl>
      <w:tblPr>
        <w:tblW w:w="9356" w:type="dxa"/>
        <w:tblLayout w:type="fixed"/>
        <w:tblLook w:val="04A0" w:firstRow="1" w:lastRow="0" w:firstColumn="1" w:lastColumn="0" w:noHBand="0" w:noVBand="1"/>
      </w:tblPr>
      <w:tblGrid>
        <w:gridCol w:w="2410"/>
        <w:gridCol w:w="1389"/>
        <w:gridCol w:w="1389"/>
        <w:gridCol w:w="1389"/>
        <w:gridCol w:w="1389"/>
        <w:gridCol w:w="1390"/>
      </w:tblGrid>
      <w:tr w:rsidR="004D5D50" w:rsidRPr="003F0F84" w14:paraId="669A0A3D" w14:textId="77777777" w:rsidTr="004A2E8B">
        <w:trPr>
          <w:trHeight w:val="215"/>
        </w:trPr>
        <w:tc>
          <w:tcPr>
            <w:tcW w:w="2410" w:type="dxa"/>
            <w:tcBorders>
              <w:top w:val="single" w:sz="4" w:space="0" w:color="auto"/>
              <w:left w:val="nil"/>
              <w:bottom w:val="single" w:sz="4" w:space="0" w:color="auto"/>
              <w:right w:val="nil"/>
            </w:tcBorders>
            <w:noWrap/>
            <w:vAlign w:val="bottom"/>
            <w:hideMark/>
          </w:tcPr>
          <w:p w14:paraId="7F721456"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 </w:t>
            </w:r>
          </w:p>
        </w:tc>
        <w:tc>
          <w:tcPr>
            <w:tcW w:w="1389" w:type="dxa"/>
            <w:tcBorders>
              <w:top w:val="single" w:sz="4" w:space="0" w:color="auto"/>
              <w:left w:val="nil"/>
              <w:bottom w:val="single" w:sz="4" w:space="0" w:color="auto"/>
              <w:right w:val="nil"/>
            </w:tcBorders>
            <w:noWrap/>
            <w:vAlign w:val="bottom"/>
            <w:hideMark/>
          </w:tcPr>
          <w:p w14:paraId="5683256C"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F0F84">
              <w:rPr>
                <w:rFonts w:ascii="Times New Roman" w:eastAsia="Times New Roman" w:hAnsi="Times New Roman" w:cs="Times New Roman"/>
                <w:color w:val="000000"/>
                <w:sz w:val="20"/>
                <w:szCs w:val="20"/>
                <w:lang w:eastAsia="en-GB"/>
              </w:rPr>
              <w:t>1</w:t>
            </w:r>
            <w:r>
              <w:rPr>
                <w:rFonts w:ascii="Times New Roman" w:eastAsia="Times New Roman" w:hAnsi="Times New Roman" w:cs="Times New Roman"/>
                <w:color w:val="000000"/>
                <w:sz w:val="20"/>
                <w:szCs w:val="20"/>
                <w:lang w:eastAsia="en-GB"/>
              </w:rPr>
              <w:t>)</w:t>
            </w:r>
          </w:p>
        </w:tc>
        <w:tc>
          <w:tcPr>
            <w:tcW w:w="1389" w:type="dxa"/>
            <w:tcBorders>
              <w:top w:val="single" w:sz="4" w:space="0" w:color="auto"/>
              <w:left w:val="nil"/>
              <w:bottom w:val="single" w:sz="4" w:space="0" w:color="auto"/>
              <w:right w:val="nil"/>
            </w:tcBorders>
            <w:noWrap/>
            <w:vAlign w:val="bottom"/>
            <w:hideMark/>
          </w:tcPr>
          <w:p w14:paraId="003F7595"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F0F84">
              <w:rPr>
                <w:rFonts w:ascii="Times New Roman" w:eastAsia="Times New Roman" w:hAnsi="Times New Roman" w:cs="Times New Roman"/>
                <w:color w:val="000000"/>
                <w:sz w:val="20"/>
                <w:szCs w:val="20"/>
                <w:lang w:eastAsia="en-GB"/>
              </w:rPr>
              <w:t>2</w:t>
            </w:r>
            <w:r>
              <w:rPr>
                <w:rFonts w:ascii="Times New Roman" w:eastAsia="Times New Roman" w:hAnsi="Times New Roman" w:cs="Times New Roman"/>
                <w:color w:val="000000"/>
                <w:sz w:val="20"/>
                <w:szCs w:val="20"/>
                <w:lang w:eastAsia="en-GB"/>
              </w:rPr>
              <w:t>)</w:t>
            </w:r>
          </w:p>
        </w:tc>
        <w:tc>
          <w:tcPr>
            <w:tcW w:w="1389" w:type="dxa"/>
            <w:tcBorders>
              <w:top w:val="single" w:sz="4" w:space="0" w:color="auto"/>
              <w:left w:val="nil"/>
              <w:bottom w:val="single" w:sz="4" w:space="0" w:color="auto"/>
              <w:right w:val="nil"/>
            </w:tcBorders>
            <w:noWrap/>
            <w:vAlign w:val="bottom"/>
            <w:hideMark/>
          </w:tcPr>
          <w:p w14:paraId="1D8E8456"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F0F84">
              <w:rPr>
                <w:rFonts w:ascii="Times New Roman" w:eastAsia="Times New Roman" w:hAnsi="Times New Roman" w:cs="Times New Roman"/>
                <w:color w:val="000000"/>
                <w:sz w:val="20"/>
                <w:szCs w:val="20"/>
                <w:lang w:eastAsia="en-GB"/>
              </w:rPr>
              <w:t>3</w:t>
            </w:r>
            <w:r>
              <w:rPr>
                <w:rFonts w:ascii="Times New Roman" w:eastAsia="Times New Roman" w:hAnsi="Times New Roman" w:cs="Times New Roman"/>
                <w:color w:val="000000"/>
                <w:sz w:val="20"/>
                <w:szCs w:val="20"/>
                <w:lang w:eastAsia="en-GB"/>
              </w:rPr>
              <w:t>)</w:t>
            </w:r>
          </w:p>
        </w:tc>
        <w:tc>
          <w:tcPr>
            <w:tcW w:w="1389" w:type="dxa"/>
            <w:tcBorders>
              <w:top w:val="single" w:sz="4" w:space="0" w:color="auto"/>
              <w:left w:val="nil"/>
              <w:bottom w:val="single" w:sz="4" w:space="0" w:color="auto"/>
              <w:right w:val="nil"/>
            </w:tcBorders>
            <w:noWrap/>
            <w:vAlign w:val="bottom"/>
            <w:hideMark/>
          </w:tcPr>
          <w:p w14:paraId="7F779B5A"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F0F84">
              <w:rPr>
                <w:rFonts w:ascii="Times New Roman" w:eastAsia="Times New Roman" w:hAnsi="Times New Roman" w:cs="Times New Roman"/>
                <w:color w:val="000000"/>
                <w:sz w:val="20"/>
                <w:szCs w:val="20"/>
                <w:lang w:eastAsia="en-GB"/>
              </w:rPr>
              <w:t>4</w:t>
            </w:r>
            <w:r>
              <w:rPr>
                <w:rFonts w:ascii="Times New Roman" w:eastAsia="Times New Roman" w:hAnsi="Times New Roman" w:cs="Times New Roman"/>
                <w:color w:val="000000"/>
                <w:sz w:val="20"/>
                <w:szCs w:val="20"/>
                <w:lang w:eastAsia="en-GB"/>
              </w:rPr>
              <w:t>)</w:t>
            </w:r>
          </w:p>
        </w:tc>
        <w:tc>
          <w:tcPr>
            <w:tcW w:w="1390" w:type="dxa"/>
            <w:tcBorders>
              <w:top w:val="single" w:sz="4" w:space="0" w:color="auto"/>
              <w:left w:val="nil"/>
              <w:bottom w:val="single" w:sz="4" w:space="0" w:color="auto"/>
              <w:right w:val="nil"/>
            </w:tcBorders>
            <w:noWrap/>
            <w:vAlign w:val="bottom"/>
            <w:hideMark/>
          </w:tcPr>
          <w:p w14:paraId="2A8FB831"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F0F84">
              <w:rPr>
                <w:rFonts w:ascii="Times New Roman" w:eastAsia="Times New Roman" w:hAnsi="Times New Roman" w:cs="Times New Roman"/>
                <w:color w:val="000000"/>
                <w:sz w:val="20"/>
                <w:szCs w:val="20"/>
                <w:lang w:eastAsia="en-GB"/>
              </w:rPr>
              <w:t>5</w:t>
            </w:r>
            <w:r>
              <w:rPr>
                <w:rFonts w:ascii="Times New Roman" w:eastAsia="Times New Roman" w:hAnsi="Times New Roman" w:cs="Times New Roman"/>
                <w:color w:val="000000"/>
                <w:sz w:val="20"/>
                <w:szCs w:val="20"/>
                <w:lang w:eastAsia="en-GB"/>
              </w:rPr>
              <w:t>)</w:t>
            </w:r>
          </w:p>
        </w:tc>
      </w:tr>
      <w:tr w:rsidR="004D5D50" w:rsidRPr="003F0F84" w14:paraId="2A534515" w14:textId="77777777" w:rsidTr="004A2E8B">
        <w:trPr>
          <w:trHeight w:val="313"/>
        </w:trPr>
        <w:tc>
          <w:tcPr>
            <w:tcW w:w="2410" w:type="dxa"/>
            <w:tcBorders>
              <w:top w:val="nil"/>
              <w:left w:val="nil"/>
              <w:bottom w:val="nil"/>
              <w:right w:val="nil"/>
            </w:tcBorders>
            <w:noWrap/>
            <w:vAlign w:val="bottom"/>
            <w:hideMark/>
          </w:tcPr>
          <w:p w14:paraId="3E87A937"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 xml:space="preserve">Year dummies </w:t>
            </w:r>
          </w:p>
        </w:tc>
        <w:tc>
          <w:tcPr>
            <w:tcW w:w="1389" w:type="dxa"/>
            <w:tcBorders>
              <w:top w:val="nil"/>
              <w:left w:val="nil"/>
              <w:bottom w:val="nil"/>
              <w:right w:val="nil"/>
            </w:tcBorders>
            <w:noWrap/>
            <w:vAlign w:val="bottom"/>
            <w:hideMark/>
          </w:tcPr>
          <w:p w14:paraId="757381C3"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0.228</w:t>
            </w:r>
          </w:p>
        </w:tc>
        <w:tc>
          <w:tcPr>
            <w:tcW w:w="1389" w:type="dxa"/>
            <w:tcBorders>
              <w:top w:val="nil"/>
              <w:left w:val="nil"/>
              <w:bottom w:val="nil"/>
              <w:right w:val="nil"/>
            </w:tcBorders>
            <w:noWrap/>
            <w:vAlign w:val="bottom"/>
            <w:hideMark/>
          </w:tcPr>
          <w:p w14:paraId="6B460D6C"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p>
        </w:tc>
        <w:tc>
          <w:tcPr>
            <w:tcW w:w="1389" w:type="dxa"/>
            <w:tcBorders>
              <w:top w:val="nil"/>
              <w:left w:val="nil"/>
              <w:bottom w:val="nil"/>
              <w:right w:val="nil"/>
            </w:tcBorders>
            <w:noWrap/>
            <w:vAlign w:val="bottom"/>
            <w:hideMark/>
          </w:tcPr>
          <w:p w14:paraId="797DE48A"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89" w:type="dxa"/>
            <w:tcBorders>
              <w:top w:val="nil"/>
              <w:left w:val="nil"/>
              <w:bottom w:val="nil"/>
              <w:right w:val="nil"/>
            </w:tcBorders>
            <w:noWrap/>
            <w:vAlign w:val="bottom"/>
            <w:hideMark/>
          </w:tcPr>
          <w:p w14:paraId="6DB56928"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90" w:type="dxa"/>
            <w:tcBorders>
              <w:top w:val="nil"/>
              <w:left w:val="nil"/>
              <w:bottom w:val="nil"/>
              <w:right w:val="nil"/>
            </w:tcBorders>
            <w:noWrap/>
            <w:vAlign w:val="bottom"/>
            <w:hideMark/>
          </w:tcPr>
          <w:p w14:paraId="63901A71"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r>
      <w:tr w:rsidR="004D5D50" w:rsidRPr="003F0F84" w14:paraId="58443BA6" w14:textId="77777777" w:rsidTr="004A2E8B">
        <w:trPr>
          <w:trHeight w:val="313"/>
        </w:trPr>
        <w:tc>
          <w:tcPr>
            <w:tcW w:w="2410" w:type="dxa"/>
            <w:tcBorders>
              <w:top w:val="nil"/>
              <w:left w:val="nil"/>
              <w:bottom w:val="nil"/>
              <w:right w:val="nil"/>
            </w:tcBorders>
            <w:noWrap/>
            <w:vAlign w:val="bottom"/>
            <w:hideMark/>
          </w:tcPr>
          <w:p w14:paraId="578DFCE9"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Industry dummies</w:t>
            </w:r>
          </w:p>
        </w:tc>
        <w:tc>
          <w:tcPr>
            <w:tcW w:w="1389" w:type="dxa"/>
            <w:tcBorders>
              <w:top w:val="nil"/>
              <w:left w:val="nil"/>
              <w:bottom w:val="nil"/>
              <w:right w:val="nil"/>
            </w:tcBorders>
            <w:noWrap/>
            <w:vAlign w:val="bottom"/>
            <w:hideMark/>
          </w:tcPr>
          <w:p w14:paraId="7D2C5F04"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p>
        </w:tc>
        <w:tc>
          <w:tcPr>
            <w:tcW w:w="1389" w:type="dxa"/>
            <w:tcBorders>
              <w:top w:val="nil"/>
              <w:left w:val="nil"/>
              <w:bottom w:val="nil"/>
              <w:right w:val="nil"/>
            </w:tcBorders>
            <w:noWrap/>
            <w:vAlign w:val="bottom"/>
            <w:hideMark/>
          </w:tcPr>
          <w:p w14:paraId="2A461DA2"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0.332</w:t>
            </w:r>
          </w:p>
        </w:tc>
        <w:tc>
          <w:tcPr>
            <w:tcW w:w="1389" w:type="dxa"/>
            <w:tcBorders>
              <w:top w:val="nil"/>
              <w:left w:val="nil"/>
              <w:bottom w:val="nil"/>
              <w:right w:val="nil"/>
            </w:tcBorders>
            <w:noWrap/>
            <w:vAlign w:val="bottom"/>
            <w:hideMark/>
          </w:tcPr>
          <w:p w14:paraId="5EEB8905"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p>
        </w:tc>
        <w:tc>
          <w:tcPr>
            <w:tcW w:w="1389" w:type="dxa"/>
            <w:tcBorders>
              <w:top w:val="nil"/>
              <w:left w:val="nil"/>
              <w:bottom w:val="nil"/>
              <w:right w:val="nil"/>
            </w:tcBorders>
            <w:noWrap/>
            <w:vAlign w:val="bottom"/>
            <w:hideMark/>
          </w:tcPr>
          <w:p w14:paraId="0CF4755D"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90" w:type="dxa"/>
            <w:tcBorders>
              <w:top w:val="nil"/>
              <w:left w:val="nil"/>
              <w:bottom w:val="nil"/>
              <w:right w:val="nil"/>
            </w:tcBorders>
            <w:noWrap/>
            <w:vAlign w:val="bottom"/>
            <w:hideMark/>
          </w:tcPr>
          <w:p w14:paraId="19471D85"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r>
      <w:tr w:rsidR="004D5D50" w:rsidRPr="003F0F84" w14:paraId="042B37EE" w14:textId="77777777" w:rsidTr="004A2E8B">
        <w:trPr>
          <w:trHeight w:val="313"/>
        </w:trPr>
        <w:tc>
          <w:tcPr>
            <w:tcW w:w="2410" w:type="dxa"/>
            <w:tcBorders>
              <w:top w:val="nil"/>
              <w:left w:val="nil"/>
              <w:bottom w:val="nil"/>
              <w:right w:val="nil"/>
            </w:tcBorders>
            <w:noWrap/>
            <w:vAlign w:val="bottom"/>
            <w:hideMark/>
          </w:tcPr>
          <w:p w14:paraId="4CB14252"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Industry and year dummies</w:t>
            </w:r>
          </w:p>
        </w:tc>
        <w:tc>
          <w:tcPr>
            <w:tcW w:w="1389" w:type="dxa"/>
            <w:tcBorders>
              <w:top w:val="nil"/>
              <w:left w:val="nil"/>
              <w:bottom w:val="nil"/>
              <w:right w:val="nil"/>
            </w:tcBorders>
            <w:noWrap/>
            <w:vAlign w:val="bottom"/>
            <w:hideMark/>
          </w:tcPr>
          <w:p w14:paraId="474A16A9"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p>
        </w:tc>
        <w:tc>
          <w:tcPr>
            <w:tcW w:w="1389" w:type="dxa"/>
            <w:tcBorders>
              <w:top w:val="nil"/>
              <w:left w:val="nil"/>
              <w:bottom w:val="nil"/>
              <w:right w:val="nil"/>
            </w:tcBorders>
            <w:noWrap/>
            <w:vAlign w:val="bottom"/>
            <w:hideMark/>
          </w:tcPr>
          <w:p w14:paraId="00542731"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89" w:type="dxa"/>
            <w:tcBorders>
              <w:top w:val="nil"/>
              <w:left w:val="nil"/>
              <w:bottom w:val="nil"/>
              <w:right w:val="nil"/>
            </w:tcBorders>
            <w:noWrap/>
            <w:vAlign w:val="bottom"/>
            <w:hideMark/>
          </w:tcPr>
          <w:p w14:paraId="37703574"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0.490</w:t>
            </w:r>
          </w:p>
        </w:tc>
        <w:tc>
          <w:tcPr>
            <w:tcW w:w="1389" w:type="dxa"/>
            <w:tcBorders>
              <w:top w:val="nil"/>
              <w:left w:val="nil"/>
              <w:bottom w:val="nil"/>
              <w:right w:val="nil"/>
            </w:tcBorders>
            <w:noWrap/>
            <w:vAlign w:val="bottom"/>
            <w:hideMark/>
          </w:tcPr>
          <w:p w14:paraId="66BF74E3"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p>
        </w:tc>
        <w:tc>
          <w:tcPr>
            <w:tcW w:w="1390" w:type="dxa"/>
            <w:tcBorders>
              <w:top w:val="nil"/>
              <w:left w:val="nil"/>
              <w:bottom w:val="nil"/>
              <w:right w:val="nil"/>
            </w:tcBorders>
            <w:noWrap/>
            <w:vAlign w:val="bottom"/>
            <w:hideMark/>
          </w:tcPr>
          <w:p w14:paraId="59F41735"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r>
      <w:tr w:rsidR="004D5D50" w:rsidRPr="003F0F84" w14:paraId="2ECE7913" w14:textId="77777777" w:rsidTr="004A2E8B">
        <w:trPr>
          <w:trHeight w:val="313"/>
        </w:trPr>
        <w:tc>
          <w:tcPr>
            <w:tcW w:w="2410" w:type="dxa"/>
            <w:tcBorders>
              <w:top w:val="nil"/>
              <w:left w:val="nil"/>
              <w:right w:val="nil"/>
            </w:tcBorders>
            <w:noWrap/>
            <w:vAlign w:val="bottom"/>
            <w:hideMark/>
          </w:tcPr>
          <w:p w14:paraId="090D599D"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Firm dummies</w:t>
            </w:r>
          </w:p>
        </w:tc>
        <w:tc>
          <w:tcPr>
            <w:tcW w:w="1389" w:type="dxa"/>
            <w:tcBorders>
              <w:top w:val="nil"/>
              <w:left w:val="nil"/>
              <w:right w:val="nil"/>
            </w:tcBorders>
            <w:noWrap/>
            <w:vAlign w:val="bottom"/>
            <w:hideMark/>
          </w:tcPr>
          <w:p w14:paraId="60339FB2"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p>
        </w:tc>
        <w:tc>
          <w:tcPr>
            <w:tcW w:w="1389" w:type="dxa"/>
            <w:tcBorders>
              <w:top w:val="nil"/>
              <w:left w:val="nil"/>
              <w:right w:val="nil"/>
            </w:tcBorders>
            <w:noWrap/>
            <w:vAlign w:val="bottom"/>
            <w:hideMark/>
          </w:tcPr>
          <w:p w14:paraId="37824A54"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89" w:type="dxa"/>
            <w:tcBorders>
              <w:top w:val="nil"/>
              <w:left w:val="nil"/>
              <w:right w:val="nil"/>
            </w:tcBorders>
            <w:noWrap/>
            <w:vAlign w:val="bottom"/>
            <w:hideMark/>
          </w:tcPr>
          <w:p w14:paraId="1C6A4A1D"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89" w:type="dxa"/>
            <w:tcBorders>
              <w:top w:val="nil"/>
              <w:left w:val="nil"/>
              <w:right w:val="nil"/>
            </w:tcBorders>
            <w:noWrap/>
            <w:vAlign w:val="bottom"/>
            <w:hideMark/>
          </w:tcPr>
          <w:p w14:paraId="34AA0CF5"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0.594</w:t>
            </w:r>
          </w:p>
        </w:tc>
        <w:tc>
          <w:tcPr>
            <w:tcW w:w="1390" w:type="dxa"/>
            <w:tcBorders>
              <w:top w:val="nil"/>
              <w:left w:val="nil"/>
              <w:right w:val="nil"/>
            </w:tcBorders>
            <w:noWrap/>
            <w:vAlign w:val="bottom"/>
            <w:hideMark/>
          </w:tcPr>
          <w:p w14:paraId="7ABFE559"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p>
        </w:tc>
      </w:tr>
      <w:tr w:rsidR="004D5D50" w:rsidRPr="003F0F84" w14:paraId="018CB4CC" w14:textId="77777777" w:rsidTr="004A2E8B">
        <w:trPr>
          <w:trHeight w:val="313"/>
        </w:trPr>
        <w:tc>
          <w:tcPr>
            <w:tcW w:w="2410" w:type="dxa"/>
            <w:tcBorders>
              <w:top w:val="nil"/>
              <w:left w:val="nil"/>
              <w:bottom w:val="single" w:sz="4" w:space="0" w:color="auto"/>
              <w:right w:val="nil"/>
            </w:tcBorders>
            <w:noWrap/>
            <w:vAlign w:val="bottom"/>
            <w:hideMark/>
          </w:tcPr>
          <w:p w14:paraId="42079D8D"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Firm and year </w:t>
            </w:r>
            <w:r w:rsidRPr="003F0F84">
              <w:rPr>
                <w:rFonts w:ascii="Times New Roman" w:eastAsia="Times New Roman" w:hAnsi="Times New Roman" w:cs="Times New Roman"/>
                <w:color w:val="000000"/>
                <w:sz w:val="20"/>
                <w:szCs w:val="20"/>
                <w:lang w:eastAsia="en-GB"/>
              </w:rPr>
              <w:t>dummies</w:t>
            </w:r>
          </w:p>
        </w:tc>
        <w:tc>
          <w:tcPr>
            <w:tcW w:w="1389" w:type="dxa"/>
            <w:tcBorders>
              <w:top w:val="nil"/>
              <w:left w:val="nil"/>
              <w:bottom w:val="single" w:sz="4" w:space="0" w:color="auto"/>
              <w:right w:val="nil"/>
            </w:tcBorders>
            <w:noWrap/>
            <w:vAlign w:val="bottom"/>
            <w:hideMark/>
          </w:tcPr>
          <w:p w14:paraId="39340749" w14:textId="77777777" w:rsidR="004D5D50" w:rsidRPr="003F0F84" w:rsidRDefault="004D5D50" w:rsidP="004A2E8B">
            <w:pPr>
              <w:spacing w:after="0" w:line="240" w:lineRule="auto"/>
              <w:rPr>
                <w:rFonts w:ascii="Times New Roman" w:eastAsia="Times New Roman" w:hAnsi="Times New Roman" w:cs="Times New Roman"/>
                <w:color w:val="000000"/>
                <w:sz w:val="20"/>
                <w:szCs w:val="20"/>
                <w:lang w:eastAsia="en-GB"/>
              </w:rPr>
            </w:pPr>
          </w:p>
        </w:tc>
        <w:tc>
          <w:tcPr>
            <w:tcW w:w="1389" w:type="dxa"/>
            <w:tcBorders>
              <w:top w:val="nil"/>
              <w:left w:val="nil"/>
              <w:bottom w:val="single" w:sz="4" w:space="0" w:color="auto"/>
              <w:right w:val="nil"/>
            </w:tcBorders>
            <w:noWrap/>
            <w:vAlign w:val="bottom"/>
            <w:hideMark/>
          </w:tcPr>
          <w:p w14:paraId="1C0845ED"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89" w:type="dxa"/>
            <w:tcBorders>
              <w:top w:val="nil"/>
              <w:left w:val="nil"/>
              <w:bottom w:val="single" w:sz="4" w:space="0" w:color="auto"/>
              <w:right w:val="nil"/>
            </w:tcBorders>
            <w:noWrap/>
            <w:vAlign w:val="bottom"/>
            <w:hideMark/>
          </w:tcPr>
          <w:p w14:paraId="046F56BD"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89" w:type="dxa"/>
            <w:tcBorders>
              <w:top w:val="nil"/>
              <w:left w:val="nil"/>
              <w:bottom w:val="single" w:sz="4" w:space="0" w:color="auto"/>
              <w:right w:val="nil"/>
            </w:tcBorders>
            <w:noWrap/>
            <w:vAlign w:val="bottom"/>
            <w:hideMark/>
          </w:tcPr>
          <w:p w14:paraId="3E5F48A2" w14:textId="77777777" w:rsidR="004D5D50" w:rsidRPr="003F0F84" w:rsidRDefault="004D5D50" w:rsidP="004A2E8B">
            <w:pPr>
              <w:spacing w:after="0" w:line="240" w:lineRule="auto"/>
              <w:jc w:val="center"/>
              <w:rPr>
                <w:rFonts w:ascii="Times New Roman" w:eastAsia="Times New Roman" w:hAnsi="Times New Roman" w:cs="Times New Roman"/>
                <w:sz w:val="20"/>
                <w:szCs w:val="20"/>
                <w:lang w:eastAsia="en-GB"/>
              </w:rPr>
            </w:pPr>
          </w:p>
        </w:tc>
        <w:tc>
          <w:tcPr>
            <w:tcW w:w="1390" w:type="dxa"/>
            <w:tcBorders>
              <w:top w:val="nil"/>
              <w:left w:val="nil"/>
              <w:bottom w:val="single" w:sz="4" w:space="0" w:color="auto"/>
              <w:right w:val="nil"/>
            </w:tcBorders>
            <w:noWrap/>
            <w:vAlign w:val="bottom"/>
            <w:hideMark/>
          </w:tcPr>
          <w:p w14:paraId="68723CA0" w14:textId="77777777" w:rsidR="004D5D50" w:rsidRPr="003F0F84" w:rsidRDefault="004D5D50" w:rsidP="004A2E8B">
            <w:pPr>
              <w:spacing w:after="0" w:line="240" w:lineRule="auto"/>
              <w:jc w:val="center"/>
              <w:rPr>
                <w:rFonts w:ascii="Times New Roman" w:eastAsia="Times New Roman" w:hAnsi="Times New Roman" w:cs="Times New Roman"/>
                <w:color w:val="000000"/>
                <w:sz w:val="20"/>
                <w:szCs w:val="20"/>
                <w:lang w:eastAsia="en-GB"/>
              </w:rPr>
            </w:pPr>
            <w:r w:rsidRPr="003F0F84">
              <w:rPr>
                <w:rFonts w:ascii="Times New Roman" w:eastAsia="Times New Roman" w:hAnsi="Times New Roman" w:cs="Times New Roman"/>
                <w:color w:val="000000"/>
                <w:sz w:val="20"/>
                <w:szCs w:val="20"/>
                <w:lang w:eastAsia="en-GB"/>
              </w:rPr>
              <w:t>0.688</w:t>
            </w:r>
          </w:p>
        </w:tc>
      </w:tr>
    </w:tbl>
    <w:p w14:paraId="0E00B474" w14:textId="77777777" w:rsidR="004D5D50" w:rsidRPr="00322C1D" w:rsidRDefault="004D5D50" w:rsidP="004D5D50">
      <w:pPr>
        <w:spacing w:after="0"/>
        <w:jc w:val="center"/>
        <w:rPr>
          <w:rFonts w:ascii="Times New Roman" w:eastAsia="Calibri" w:hAnsi="Times New Roman" w:cs="Times New Roman"/>
          <w:b/>
          <w:bCs/>
          <w:color w:val="000000"/>
          <w:sz w:val="20"/>
          <w:szCs w:val="20"/>
          <w:lang w:val="en-US"/>
        </w:rPr>
      </w:pPr>
    </w:p>
    <w:p w14:paraId="4C177E6A" w14:textId="77777777" w:rsidR="004D5D50" w:rsidRDefault="004D5D50" w:rsidP="004D5D50">
      <w:pPr>
        <w:rPr>
          <w:rFonts w:ascii="Times New Roman" w:hAnsi="Times New Roman" w:cs="Times New Roman"/>
          <w:b/>
          <w:sz w:val="20"/>
          <w:szCs w:val="20"/>
        </w:rPr>
      </w:pPr>
      <w:r>
        <w:rPr>
          <w:rFonts w:ascii="Times New Roman" w:hAnsi="Times New Roman" w:cs="Times New Roman"/>
          <w:b/>
          <w:sz w:val="20"/>
          <w:szCs w:val="20"/>
        </w:rPr>
        <w:br w:type="page"/>
      </w:r>
    </w:p>
    <w:p w14:paraId="3C59774C" w14:textId="77777777" w:rsidR="004D5D50" w:rsidRPr="005A60C4" w:rsidRDefault="004D5D50" w:rsidP="004D5D5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w:t>
      </w:r>
      <w:r w:rsidRPr="005A60C4">
        <w:rPr>
          <w:rFonts w:ascii="Times New Roman" w:hAnsi="Times New Roman" w:cs="Times New Roman"/>
          <w:b/>
          <w:sz w:val="20"/>
          <w:szCs w:val="20"/>
        </w:rPr>
        <w:t xml:space="preserve">BLE </w:t>
      </w:r>
      <w:r>
        <w:rPr>
          <w:rFonts w:ascii="Times New Roman" w:hAnsi="Times New Roman" w:cs="Times New Roman"/>
          <w:b/>
          <w:sz w:val="20"/>
          <w:szCs w:val="20"/>
        </w:rPr>
        <w:t>A5</w:t>
      </w:r>
    </w:p>
    <w:p w14:paraId="4F42650B" w14:textId="77777777" w:rsidR="004D5D50" w:rsidRDefault="004D5D50" w:rsidP="004D5D50">
      <w:pPr>
        <w:jc w:val="center"/>
        <w:rPr>
          <w:rFonts w:ascii="Times New Roman" w:hAnsi="Times New Roman" w:cs="Times New Roman"/>
          <w:b/>
          <w:bCs/>
          <w:sz w:val="20"/>
          <w:szCs w:val="20"/>
        </w:rPr>
      </w:pPr>
      <w:r>
        <w:rPr>
          <w:rFonts w:ascii="Times New Roman" w:hAnsi="Times New Roman" w:cs="Times New Roman"/>
          <w:b/>
          <w:bCs/>
          <w:sz w:val="20"/>
          <w:szCs w:val="20"/>
        </w:rPr>
        <w:t>Correlations of VU with key variables</w:t>
      </w:r>
    </w:p>
    <w:p w14:paraId="412B26F2" w14:textId="77777777" w:rsidR="004D5D50" w:rsidRDefault="004D5D50" w:rsidP="004D5D50">
      <w:pPr>
        <w:spacing w:after="0"/>
        <w:jc w:val="both"/>
        <w:rPr>
          <w:rFonts w:ascii="Times New Roman" w:hAnsi="Times New Roman" w:cs="Times New Roman"/>
          <w:sz w:val="20"/>
          <w:szCs w:val="20"/>
        </w:rPr>
      </w:pPr>
      <w:r w:rsidRPr="007A7B96">
        <w:rPr>
          <w:rFonts w:ascii="Times New Roman" w:hAnsi="Times New Roman" w:cs="Times New Roman"/>
          <w:sz w:val="20"/>
          <w:szCs w:val="20"/>
        </w:rPr>
        <w:t xml:space="preserve">The table </w:t>
      </w:r>
      <w:r>
        <w:rPr>
          <w:rFonts w:ascii="Times New Roman" w:hAnsi="Times New Roman" w:cs="Times New Roman"/>
          <w:sz w:val="20"/>
          <w:szCs w:val="20"/>
        </w:rPr>
        <w:t>reports</w:t>
      </w:r>
      <w:r w:rsidRPr="007A7B96">
        <w:rPr>
          <w:rFonts w:ascii="Times New Roman" w:hAnsi="Times New Roman" w:cs="Times New Roman"/>
          <w:sz w:val="20"/>
          <w:szCs w:val="20"/>
        </w:rPr>
        <w:t xml:space="preserve"> </w:t>
      </w:r>
      <w:r>
        <w:rPr>
          <w:rFonts w:ascii="Times New Roman" w:hAnsi="Times New Roman" w:cs="Times New Roman"/>
          <w:sz w:val="20"/>
          <w:szCs w:val="20"/>
        </w:rPr>
        <w:t>Pearson (on the left) and Spearman (on the right) correlation coefficients between our valuation uncertainty measure VU, valuation model inputs, and various firm-level characteristics. Detailed variables definitions are provided in the Appendix of the paper.</w:t>
      </w:r>
    </w:p>
    <w:p w14:paraId="2F81E47D" w14:textId="77777777" w:rsidR="004D5D50" w:rsidRDefault="004D5D50" w:rsidP="004D5D50">
      <w:pPr>
        <w:spacing w:after="0"/>
        <w:jc w:val="both"/>
        <w:rPr>
          <w:rFonts w:ascii="Times New Roman" w:hAnsi="Times New Roman" w:cs="Times New Roman"/>
          <w:sz w:val="20"/>
          <w:szCs w:val="20"/>
        </w:rPr>
      </w:pPr>
    </w:p>
    <w:tbl>
      <w:tblPr>
        <w:tblW w:w="0" w:type="auto"/>
        <w:jc w:val="center"/>
        <w:tblLook w:val="04A0" w:firstRow="1" w:lastRow="0" w:firstColumn="1" w:lastColumn="0" w:noHBand="0" w:noVBand="1"/>
      </w:tblPr>
      <w:tblGrid>
        <w:gridCol w:w="4253"/>
        <w:gridCol w:w="283"/>
        <w:gridCol w:w="1985"/>
        <w:gridCol w:w="1276"/>
      </w:tblGrid>
      <w:tr w:rsidR="004D5D50" w:rsidRPr="000A00D9" w14:paraId="1CEED38D" w14:textId="77777777" w:rsidTr="004A2E8B">
        <w:trPr>
          <w:trHeight w:val="294"/>
          <w:jc w:val="center"/>
        </w:trPr>
        <w:tc>
          <w:tcPr>
            <w:tcW w:w="4253" w:type="dxa"/>
            <w:tcBorders>
              <w:top w:val="single" w:sz="4" w:space="0" w:color="auto"/>
              <w:left w:val="nil"/>
              <w:right w:val="nil"/>
            </w:tcBorders>
            <w:noWrap/>
            <w:vAlign w:val="bottom"/>
            <w:hideMark/>
          </w:tcPr>
          <w:p w14:paraId="25274955"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 </w:t>
            </w:r>
          </w:p>
        </w:tc>
        <w:tc>
          <w:tcPr>
            <w:tcW w:w="283" w:type="dxa"/>
            <w:tcBorders>
              <w:top w:val="single" w:sz="4" w:space="0" w:color="auto"/>
              <w:left w:val="nil"/>
              <w:right w:val="nil"/>
            </w:tcBorders>
            <w:vAlign w:val="bottom"/>
          </w:tcPr>
          <w:p w14:paraId="6F350503"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3258" w:type="dxa"/>
            <w:gridSpan w:val="2"/>
            <w:tcBorders>
              <w:top w:val="single" w:sz="4" w:space="0" w:color="auto"/>
              <w:left w:val="nil"/>
              <w:bottom w:val="single" w:sz="4" w:space="0" w:color="auto"/>
              <w:right w:val="nil"/>
            </w:tcBorders>
            <w:noWrap/>
            <w:vAlign w:val="bottom"/>
            <w:hideMark/>
          </w:tcPr>
          <w:p w14:paraId="600E3AB3"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0A00D9">
              <w:rPr>
                <w:rFonts w:ascii="Times New Roman" w:eastAsia="Times New Roman" w:hAnsi="Times New Roman" w:cs="Times New Roman"/>
                <w:color w:val="000000"/>
                <w:sz w:val="20"/>
                <w:szCs w:val="20"/>
                <w:lang w:val="en-US" w:eastAsia="en-GB"/>
              </w:rPr>
              <w:t>VU</w:t>
            </w:r>
          </w:p>
        </w:tc>
      </w:tr>
      <w:tr w:rsidR="004D5D50" w:rsidRPr="005144F1" w14:paraId="21B1D2B5" w14:textId="77777777" w:rsidTr="004A2E8B">
        <w:trPr>
          <w:trHeight w:val="241"/>
          <w:jc w:val="center"/>
        </w:trPr>
        <w:tc>
          <w:tcPr>
            <w:tcW w:w="4253" w:type="dxa"/>
            <w:tcBorders>
              <w:left w:val="nil"/>
              <w:right w:val="nil"/>
            </w:tcBorders>
            <w:noWrap/>
            <w:vAlign w:val="bottom"/>
          </w:tcPr>
          <w:p w14:paraId="113678A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283" w:type="dxa"/>
            <w:tcBorders>
              <w:left w:val="nil"/>
              <w:right w:val="nil"/>
            </w:tcBorders>
            <w:vAlign w:val="bottom"/>
          </w:tcPr>
          <w:p w14:paraId="71BE7900"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single" w:sz="4" w:space="0" w:color="auto"/>
              <w:left w:val="nil"/>
              <w:bottom w:val="single" w:sz="4" w:space="0" w:color="auto"/>
              <w:right w:val="nil"/>
            </w:tcBorders>
            <w:noWrap/>
            <w:vAlign w:val="bottom"/>
          </w:tcPr>
          <w:p w14:paraId="3334DDE7"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0A00D9">
              <w:rPr>
                <w:rFonts w:ascii="Times New Roman" w:eastAsia="Times New Roman" w:hAnsi="Times New Roman" w:cs="Times New Roman"/>
                <w:color w:val="000000"/>
                <w:sz w:val="20"/>
                <w:szCs w:val="20"/>
                <w:lang w:val="en-US" w:eastAsia="en-GB"/>
              </w:rPr>
              <w:t>Pearson</w:t>
            </w:r>
          </w:p>
        </w:tc>
        <w:tc>
          <w:tcPr>
            <w:tcW w:w="1276" w:type="dxa"/>
            <w:tcBorders>
              <w:top w:val="single" w:sz="4" w:space="0" w:color="auto"/>
              <w:left w:val="nil"/>
              <w:bottom w:val="single" w:sz="4" w:space="0" w:color="auto"/>
              <w:right w:val="nil"/>
            </w:tcBorders>
            <w:vAlign w:val="bottom"/>
          </w:tcPr>
          <w:p w14:paraId="0E31A5C9"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0A00D9">
              <w:rPr>
                <w:rFonts w:ascii="Times New Roman" w:eastAsia="Times New Roman" w:hAnsi="Times New Roman" w:cs="Times New Roman"/>
                <w:color w:val="000000"/>
                <w:sz w:val="20"/>
                <w:szCs w:val="20"/>
                <w:lang w:val="en-US" w:eastAsia="en-GB"/>
              </w:rPr>
              <w:t>Spearman</w:t>
            </w:r>
          </w:p>
        </w:tc>
      </w:tr>
      <w:tr w:rsidR="004D5D50" w:rsidRPr="000A00D9" w14:paraId="22E84397" w14:textId="77777777" w:rsidTr="004A2E8B">
        <w:trPr>
          <w:trHeight w:val="318"/>
          <w:jc w:val="center"/>
        </w:trPr>
        <w:tc>
          <w:tcPr>
            <w:tcW w:w="4253" w:type="dxa"/>
            <w:tcBorders>
              <w:left w:val="nil"/>
              <w:bottom w:val="nil"/>
              <w:right w:val="nil"/>
            </w:tcBorders>
            <w:noWrap/>
            <w:vAlign w:val="bottom"/>
            <w:hideMark/>
          </w:tcPr>
          <w:p w14:paraId="3DED368E" w14:textId="77777777" w:rsidR="004D5D50" w:rsidRPr="000A00D9" w:rsidRDefault="004D5D50" w:rsidP="004A2E8B">
            <w:pPr>
              <w:spacing w:after="0" w:line="240" w:lineRule="auto"/>
              <w:rPr>
                <w:rFonts w:ascii="Times New Roman" w:eastAsia="Times New Roman" w:hAnsi="Times New Roman" w:cs="Times New Roman"/>
                <w:i/>
                <w:iCs/>
                <w:color w:val="000000"/>
                <w:sz w:val="20"/>
                <w:szCs w:val="20"/>
                <w:lang w:val="en-US"/>
              </w:rPr>
            </w:pPr>
            <w:r w:rsidRPr="000A00D9">
              <w:rPr>
                <w:rFonts w:ascii="Times New Roman" w:eastAsia="Times New Roman" w:hAnsi="Times New Roman" w:cs="Times New Roman"/>
                <w:i/>
                <w:iCs/>
                <w:color w:val="000000"/>
                <w:sz w:val="20"/>
                <w:szCs w:val="20"/>
                <w:lang w:val="en-US" w:eastAsia="en-GB"/>
              </w:rPr>
              <w:t>b</w:t>
            </w:r>
          </w:p>
        </w:tc>
        <w:tc>
          <w:tcPr>
            <w:tcW w:w="283" w:type="dxa"/>
            <w:tcBorders>
              <w:left w:val="nil"/>
              <w:bottom w:val="nil"/>
              <w:right w:val="nil"/>
            </w:tcBorders>
            <w:vAlign w:val="bottom"/>
          </w:tcPr>
          <w:p w14:paraId="5052C665"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single" w:sz="4" w:space="0" w:color="auto"/>
              <w:left w:val="nil"/>
              <w:bottom w:val="nil"/>
              <w:right w:val="nil"/>
            </w:tcBorders>
            <w:noWrap/>
            <w:vAlign w:val="bottom"/>
            <w:hideMark/>
          </w:tcPr>
          <w:p w14:paraId="1291DE3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-0.346</w:t>
            </w:r>
          </w:p>
        </w:tc>
        <w:tc>
          <w:tcPr>
            <w:tcW w:w="1276" w:type="dxa"/>
            <w:tcBorders>
              <w:top w:val="single" w:sz="4" w:space="0" w:color="auto"/>
              <w:left w:val="nil"/>
              <w:bottom w:val="nil"/>
              <w:right w:val="nil"/>
            </w:tcBorders>
            <w:vAlign w:val="bottom"/>
          </w:tcPr>
          <w:p w14:paraId="0107CA4B"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-0.356</w:t>
            </w:r>
          </w:p>
        </w:tc>
      </w:tr>
      <w:tr w:rsidR="004D5D50" w:rsidRPr="000A00D9" w14:paraId="4EA2E73E" w14:textId="77777777" w:rsidTr="004A2E8B">
        <w:trPr>
          <w:trHeight w:val="318"/>
          <w:jc w:val="center"/>
        </w:trPr>
        <w:tc>
          <w:tcPr>
            <w:tcW w:w="4253" w:type="dxa"/>
            <w:tcBorders>
              <w:top w:val="nil"/>
              <w:left w:val="nil"/>
              <w:bottom w:val="nil"/>
              <w:right w:val="nil"/>
            </w:tcBorders>
            <w:noWrap/>
            <w:vAlign w:val="bottom"/>
            <w:hideMark/>
          </w:tcPr>
          <w:p w14:paraId="4375AF01" w14:textId="77777777" w:rsidR="004D5D50" w:rsidRPr="000A00D9" w:rsidRDefault="004D5D50" w:rsidP="004A2E8B">
            <w:pPr>
              <w:spacing w:after="0" w:line="240" w:lineRule="auto"/>
              <w:rPr>
                <w:rFonts w:ascii="Times New Roman" w:eastAsia="Times New Roman" w:hAnsi="Times New Roman" w:cs="Times New Roman"/>
                <w:i/>
                <w:iCs/>
                <w:color w:val="000000"/>
                <w:sz w:val="20"/>
                <w:szCs w:val="20"/>
                <w:lang w:val="en-US"/>
              </w:rPr>
            </w:pPr>
            <w:r w:rsidRPr="000A00D9">
              <w:rPr>
                <w:rFonts w:ascii="Times New Roman" w:eastAsia="Times New Roman" w:hAnsi="Times New Roman" w:cs="Times New Roman"/>
                <w:i/>
                <w:iCs/>
                <w:color w:val="000000"/>
                <w:sz w:val="20"/>
                <w:szCs w:val="20"/>
              </w:rPr>
              <w:t>|earn|</w:t>
            </w:r>
          </w:p>
        </w:tc>
        <w:tc>
          <w:tcPr>
            <w:tcW w:w="283" w:type="dxa"/>
            <w:tcBorders>
              <w:top w:val="nil"/>
              <w:left w:val="nil"/>
              <w:bottom w:val="nil"/>
              <w:right w:val="nil"/>
            </w:tcBorders>
            <w:vAlign w:val="bottom"/>
          </w:tcPr>
          <w:p w14:paraId="14C792B8"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4754547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-0.306</w:t>
            </w:r>
          </w:p>
        </w:tc>
        <w:tc>
          <w:tcPr>
            <w:tcW w:w="1276" w:type="dxa"/>
            <w:tcBorders>
              <w:top w:val="nil"/>
              <w:left w:val="nil"/>
              <w:bottom w:val="nil"/>
              <w:right w:val="nil"/>
            </w:tcBorders>
            <w:vAlign w:val="bottom"/>
          </w:tcPr>
          <w:p w14:paraId="0938445A"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-0.316</w:t>
            </w:r>
          </w:p>
        </w:tc>
      </w:tr>
      <w:tr w:rsidR="004D5D50" w:rsidRPr="000A00D9" w14:paraId="240238E8" w14:textId="77777777" w:rsidTr="004A2E8B">
        <w:trPr>
          <w:trHeight w:val="318"/>
          <w:jc w:val="center"/>
        </w:trPr>
        <w:tc>
          <w:tcPr>
            <w:tcW w:w="4253" w:type="dxa"/>
            <w:tcBorders>
              <w:top w:val="nil"/>
              <w:left w:val="nil"/>
              <w:bottom w:val="nil"/>
              <w:right w:val="nil"/>
            </w:tcBorders>
            <w:noWrap/>
            <w:vAlign w:val="bottom"/>
            <w:hideMark/>
          </w:tcPr>
          <w:p w14:paraId="5A8E185A" w14:textId="77777777" w:rsidR="004D5D50" w:rsidRPr="000A00D9" w:rsidRDefault="004D5D50" w:rsidP="004A2E8B">
            <w:pPr>
              <w:spacing w:after="0" w:line="240" w:lineRule="auto"/>
              <w:rPr>
                <w:rFonts w:ascii="Times New Roman" w:eastAsia="Times New Roman" w:hAnsi="Times New Roman" w:cs="Times New Roman"/>
                <w:i/>
                <w:iCs/>
                <w:color w:val="000000"/>
                <w:sz w:val="20"/>
                <w:szCs w:val="20"/>
                <w:lang w:val="en-US"/>
              </w:rPr>
            </w:pPr>
            <w:r w:rsidRPr="000A00D9">
              <w:rPr>
                <w:rFonts w:ascii="Times New Roman" w:eastAsia="Times New Roman" w:hAnsi="Times New Roman" w:cs="Times New Roman"/>
                <w:i/>
                <w:iCs/>
                <w:color w:val="000000"/>
                <w:sz w:val="20"/>
                <w:szCs w:val="20"/>
              </w:rPr>
              <w:t>|earn|×I</w:t>
            </w:r>
            <w:r w:rsidRPr="000A00D9">
              <w:rPr>
                <w:rFonts w:ascii="Times New Roman" w:eastAsia="Times New Roman" w:hAnsi="Times New Roman" w:cs="Times New Roman"/>
                <w:i/>
                <w:iCs/>
                <w:color w:val="000000"/>
                <w:sz w:val="20"/>
                <w:szCs w:val="20"/>
                <w:vertAlign w:val="subscript"/>
              </w:rPr>
              <w:t>EARN&lt;0</w:t>
            </w:r>
          </w:p>
        </w:tc>
        <w:tc>
          <w:tcPr>
            <w:tcW w:w="283" w:type="dxa"/>
            <w:tcBorders>
              <w:top w:val="nil"/>
              <w:left w:val="nil"/>
              <w:bottom w:val="nil"/>
              <w:right w:val="nil"/>
            </w:tcBorders>
            <w:vAlign w:val="bottom"/>
          </w:tcPr>
          <w:p w14:paraId="184924F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491AE8C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0.405</w:t>
            </w:r>
          </w:p>
        </w:tc>
        <w:tc>
          <w:tcPr>
            <w:tcW w:w="1276" w:type="dxa"/>
            <w:tcBorders>
              <w:top w:val="nil"/>
              <w:left w:val="nil"/>
              <w:bottom w:val="nil"/>
              <w:right w:val="nil"/>
            </w:tcBorders>
            <w:vAlign w:val="bottom"/>
          </w:tcPr>
          <w:p w14:paraId="2860C8C0"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0.386</w:t>
            </w:r>
          </w:p>
        </w:tc>
      </w:tr>
      <w:tr w:rsidR="004D5D50" w:rsidRPr="000A00D9" w14:paraId="7161E622" w14:textId="77777777" w:rsidTr="004A2E8B">
        <w:trPr>
          <w:trHeight w:val="318"/>
          <w:jc w:val="center"/>
        </w:trPr>
        <w:tc>
          <w:tcPr>
            <w:tcW w:w="4253" w:type="dxa"/>
            <w:tcBorders>
              <w:top w:val="nil"/>
              <w:left w:val="nil"/>
              <w:bottom w:val="nil"/>
              <w:right w:val="nil"/>
            </w:tcBorders>
            <w:noWrap/>
            <w:vAlign w:val="bottom"/>
            <w:hideMark/>
          </w:tcPr>
          <w:p w14:paraId="044DD6E1" w14:textId="77777777" w:rsidR="004D5D50" w:rsidRPr="000A00D9" w:rsidRDefault="004D5D50" w:rsidP="004A2E8B">
            <w:pPr>
              <w:spacing w:after="0" w:line="240" w:lineRule="auto"/>
              <w:rPr>
                <w:rFonts w:ascii="Times New Roman" w:eastAsia="Times New Roman" w:hAnsi="Times New Roman" w:cs="Times New Roman"/>
                <w:i/>
                <w:iCs/>
                <w:color w:val="000000"/>
                <w:sz w:val="20"/>
                <w:szCs w:val="20"/>
                <w:lang w:val="en-US"/>
              </w:rPr>
            </w:pPr>
            <w:r w:rsidRPr="000A00D9">
              <w:rPr>
                <w:rFonts w:ascii="Times New Roman" w:eastAsia="Times New Roman" w:hAnsi="Times New Roman" w:cs="Times New Roman"/>
                <w:i/>
                <w:iCs/>
                <w:color w:val="000000"/>
                <w:sz w:val="20"/>
                <w:szCs w:val="20"/>
                <w:lang w:val="en-US" w:eastAsia="en-GB"/>
              </w:rPr>
              <w:t>LEV</w:t>
            </w:r>
          </w:p>
        </w:tc>
        <w:tc>
          <w:tcPr>
            <w:tcW w:w="283" w:type="dxa"/>
            <w:tcBorders>
              <w:top w:val="nil"/>
              <w:left w:val="nil"/>
              <w:bottom w:val="nil"/>
              <w:right w:val="nil"/>
            </w:tcBorders>
            <w:vAlign w:val="bottom"/>
          </w:tcPr>
          <w:p w14:paraId="39392ADD"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612E31CE"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-0.129</w:t>
            </w:r>
          </w:p>
        </w:tc>
        <w:tc>
          <w:tcPr>
            <w:tcW w:w="1276" w:type="dxa"/>
            <w:tcBorders>
              <w:top w:val="nil"/>
              <w:left w:val="nil"/>
              <w:bottom w:val="nil"/>
              <w:right w:val="nil"/>
            </w:tcBorders>
            <w:vAlign w:val="bottom"/>
          </w:tcPr>
          <w:p w14:paraId="44399DA7"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-0.165</w:t>
            </w:r>
          </w:p>
        </w:tc>
      </w:tr>
      <w:tr w:rsidR="004D5D50" w:rsidRPr="000A00D9" w14:paraId="3E2B27C5" w14:textId="77777777" w:rsidTr="004A2E8B">
        <w:trPr>
          <w:trHeight w:val="318"/>
          <w:jc w:val="center"/>
        </w:trPr>
        <w:tc>
          <w:tcPr>
            <w:tcW w:w="4253" w:type="dxa"/>
            <w:tcBorders>
              <w:top w:val="nil"/>
              <w:left w:val="nil"/>
              <w:bottom w:val="nil"/>
              <w:right w:val="nil"/>
            </w:tcBorders>
            <w:noWrap/>
            <w:vAlign w:val="bottom"/>
            <w:hideMark/>
          </w:tcPr>
          <w:p w14:paraId="53C697B8" w14:textId="77777777" w:rsidR="004D5D50" w:rsidRPr="000A00D9" w:rsidRDefault="004D5D50" w:rsidP="004A2E8B">
            <w:pPr>
              <w:spacing w:after="0" w:line="240" w:lineRule="auto"/>
              <w:rPr>
                <w:rFonts w:ascii="Times New Roman" w:eastAsia="Times New Roman" w:hAnsi="Times New Roman" w:cs="Times New Roman"/>
                <w:i/>
                <w:iCs/>
                <w:color w:val="000000"/>
                <w:sz w:val="20"/>
                <w:szCs w:val="20"/>
                <w:lang w:val="en-US"/>
              </w:rPr>
            </w:pPr>
            <w:proofErr w:type="spellStart"/>
            <w:r w:rsidRPr="000A00D9">
              <w:rPr>
                <w:rFonts w:ascii="Times New Roman" w:eastAsia="Times New Roman" w:hAnsi="Times New Roman" w:cs="Times New Roman"/>
                <w:i/>
                <w:iCs/>
                <w:color w:val="000000"/>
                <w:sz w:val="20"/>
                <w:szCs w:val="20"/>
              </w:rPr>
              <w:t>rd</w:t>
            </w:r>
            <w:proofErr w:type="spellEnd"/>
          </w:p>
        </w:tc>
        <w:tc>
          <w:tcPr>
            <w:tcW w:w="283" w:type="dxa"/>
            <w:tcBorders>
              <w:top w:val="nil"/>
              <w:left w:val="nil"/>
              <w:bottom w:val="nil"/>
              <w:right w:val="nil"/>
            </w:tcBorders>
            <w:vAlign w:val="bottom"/>
          </w:tcPr>
          <w:p w14:paraId="04B740F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054321E4"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0.096</w:t>
            </w:r>
          </w:p>
        </w:tc>
        <w:tc>
          <w:tcPr>
            <w:tcW w:w="1276" w:type="dxa"/>
            <w:tcBorders>
              <w:top w:val="nil"/>
              <w:left w:val="nil"/>
              <w:bottom w:val="nil"/>
              <w:right w:val="nil"/>
            </w:tcBorders>
            <w:vAlign w:val="bottom"/>
          </w:tcPr>
          <w:p w14:paraId="7B77CE1D"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0.127</w:t>
            </w:r>
          </w:p>
        </w:tc>
      </w:tr>
      <w:tr w:rsidR="004D5D50" w:rsidRPr="000A00D9" w14:paraId="233A666B" w14:textId="77777777" w:rsidTr="004A2E8B">
        <w:trPr>
          <w:trHeight w:val="318"/>
          <w:jc w:val="center"/>
        </w:trPr>
        <w:tc>
          <w:tcPr>
            <w:tcW w:w="4253" w:type="dxa"/>
            <w:tcBorders>
              <w:top w:val="nil"/>
              <w:left w:val="nil"/>
              <w:bottom w:val="nil"/>
              <w:right w:val="nil"/>
            </w:tcBorders>
            <w:noWrap/>
            <w:vAlign w:val="bottom"/>
            <w:hideMark/>
          </w:tcPr>
          <w:p w14:paraId="18A18683"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IQR</w:t>
            </w:r>
            <w:r w:rsidRPr="000A00D9">
              <w:rPr>
                <w:rFonts w:ascii="Times New Roman" w:eastAsia="Times New Roman" w:hAnsi="Times New Roman" w:cs="Times New Roman"/>
                <w:color w:val="000000"/>
                <w:sz w:val="20"/>
                <w:szCs w:val="20"/>
                <w:vertAlign w:val="superscript"/>
                <w:lang w:val="en-US" w:eastAsia="en-GB"/>
              </w:rPr>
              <w:t>EV/EBITDA</w:t>
            </w:r>
          </w:p>
        </w:tc>
        <w:tc>
          <w:tcPr>
            <w:tcW w:w="283" w:type="dxa"/>
            <w:tcBorders>
              <w:top w:val="nil"/>
              <w:left w:val="nil"/>
              <w:bottom w:val="nil"/>
              <w:right w:val="nil"/>
            </w:tcBorders>
            <w:vAlign w:val="bottom"/>
          </w:tcPr>
          <w:p w14:paraId="07B2102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55237E37"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0.504</w:t>
            </w:r>
          </w:p>
        </w:tc>
        <w:tc>
          <w:tcPr>
            <w:tcW w:w="1276" w:type="dxa"/>
            <w:tcBorders>
              <w:top w:val="nil"/>
              <w:left w:val="nil"/>
              <w:bottom w:val="nil"/>
              <w:right w:val="nil"/>
            </w:tcBorders>
            <w:vAlign w:val="bottom"/>
          </w:tcPr>
          <w:p w14:paraId="4DADE51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0.566</w:t>
            </w:r>
          </w:p>
        </w:tc>
      </w:tr>
      <w:tr w:rsidR="004D5D50" w:rsidRPr="000A00D9" w14:paraId="3EFF20BC" w14:textId="77777777" w:rsidTr="004A2E8B">
        <w:trPr>
          <w:trHeight w:val="318"/>
          <w:jc w:val="center"/>
        </w:trPr>
        <w:tc>
          <w:tcPr>
            <w:tcW w:w="4253" w:type="dxa"/>
            <w:tcBorders>
              <w:top w:val="nil"/>
              <w:left w:val="nil"/>
              <w:bottom w:val="nil"/>
              <w:right w:val="nil"/>
            </w:tcBorders>
            <w:noWrap/>
            <w:vAlign w:val="bottom"/>
            <w:hideMark/>
          </w:tcPr>
          <w:p w14:paraId="1277E027"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rPr>
              <w:t>σ</w:t>
            </w:r>
            <w:r w:rsidRPr="000A00D9">
              <w:rPr>
                <w:rFonts w:ascii="Times New Roman" w:eastAsia="Times New Roman" w:hAnsi="Times New Roman" w:cs="Times New Roman"/>
                <w:color w:val="000000"/>
                <w:sz w:val="20"/>
                <w:szCs w:val="20"/>
                <w:vertAlign w:val="superscript"/>
              </w:rPr>
              <w:t xml:space="preserve"> </w:t>
            </w:r>
            <w:r w:rsidRPr="000A00D9">
              <w:rPr>
                <w:rFonts w:ascii="Times New Roman" w:eastAsia="Times New Roman" w:hAnsi="Times New Roman" w:cs="Times New Roman"/>
                <w:color w:val="000000"/>
                <w:sz w:val="20"/>
                <w:szCs w:val="20"/>
              </w:rPr>
              <w:t>(ROA)</w:t>
            </w:r>
            <w:r w:rsidRPr="000A00D9">
              <w:rPr>
                <w:rFonts w:ascii="Times New Roman" w:eastAsia="Times New Roman" w:hAnsi="Times New Roman" w:cs="Times New Roman"/>
                <w:color w:val="000000"/>
                <w:sz w:val="20"/>
                <w:szCs w:val="20"/>
                <w:vertAlign w:val="superscript"/>
              </w:rPr>
              <w:t>PRE</w:t>
            </w:r>
          </w:p>
        </w:tc>
        <w:tc>
          <w:tcPr>
            <w:tcW w:w="283" w:type="dxa"/>
            <w:tcBorders>
              <w:top w:val="nil"/>
              <w:left w:val="nil"/>
              <w:bottom w:val="nil"/>
              <w:right w:val="nil"/>
            </w:tcBorders>
            <w:vAlign w:val="bottom"/>
          </w:tcPr>
          <w:p w14:paraId="1BDF045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55B77FE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0.387</w:t>
            </w:r>
          </w:p>
        </w:tc>
        <w:tc>
          <w:tcPr>
            <w:tcW w:w="1276" w:type="dxa"/>
            <w:tcBorders>
              <w:top w:val="nil"/>
              <w:left w:val="nil"/>
              <w:bottom w:val="nil"/>
              <w:right w:val="nil"/>
            </w:tcBorders>
            <w:vAlign w:val="bottom"/>
          </w:tcPr>
          <w:p w14:paraId="7BB3E257"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0.477</w:t>
            </w:r>
          </w:p>
        </w:tc>
      </w:tr>
      <w:tr w:rsidR="004D5D50" w:rsidRPr="000A00D9" w14:paraId="686F1737" w14:textId="77777777" w:rsidTr="004A2E8B">
        <w:trPr>
          <w:trHeight w:val="318"/>
          <w:jc w:val="center"/>
        </w:trPr>
        <w:tc>
          <w:tcPr>
            <w:tcW w:w="4253" w:type="dxa"/>
            <w:tcBorders>
              <w:top w:val="nil"/>
              <w:left w:val="nil"/>
              <w:bottom w:val="nil"/>
              <w:right w:val="nil"/>
            </w:tcBorders>
            <w:noWrap/>
            <w:vAlign w:val="bottom"/>
            <w:hideMark/>
          </w:tcPr>
          <w:p w14:paraId="5C97B352"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β [AR(1)]</w:t>
            </w:r>
          </w:p>
        </w:tc>
        <w:tc>
          <w:tcPr>
            <w:tcW w:w="283" w:type="dxa"/>
            <w:tcBorders>
              <w:top w:val="nil"/>
              <w:left w:val="nil"/>
              <w:bottom w:val="nil"/>
              <w:right w:val="nil"/>
            </w:tcBorders>
            <w:vAlign w:val="bottom"/>
          </w:tcPr>
          <w:p w14:paraId="42C747A0"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7213A21C"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-0.079</w:t>
            </w:r>
          </w:p>
        </w:tc>
        <w:tc>
          <w:tcPr>
            <w:tcW w:w="1276" w:type="dxa"/>
            <w:tcBorders>
              <w:top w:val="nil"/>
              <w:left w:val="nil"/>
              <w:bottom w:val="nil"/>
              <w:right w:val="nil"/>
            </w:tcBorders>
            <w:vAlign w:val="bottom"/>
          </w:tcPr>
          <w:p w14:paraId="763EF5F8"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-0.093</w:t>
            </w:r>
          </w:p>
        </w:tc>
      </w:tr>
      <w:tr w:rsidR="004D5D50" w:rsidRPr="000A00D9" w14:paraId="254DA6CF" w14:textId="77777777" w:rsidTr="004A2E8B">
        <w:trPr>
          <w:trHeight w:val="318"/>
          <w:jc w:val="center"/>
        </w:trPr>
        <w:tc>
          <w:tcPr>
            <w:tcW w:w="4253" w:type="dxa"/>
            <w:tcBorders>
              <w:top w:val="nil"/>
              <w:left w:val="nil"/>
              <w:bottom w:val="nil"/>
              <w:right w:val="nil"/>
            </w:tcBorders>
            <w:noWrap/>
            <w:vAlign w:val="bottom"/>
            <w:hideMark/>
          </w:tcPr>
          <w:p w14:paraId="08DA7705"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R2 [AR(1)]</w:t>
            </w:r>
          </w:p>
        </w:tc>
        <w:tc>
          <w:tcPr>
            <w:tcW w:w="283" w:type="dxa"/>
            <w:tcBorders>
              <w:top w:val="nil"/>
              <w:left w:val="nil"/>
              <w:bottom w:val="nil"/>
              <w:right w:val="nil"/>
            </w:tcBorders>
            <w:vAlign w:val="bottom"/>
          </w:tcPr>
          <w:p w14:paraId="4014ACB8"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7432E7A2"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-0.068</w:t>
            </w:r>
          </w:p>
        </w:tc>
        <w:tc>
          <w:tcPr>
            <w:tcW w:w="1276" w:type="dxa"/>
            <w:tcBorders>
              <w:top w:val="nil"/>
              <w:left w:val="nil"/>
              <w:bottom w:val="nil"/>
              <w:right w:val="nil"/>
            </w:tcBorders>
            <w:vAlign w:val="bottom"/>
          </w:tcPr>
          <w:p w14:paraId="5FED150E"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-0.076</w:t>
            </w:r>
          </w:p>
        </w:tc>
      </w:tr>
      <w:tr w:rsidR="004D5D50" w:rsidRPr="000A00D9" w14:paraId="5B8FCFE9" w14:textId="77777777" w:rsidTr="004A2E8B">
        <w:trPr>
          <w:trHeight w:val="318"/>
          <w:jc w:val="center"/>
        </w:trPr>
        <w:tc>
          <w:tcPr>
            <w:tcW w:w="4253" w:type="dxa"/>
            <w:tcBorders>
              <w:top w:val="nil"/>
              <w:left w:val="nil"/>
              <w:bottom w:val="nil"/>
              <w:right w:val="nil"/>
            </w:tcBorders>
            <w:noWrap/>
            <w:vAlign w:val="bottom"/>
            <w:hideMark/>
          </w:tcPr>
          <w:p w14:paraId="2F051C2E"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|ACC|</w:t>
            </w:r>
          </w:p>
        </w:tc>
        <w:tc>
          <w:tcPr>
            <w:tcW w:w="283" w:type="dxa"/>
            <w:tcBorders>
              <w:top w:val="nil"/>
              <w:left w:val="nil"/>
              <w:bottom w:val="nil"/>
              <w:right w:val="nil"/>
            </w:tcBorders>
            <w:vAlign w:val="bottom"/>
          </w:tcPr>
          <w:p w14:paraId="7216E76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73B83A53"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0.162</w:t>
            </w:r>
          </w:p>
        </w:tc>
        <w:tc>
          <w:tcPr>
            <w:tcW w:w="1276" w:type="dxa"/>
            <w:tcBorders>
              <w:top w:val="nil"/>
              <w:left w:val="nil"/>
              <w:bottom w:val="nil"/>
              <w:right w:val="nil"/>
            </w:tcBorders>
            <w:vAlign w:val="bottom"/>
          </w:tcPr>
          <w:p w14:paraId="7DA26F2B"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0.138</w:t>
            </w:r>
          </w:p>
        </w:tc>
      </w:tr>
      <w:tr w:rsidR="004D5D50" w:rsidRPr="000A00D9" w14:paraId="7229A5DD" w14:textId="77777777" w:rsidTr="004A2E8B">
        <w:trPr>
          <w:trHeight w:val="318"/>
          <w:jc w:val="center"/>
        </w:trPr>
        <w:tc>
          <w:tcPr>
            <w:tcW w:w="4253" w:type="dxa"/>
            <w:tcBorders>
              <w:top w:val="nil"/>
              <w:left w:val="nil"/>
              <w:bottom w:val="nil"/>
              <w:right w:val="nil"/>
            </w:tcBorders>
            <w:noWrap/>
            <w:vAlign w:val="bottom"/>
            <w:hideMark/>
          </w:tcPr>
          <w:p w14:paraId="37281142"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proofErr w:type="spellStart"/>
            <w:r w:rsidRPr="000A00D9">
              <w:rPr>
                <w:rFonts w:ascii="Times New Roman" w:eastAsia="Times New Roman" w:hAnsi="Times New Roman" w:cs="Times New Roman"/>
                <w:color w:val="000000"/>
                <w:sz w:val="20"/>
                <w:szCs w:val="20"/>
                <w:lang w:val="en-US" w:eastAsia="en-GB"/>
              </w:rPr>
              <w:t>EarnQual</w:t>
            </w:r>
            <w:proofErr w:type="spellEnd"/>
          </w:p>
        </w:tc>
        <w:tc>
          <w:tcPr>
            <w:tcW w:w="283" w:type="dxa"/>
            <w:tcBorders>
              <w:top w:val="nil"/>
              <w:left w:val="nil"/>
              <w:bottom w:val="nil"/>
              <w:right w:val="nil"/>
            </w:tcBorders>
            <w:vAlign w:val="bottom"/>
          </w:tcPr>
          <w:p w14:paraId="172AF53C"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660EB39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0.346</w:t>
            </w:r>
          </w:p>
        </w:tc>
        <w:tc>
          <w:tcPr>
            <w:tcW w:w="1276" w:type="dxa"/>
            <w:tcBorders>
              <w:top w:val="nil"/>
              <w:left w:val="nil"/>
              <w:bottom w:val="nil"/>
              <w:right w:val="nil"/>
            </w:tcBorders>
            <w:vAlign w:val="bottom"/>
          </w:tcPr>
          <w:p w14:paraId="5D0DB6C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0.369</w:t>
            </w:r>
          </w:p>
        </w:tc>
      </w:tr>
      <w:tr w:rsidR="004D5D50" w:rsidRPr="000A00D9" w14:paraId="68DB302B" w14:textId="77777777" w:rsidTr="004A2E8B">
        <w:trPr>
          <w:trHeight w:val="318"/>
          <w:jc w:val="center"/>
        </w:trPr>
        <w:tc>
          <w:tcPr>
            <w:tcW w:w="4253" w:type="dxa"/>
            <w:tcBorders>
              <w:top w:val="nil"/>
              <w:left w:val="nil"/>
              <w:bottom w:val="nil"/>
              <w:right w:val="nil"/>
            </w:tcBorders>
            <w:noWrap/>
            <w:vAlign w:val="bottom"/>
            <w:hideMark/>
          </w:tcPr>
          <w:p w14:paraId="42CD0A9E"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rPr>
              <w:t>σ</w:t>
            </w:r>
            <w:r w:rsidRPr="000A00D9">
              <w:rPr>
                <w:rFonts w:ascii="Times New Roman" w:eastAsia="Times New Roman" w:hAnsi="Times New Roman" w:cs="Times New Roman"/>
                <w:color w:val="000000"/>
                <w:sz w:val="20"/>
                <w:szCs w:val="20"/>
                <w:vertAlign w:val="superscript"/>
              </w:rPr>
              <w:t xml:space="preserve"> </w:t>
            </w:r>
            <w:r w:rsidRPr="000A00D9">
              <w:rPr>
                <w:rFonts w:ascii="Times New Roman" w:eastAsia="Times New Roman" w:hAnsi="Times New Roman" w:cs="Times New Roman"/>
                <w:color w:val="000000"/>
                <w:sz w:val="20"/>
                <w:szCs w:val="20"/>
              </w:rPr>
              <w:t>(ROA)</w:t>
            </w:r>
            <w:r w:rsidRPr="000A00D9">
              <w:rPr>
                <w:rFonts w:ascii="Times New Roman" w:eastAsia="Times New Roman" w:hAnsi="Times New Roman" w:cs="Times New Roman"/>
                <w:color w:val="000000"/>
                <w:sz w:val="20"/>
                <w:szCs w:val="20"/>
                <w:vertAlign w:val="superscript"/>
              </w:rPr>
              <w:t>PRE</w:t>
            </w:r>
            <w:r w:rsidRPr="000A00D9">
              <w:rPr>
                <w:rFonts w:ascii="Times New Roman" w:eastAsia="Times New Roman" w:hAnsi="Times New Roman" w:cs="Times New Roman"/>
                <w:color w:val="000000"/>
                <w:sz w:val="20"/>
                <w:szCs w:val="20"/>
              </w:rPr>
              <w:t xml:space="preserve"> / σ</w:t>
            </w:r>
            <w:r w:rsidRPr="000A00D9">
              <w:rPr>
                <w:rFonts w:ascii="Times New Roman" w:eastAsia="Times New Roman" w:hAnsi="Times New Roman" w:cs="Times New Roman"/>
                <w:color w:val="000000"/>
                <w:sz w:val="20"/>
                <w:szCs w:val="20"/>
                <w:vertAlign w:val="superscript"/>
              </w:rPr>
              <w:t xml:space="preserve"> </w:t>
            </w:r>
            <w:r w:rsidRPr="000A00D9">
              <w:rPr>
                <w:rFonts w:ascii="Times New Roman" w:eastAsia="Times New Roman" w:hAnsi="Times New Roman" w:cs="Times New Roman"/>
                <w:color w:val="000000"/>
                <w:sz w:val="20"/>
                <w:szCs w:val="20"/>
              </w:rPr>
              <w:t>(CFO)</w:t>
            </w:r>
            <w:r w:rsidRPr="000A00D9">
              <w:rPr>
                <w:rFonts w:ascii="Times New Roman" w:eastAsia="Times New Roman" w:hAnsi="Times New Roman" w:cs="Times New Roman"/>
                <w:color w:val="000000"/>
                <w:sz w:val="20"/>
                <w:szCs w:val="20"/>
                <w:vertAlign w:val="superscript"/>
              </w:rPr>
              <w:t>PRE</w:t>
            </w:r>
          </w:p>
        </w:tc>
        <w:tc>
          <w:tcPr>
            <w:tcW w:w="283" w:type="dxa"/>
            <w:tcBorders>
              <w:top w:val="nil"/>
              <w:left w:val="nil"/>
              <w:bottom w:val="nil"/>
              <w:right w:val="nil"/>
            </w:tcBorders>
            <w:vAlign w:val="bottom"/>
          </w:tcPr>
          <w:p w14:paraId="4F1D28A3"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2CACDBDE"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0.251</w:t>
            </w:r>
          </w:p>
        </w:tc>
        <w:tc>
          <w:tcPr>
            <w:tcW w:w="1276" w:type="dxa"/>
            <w:tcBorders>
              <w:top w:val="nil"/>
              <w:left w:val="nil"/>
              <w:bottom w:val="nil"/>
              <w:right w:val="nil"/>
            </w:tcBorders>
            <w:vAlign w:val="bottom"/>
          </w:tcPr>
          <w:p w14:paraId="7E7BA7A4"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0.289</w:t>
            </w:r>
          </w:p>
        </w:tc>
      </w:tr>
      <w:tr w:rsidR="004D5D50" w:rsidRPr="000A00D9" w14:paraId="407AFD68" w14:textId="77777777" w:rsidTr="004A2E8B">
        <w:trPr>
          <w:trHeight w:val="318"/>
          <w:jc w:val="center"/>
        </w:trPr>
        <w:tc>
          <w:tcPr>
            <w:tcW w:w="4253" w:type="dxa"/>
            <w:tcBorders>
              <w:top w:val="nil"/>
              <w:left w:val="nil"/>
              <w:bottom w:val="nil"/>
              <w:right w:val="nil"/>
            </w:tcBorders>
            <w:noWrap/>
            <w:vAlign w:val="bottom"/>
            <w:hideMark/>
          </w:tcPr>
          <w:p w14:paraId="3BD3C98C"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rPr>
              <w:t>σ</w:t>
            </w:r>
            <w:r w:rsidRPr="000A00D9">
              <w:rPr>
                <w:rFonts w:ascii="Times New Roman" w:eastAsia="Times New Roman" w:hAnsi="Times New Roman" w:cs="Times New Roman"/>
                <w:color w:val="000000"/>
                <w:sz w:val="20"/>
                <w:szCs w:val="20"/>
                <w:vertAlign w:val="superscript"/>
              </w:rPr>
              <w:t xml:space="preserve"> </w:t>
            </w:r>
            <w:r w:rsidRPr="000A00D9">
              <w:rPr>
                <w:rFonts w:ascii="Times New Roman" w:eastAsia="Times New Roman" w:hAnsi="Times New Roman" w:cs="Times New Roman"/>
                <w:color w:val="000000"/>
                <w:sz w:val="20"/>
                <w:szCs w:val="20"/>
              </w:rPr>
              <w:t>(Beta)</w:t>
            </w:r>
            <w:r w:rsidRPr="000A00D9">
              <w:rPr>
                <w:rFonts w:ascii="Times New Roman" w:eastAsia="Times New Roman" w:hAnsi="Times New Roman" w:cs="Times New Roman"/>
                <w:color w:val="000000"/>
                <w:sz w:val="20"/>
                <w:szCs w:val="20"/>
                <w:vertAlign w:val="superscript"/>
              </w:rPr>
              <w:t>PRE</w:t>
            </w:r>
          </w:p>
        </w:tc>
        <w:tc>
          <w:tcPr>
            <w:tcW w:w="283" w:type="dxa"/>
            <w:tcBorders>
              <w:top w:val="nil"/>
              <w:left w:val="nil"/>
              <w:bottom w:val="nil"/>
              <w:right w:val="nil"/>
            </w:tcBorders>
            <w:vAlign w:val="bottom"/>
          </w:tcPr>
          <w:p w14:paraId="46E7D73A"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47389DF8"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0.305</w:t>
            </w:r>
          </w:p>
        </w:tc>
        <w:tc>
          <w:tcPr>
            <w:tcW w:w="1276" w:type="dxa"/>
            <w:tcBorders>
              <w:top w:val="nil"/>
              <w:left w:val="nil"/>
              <w:bottom w:val="nil"/>
              <w:right w:val="nil"/>
            </w:tcBorders>
            <w:vAlign w:val="bottom"/>
          </w:tcPr>
          <w:p w14:paraId="6210FB0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0.308</w:t>
            </w:r>
          </w:p>
        </w:tc>
      </w:tr>
      <w:tr w:rsidR="004D5D50" w:rsidRPr="000A00D9" w14:paraId="5DCB16AB" w14:textId="77777777" w:rsidTr="004A2E8B">
        <w:trPr>
          <w:trHeight w:val="318"/>
          <w:jc w:val="center"/>
        </w:trPr>
        <w:tc>
          <w:tcPr>
            <w:tcW w:w="4253" w:type="dxa"/>
            <w:tcBorders>
              <w:top w:val="nil"/>
              <w:left w:val="nil"/>
              <w:bottom w:val="nil"/>
              <w:right w:val="nil"/>
            </w:tcBorders>
            <w:noWrap/>
            <w:vAlign w:val="bottom"/>
            <w:hideMark/>
          </w:tcPr>
          <w:p w14:paraId="49584BA8"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SE(Beta)</w:t>
            </w:r>
            <w:r w:rsidRPr="000A00D9">
              <w:rPr>
                <w:rFonts w:ascii="Times New Roman" w:eastAsia="Times New Roman" w:hAnsi="Times New Roman" w:cs="Times New Roman"/>
                <w:color w:val="000000"/>
                <w:sz w:val="20"/>
                <w:szCs w:val="20"/>
                <w:vertAlign w:val="superscript"/>
                <w:lang w:val="en-US" w:eastAsia="en-GB"/>
              </w:rPr>
              <w:t>PRE</w:t>
            </w:r>
          </w:p>
        </w:tc>
        <w:tc>
          <w:tcPr>
            <w:tcW w:w="283" w:type="dxa"/>
            <w:tcBorders>
              <w:top w:val="nil"/>
              <w:left w:val="nil"/>
              <w:bottom w:val="nil"/>
              <w:right w:val="nil"/>
            </w:tcBorders>
            <w:vAlign w:val="bottom"/>
          </w:tcPr>
          <w:p w14:paraId="5B5B53CE"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59AAF5A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0.360</w:t>
            </w:r>
          </w:p>
        </w:tc>
        <w:tc>
          <w:tcPr>
            <w:tcW w:w="1276" w:type="dxa"/>
            <w:tcBorders>
              <w:top w:val="nil"/>
              <w:left w:val="nil"/>
              <w:bottom w:val="nil"/>
              <w:right w:val="nil"/>
            </w:tcBorders>
            <w:vAlign w:val="bottom"/>
          </w:tcPr>
          <w:p w14:paraId="0E9DFBA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0.406</w:t>
            </w:r>
          </w:p>
        </w:tc>
      </w:tr>
      <w:tr w:rsidR="004D5D50" w:rsidRPr="000A00D9" w14:paraId="646BD411" w14:textId="77777777" w:rsidTr="004A2E8B">
        <w:trPr>
          <w:trHeight w:val="318"/>
          <w:jc w:val="center"/>
        </w:trPr>
        <w:tc>
          <w:tcPr>
            <w:tcW w:w="4253" w:type="dxa"/>
            <w:tcBorders>
              <w:top w:val="nil"/>
              <w:left w:val="nil"/>
              <w:bottom w:val="nil"/>
              <w:right w:val="nil"/>
            </w:tcBorders>
            <w:noWrap/>
            <w:vAlign w:val="bottom"/>
            <w:hideMark/>
          </w:tcPr>
          <w:p w14:paraId="53318D64"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log(ME)</w:t>
            </w:r>
          </w:p>
        </w:tc>
        <w:tc>
          <w:tcPr>
            <w:tcW w:w="283" w:type="dxa"/>
            <w:tcBorders>
              <w:top w:val="nil"/>
              <w:left w:val="nil"/>
              <w:bottom w:val="nil"/>
              <w:right w:val="nil"/>
            </w:tcBorders>
            <w:vAlign w:val="bottom"/>
          </w:tcPr>
          <w:p w14:paraId="2F0A050E"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2E70A7C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-0.255</w:t>
            </w:r>
          </w:p>
        </w:tc>
        <w:tc>
          <w:tcPr>
            <w:tcW w:w="1276" w:type="dxa"/>
            <w:tcBorders>
              <w:top w:val="nil"/>
              <w:left w:val="nil"/>
              <w:bottom w:val="nil"/>
              <w:right w:val="nil"/>
            </w:tcBorders>
            <w:vAlign w:val="bottom"/>
          </w:tcPr>
          <w:p w14:paraId="32E05D6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-0.271</w:t>
            </w:r>
          </w:p>
        </w:tc>
      </w:tr>
      <w:tr w:rsidR="004D5D50" w:rsidRPr="000A00D9" w14:paraId="222067C3" w14:textId="77777777" w:rsidTr="004A2E8B">
        <w:trPr>
          <w:trHeight w:val="318"/>
          <w:jc w:val="center"/>
        </w:trPr>
        <w:tc>
          <w:tcPr>
            <w:tcW w:w="4253" w:type="dxa"/>
            <w:tcBorders>
              <w:top w:val="nil"/>
              <w:left w:val="nil"/>
              <w:bottom w:val="nil"/>
              <w:right w:val="nil"/>
            </w:tcBorders>
            <w:noWrap/>
            <w:vAlign w:val="bottom"/>
            <w:hideMark/>
          </w:tcPr>
          <w:p w14:paraId="17B36AFE"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Log(Age)</w:t>
            </w:r>
          </w:p>
        </w:tc>
        <w:tc>
          <w:tcPr>
            <w:tcW w:w="283" w:type="dxa"/>
            <w:tcBorders>
              <w:top w:val="nil"/>
              <w:left w:val="nil"/>
              <w:bottom w:val="nil"/>
              <w:right w:val="nil"/>
            </w:tcBorders>
            <w:vAlign w:val="bottom"/>
          </w:tcPr>
          <w:p w14:paraId="591C4B7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2D871E98"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-0.242</w:t>
            </w:r>
          </w:p>
        </w:tc>
        <w:tc>
          <w:tcPr>
            <w:tcW w:w="1276" w:type="dxa"/>
            <w:tcBorders>
              <w:top w:val="nil"/>
              <w:left w:val="nil"/>
              <w:bottom w:val="nil"/>
              <w:right w:val="nil"/>
            </w:tcBorders>
            <w:vAlign w:val="bottom"/>
          </w:tcPr>
          <w:p w14:paraId="33AD8051"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-0.245</w:t>
            </w:r>
          </w:p>
        </w:tc>
      </w:tr>
      <w:tr w:rsidR="004D5D50" w:rsidRPr="000A00D9" w14:paraId="0F00DAD0" w14:textId="77777777" w:rsidTr="004A2E8B">
        <w:trPr>
          <w:trHeight w:val="318"/>
          <w:jc w:val="center"/>
        </w:trPr>
        <w:tc>
          <w:tcPr>
            <w:tcW w:w="4253" w:type="dxa"/>
            <w:tcBorders>
              <w:top w:val="nil"/>
              <w:left w:val="nil"/>
              <w:bottom w:val="nil"/>
              <w:right w:val="nil"/>
            </w:tcBorders>
            <w:noWrap/>
            <w:vAlign w:val="bottom"/>
            <w:hideMark/>
          </w:tcPr>
          <w:p w14:paraId="5039707E"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rPr>
              <w:t>Log(σ</w:t>
            </w:r>
            <w:r w:rsidRPr="000A00D9">
              <w:rPr>
                <w:rFonts w:ascii="Times New Roman" w:eastAsia="Times New Roman" w:hAnsi="Times New Roman" w:cs="Times New Roman"/>
                <w:color w:val="000000"/>
                <w:sz w:val="20"/>
                <w:szCs w:val="20"/>
                <w:vertAlign w:val="superscript"/>
              </w:rPr>
              <w:t xml:space="preserve"> </w:t>
            </w:r>
            <w:r w:rsidRPr="000A00D9">
              <w:rPr>
                <w:rFonts w:ascii="Times New Roman" w:eastAsia="Times New Roman" w:hAnsi="Times New Roman" w:cs="Times New Roman"/>
                <w:color w:val="000000"/>
                <w:sz w:val="20"/>
                <w:szCs w:val="20"/>
              </w:rPr>
              <w:t>(Returns)</w:t>
            </w:r>
            <w:r w:rsidRPr="000A00D9">
              <w:rPr>
                <w:rFonts w:ascii="Times New Roman" w:eastAsia="Times New Roman" w:hAnsi="Times New Roman" w:cs="Times New Roman"/>
                <w:color w:val="000000"/>
                <w:sz w:val="20"/>
                <w:szCs w:val="20"/>
                <w:vertAlign w:val="superscript"/>
              </w:rPr>
              <w:t>PRE</w:t>
            </w:r>
            <w:r w:rsidRPr="000A00D9">
              <w:rPr>
                <w:rFonts w:ascii="Times New Roman" w:eastAsia="Times New Roman" w:hAnsi="Times New Roman" w:cs="Times New Roman"/>
                <w:color w:val="000000"/>
                <w:sz w:val="20"/>
                <w:szCs w:val="20"/>
              </w:rPr>
              <w:t>)</w:t>
            </w:r>
          </w:p>
        </w:tc>
        <w:tc>
          <w:tcPr>
            <w:tcW w:w="283" w:type="dxa"/>
            <w:tcBorders>
              <w:top w:val="nil"/>
              <w:left w:val="nil"/>
              <w:bottom w:val="nil"/>
              <w:right w:val="nil"/>
            </w:tcBorders>
            <w:vAlign w:val="bottom"/>
          </w:tcPr>
          <w:p w14:paraId="469D64A5"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1F2AE3BD"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0.580</w:t>
            </w:r>
          </w:p>
        </w:tc>
        <w:tc>
          <w:tcPr>
            <w:tcW w:w="1276" w:type="dxa"/>
            <w:tcBorders>
              <w:top w:val="nil"/>
              <w:left w:val="nil"/>
              <w:bottom w:val="nil"/>
              <w:right w:val="nil"/>
            </w:tcBorders>
            <w:vAlign w:val="bottom"/>
          </w:tcPr>
          <w:p w14:paraId="4B6F7C50"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0.575</w:t>
            </w:r>
          </w:p>
        </w:tc>
      </w:tr>
      <w:tr w:rsidR="004D5D50" w:rsidRPr="000A00D9" w14:paraId="3CAD6EF7" w14:textId="77777777" w:rsidTr="004A2E8B">
        <w:trPr>
          <w:trHeight w:val="318"/>
          <w:jc w:val="center"/>
        </w:trPr>
        <w:tc>
          <w:tcPr>
            <w:tcW w:w="4253" w:type="dxa"/>
            <w:tcBorders>
              <w:top w:val="nil"/>
              <w:left w:val="nil"/>
              <w:bottom w:val="nil"/>
              <w:right w:val="nil"/>
            </w:tcBorders>
            <w:noWrap/>
            <w:vAlign w:val="bottom"/>
            <w:hideMark/>
          </w:tcPr>
          <w:p w14:paraId="2ED7178F"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Intan/Assets</w:t>
            </w:r>
          </w:p>
        </w:tc>
        <w:tc>
          <w:tcPr>
            <w:tcW w:w="283" w:type="dxa"/>
            <w:tcBorders>
              <w:top w:val="nil"/>
              <w:left w:val="nil"/>
              <w:bottom w:val="nil"/>
              <w:right w:val="nil"/>
            </w:tcBorders>
            <w:vAlign w:val="bottom"/>
          </w:tcPr>
          <w:p w14:paraId="0CAF930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46A94C37"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0.111</w:t>
            </w:r>
          </w:p>
        </w:tc>
        <w:tc>
          <w:tcPr>
            <w:tcW w:w="1276" w:type="dxa"/>
            <w:tcBorders>
              <w:top w:val="nil"/>
              <w:left w:val="nil"/>
              <w:bottom w:val="nil"/>
              <w:right w:val="nil"/>
            </w:tcBorders>
            <w:vAlign w:val="bottom"/>
          </w:tcPr>
          <w:p w14:paraId="67DDA26F"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0.074</w:t>
            </w:r>
          </w:p>
        </w:tc>
      </w:tr>
      <w:tr w:rsidR="004D5D50" w:rsidRPr="000A00D9" w14:paraId="2BE013EC" w14:textId="77777777" w:rsidTr="004A2E8B">
        <w:trPr>
          <w:trHeight w:val="318"/>
          <w:jc w:val="center"/>
        </w:trPr>
        <w:tc>
          <w:tcPr>
            <w:tcW w:w="4253" w:type="dxa"/>
            <w:tcBorders>
              <w:top w:val="nil"/>
              <w:left w:val="nil"/>
              <w:bottom w:val="nil"/>
              <w:right w:val="nil"/>
            </w:tcBorders>
            <w:noWrap/>
            <w:vAlign w:val="bottom"/>
            <w:hideMark/>
          </w:tcPr>
          <w:p w14:paraId="6486D01F"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I</w:t>
            </w:r>
            <w:r w:rsidRPr="000A00D9">
              <w:rPr>
                <w:rFonts w:ascii="Times New Roman" w:eastAsia="Times New Roman" w:hAnsi="Times New Roman" w:cs="Times New Roman"/>
                <w:color w:val="000000"/>
                <w:sz w:val="20"/>
                <w:szCs w:val="20"/>
                <w:vertAlign w:val="subscript"/>
                <w:lang w:val="en-US" w:eastAsia="en-GB"/>
              </w:rPr>
              <w:t>EARN&lt;0</w:t>
            </w:r>
          </w:p>
        </w:tc>
        <w:tc>
          <w:tcPr>
            <w:tcW w:w="283" w:type="dxa"/>
            <w:tcBorders>
              <w:top w:val="nil"/>
              <w:left w:val="nil"/>
              <w:bottom w:val="nil"/>
              <w:right w:val="nil"/>
            </w:tcBorders>
            <w:vAlign w:val="bottom"/>
          </w:tcPr>
          <w:p w14:paraId="22EB1FA9"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nil"/>
              <w:right w:val="nil"/>
            </w:tcBorders>
            <w:noWrap/>
            <w:vAlign w:val="bottom"/>
            <w:hideMark/>
          </w:tcPr>
          <w:p w14:paraId="312A6D8A"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0.457</w:t>
            </w:r>
          </w:p>
        </w:tc>
        <w:tc>
          <w:tcPr>
            <w:tcW w:w="1276" w:type="dxa"/>
            <w:tcBorders>
              <w:top w:val="nil"/>
              <w:left w:val="nil"/>
              <w:bottom w:val="nil"/>
              <w:right w:val="nil"/>
            </w:tcBorders>
            <w:vAlign w:val="bottom"/>
          </w:tcPr>
          <w:p w14:paraId="43B90420"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0.458</w:t>
            </w:r>
          </w:p>
        </w:tc>
      </w:tr>
      <w:tr w:rsidR="004D5D50" w:rsidRPr="000A00D9" w14:paraId="26D99519" w14:textId="77777777" w:rsidTr="004A2E8B">
        <w:trPr>
          <w:trHeight w:val="318"/>
          <w:jc w:val="center"/>
        </w:trPr>
        <w:tc>
          <w:tcPr>
            <w:tcW w:w="4253" w:type="dxa"/>
            <w:tcBorders>
              <w:top w:val="nil"/>
              <w:left w:val="nil"/>
              <w:bottom w:val="single" w:sz="4" w:space="0" w:color="auto"/>
              <w:right w:val="nil"/>
            </w:tcBorders>
            <w:noWrap/>
            <w:vAlign w:val="bottom"/>
            <w:hideMark/>
          </w:tcPr>
          <w:p w14:paraId="4E690579" w14:textId="77777777" w:rsidR="004D5D50" w:rsidRPr="000A00D9" w:rsidRDefault="004D5D50" w:rsidP="004A2E8B">
            <w:pPr>
              <w:spacing w:after="0" w:line="240" w:lineRule="auto"/>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I</w:t>
            </w:r>
            <w:r w:rsidRPr="000A00D9">
              <w:rPr>
                <w:rFonts w:ascii="Times New Roman" w:eastAsia="Times New Roman" w:hAnsi="Times New Roman" w:cs="Times New Roman"/>
                <w:color w:val="000000"/>
                <w:sz w:val="20"/>
                <w:szCs w:val="20"/>
                <w:vertAlign w:val="subscript"/>
                <w:lang w:val="en-US" w:eastAsia="en-GB"/>
              </w:rPr>
              <w:t>DIV&gt;0</w:t>
            </w:r>
          </w:p>
        </w:tc>
        <w:tc>
          <w:tcPr>
            <w:tcW w:w="283" w:type="dxa"/>
            <w:tcBorders>
              <w:top w:val="nil"/>
              <w:left w:val="nil"/>
              <w:bottom w:val="single" w:sz="4" w:space="0" w:color="auto"/>
              <w:right w:val="nil"/>
            </w:tcBorders>
            <w:vAlign w:val="bottom"/>
          </w:tcPr>
          <w:p w14:paraId="2E03CA66"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p>
        </w:tc>
        <w:tc>
          <w:tcPr>
            <w:tcW w:w="1985" w:type="dxa"/>
            <w:tcBorders>
              <w:top w:val="nil"/>
              <w:left w:val="nil"/>
              <w:bottom w:val="single" w:sz="4" w:space="0" w:color="auto"/>
              <w:right w:val="nil"/>
            </w:tcBorders>
            <w:noWrap/>
            <w:vAlign w:val="bottom"/>
            <w:hideMark/>
          </w:tcPr>
          <w:p w14:paraId="627883EB"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rPr>
            </w:pPr>
            <w:r w:rsidRPr="000A00D9">
              <w:rPr>
                <w:rFonts w:ascii="Times New Roman" w:eastAsia="Times New Roman" w:hAnsi="Times New Roman" w:cs="Times New Roman"/>
                <w:color w:val="000000"/>
                <w:sz w:val="20"/>
                <w:szCs w:val="20"/>
                <w:lang w:val="en-US" w:eastAsia="en-GB"/>
              </w:rPr>
              <w:t>-0.481</w:t>
            </w:r>
          </w:p>
        </w:tc>
        <w:tc>
          <w:tcPr>
            <w:tcW w:w="1276" w:type="dxa"/>
            <w:tcBorders>
              <w:top w:val="nil"/>
              <w:left w:val="nil"/>
              <w:bottom w:val="single" w:sz="4" w:space="0" w:color="auto"/>
              <w:right w:val="nil"/>
            </w:tcBorders>
            <w:vAlign w:val="bottom"/>
          </w:tcPr>
          <w:p w14:paraId="4469B88B" w14:textId="77777777" w:rsidR="004D5D50" w:rsidRPr="000A00D9" w:rsidRDefault="004D5D50" w:rsidP="004A2E8B">
            <w:pPr>
              <w:spacing w:after="0" w:line="240" w:lineRule="auto"/>
              <w:jc w:val="center"/>
              <w:rPr>
                <w:rFonts w:ascii="Times New Roman" w:eastAsia="Times New Roman" w:hAnsi="Times New Roman" w:cs="Times New Roman"/>
                <w:color w:val="000000"/>
                <w:sz w:val="20"/>
                <w:szCs w:val="20"/>
                <w:lang w:val="en-US" w:eastAsia="en-GB"/>
              </w:rPr>
            </w:pPr>
            <w:r w:rsidRPr="00D410F6">
              <w:rPr>
                <w:rFonts w:ascii="Times New Roman" w:eastAsia="Times New Roman" w:hAnsi="Times New Roman" w:cs="Times New Roman"/>
                <w:color w:val="000000"/>
                <w:sz w:val="20"/>
                <w:szCs w:val="20"/>
                <w:lang w:eastAsia="en-GB"/>
              </w:rPr>
              <w:t>-0.489</w:t>
            </w:r>
          </w:p>
        </w:tc>
      </w:tr>
    </w:tbl>
    <w:p w14:paraId="0439A971" w14:textId="77777777" w:rsidR="004D5D50" w:rsidRDefault="004D5D50" w:rsidP="004D5D50">
      <w:pPr>
        <w:spacing w:after="0"/>
        <w:jc w:val="both"/>
        <w:rPr>
          <w:rFonts w:ascii="Times New Roman" w:hAnsi="Times New Roman" w:cs="Times New Roman"/>
          <w:sz w:val="20"/>
          <w:szCs w:val="20"/>
        </w:rPr>
      </w:pPr>
    </w:p>
    <w:p w14:paraId="332600DC" w14:textId="77777777" w:rsidR="004D5D50" w:rsidRDefault="004D5D50" w:rsidP="004D5D50">
      <w:pPr>
        <w:rPr>
          <w:rFonts w:ascii="Times New Roman" w:hAnsi="Times New Roman" w:cs="Times New Roman"/>
          <w:b/>
          <w:sz w:val="20"/>
          <w:szCs w:val="20"/>
        </w:rPr>
      </w:pPr>
      <w:r>
        <w:rPr>
          <w:rFonts w:ascii="Times New Roman" w:hAnsi="Times New Roman" w:cs="Times New Roman"/>
          <w:b/>
          <w:sz w:val="20"/>
          <w:szCs w:val="20"/>
        </w:rPr>
        <w:br w:type="page"/>
      </w:r>
    </w:p>
    <w:p w14:paraId="53FBC339" w14:textId="77777777" w:rsidR="004D5D50" w:rsidRPr="005A60C4" w:rsidRDefault="004D5D50" w:rsidP="004D5D50">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w:t>
      </w:r>
      <w:r w:rsidRPr="005A60C4">
        <w:rPr>
          <w:rFonts w:ascii="Times New Roman" w:hAnsi="Times New Roman" w:cs="Times New Roman"/>
          <w:b/>
          <w:sz w:val="20"/>
          <w:szCs w:val="20"/>
        </w:rPr>
        <w:t xml:space="preserve">BLE </w:t>
      </w:r>
      <w:r>
        <w:rPr>
          <w:rFonts w:ascii="Times New Roman" w:hAnsi="Times New Roman" w:cs="Times New Roman"/>
          <w:b/>
          <w:sz w:val="20"/>
          <w:szCs w:val="20"/>
        </w:rPr>
        <w:t>A6</w:t>
      </w:r>
    </w:p>
    <w:p w14:paraId="7C7D5099" w14:textId="77777777" w:rsidR="004D5D50" w:rsidRPr="00D80A14" w:rsidRDefault="004D5D50" w:rsidP="004D5D50">
      <w:pPr>
        <w:jc w:val="center"/>
        <w:rPr>
          <w:rFonts w:ascii="Times New Roman" w:hAnsi="Times New Roman" w:cs="Times New Roman"/>
          <w:b/>
          <w:bCs/>
          <w:sz w:val="20"/>
          <w:szCs w:val="20"/>
        </w:rPr>
      </w:pPr>
      <w:r>
        <w:rPr>
          <w:rFonts w:ascii="Times New Roman" w:hAnsi="Times New Roman" w:cs="Times New Roman"/>
          <w:b/>
          <w:bCs/>
          <w:sz w:val="20"/>
          <w:szCs w:val="20"/>
        </w:rPr>
        <w:t>Duration Proxied by Age</w:t>
      </w:r>
    </w:p>
    <w:p w14:paraId="6E89F730" w14:textId="77777777" w:rsidR="004D5D50" w:rsidRDefault="004D5D50" w:rsidP="004D5D50">
      <w:pPr>
        <w:spacing w:after="0"/>
        <w:jc w:val="both"/>
        <w:rPr>
          <w:rFonts w:ascii="Times New Roman" w:hAnsi="Times New Roman" w:cs="Times New Roman"/>
          <w:sz w:val="20"/>
          <w:szCs w:val="20"/>
        </w:rPr>
      </w:pPr>
      <w:r w:rsidRPr="007A7B96">
        <w:rPr>
          <w:rFonts w:ascii="Times New Roman" w:hAnsi="Times New Roman" w:cs="Times New Roman"/>
          <w:sz w:val="20"/>
          <w:szCs w:val="20"/>
        </w:rPr>
        <w:t xml:space="preserve">The table </w:t>
      </w:r>
      <w:r>
        <w:rPr>
          <w:rFonts w:ascii="Times New Roman" w:hAnsi="Times New Roman" w:cs="Times New Roman"/>
          <w:sz w:val="20"/>
          <w:szCs w:val="20"/>
        </w:rPr>
        <w:t>reports</w:t>
      </w:r>
      <w:r w:rsidRPr="007A7B96">
        <w:rPr>
          <w:rFonts w:ascii="Times New Roman" w:hAnsi="Times New Roman" w:cs="Times New Roman"/>
          <w:sz w:val="20"/>
          <w:szCs w:val="20"/>
        </w:rPr>
        <w:t xml:space="preserve"> </w:t>
      </w:r>
      <w:r w:rsidRPr="000A435B">
        <w:rPr>
          <w:rFonts w:ascii="Times New Roman" w:hAnsi="Times New Roman" w:cs="Times New Roman"/>
          <w:sz w:val="20"/>
          <w:szCs w:val="20"/>
        </w:rPr>
        <w:t>mean</w:t>
      </w:r>
      <w:r>
        <w:rPr>
          <w:rFonts w:ascii="Times New Roman" w:hAnsi="Times New Roman" w:cs="Times New Roman"/>
          <w:sz w:val="20"/>
          <w:szCs w:val="20"/>
        </w:rPr>
        <w:t xml:space="preserve"> firm</w:t>
      </w:r>
      <w:r w:rsidRPr="000A435B">
        <w:rPr>
          <w:rFonts w:ascii="Times New Roman" w:hAnsi="Times New Roman" w:cs="Times New Roman"/>
          <w:sz w:val="20"/>
          <w:szCs w:val="20"/>
        </w:rPr>
        <w:t xml:space="preserve"> </w:t>
      </w:r>
      <w:r>
        <w:rPr>
          <w:rFonts w:ascii="Times New Roman" w:hAnsi="Times New Roman" w:cs="Times New Roman"/>
          <w:sz w:val="20"/>
          <w:szCs w:val="20"/>
        </w:rPr>
        <w:t xml:space="preserve">age </w:t>
      </w:r>
      <w:r w:rsidRPr="007A7B96">
        <w:rPr>
          <w:rFonts w:ascii="Times New Roman" w:hAnsi="Times New Roman" w:cs="Times New Roman"/>
          <w:sz w:val="20"/>
          <w:szCs w:val="20"/>
        </w:rPr>
        <w:t xml:space="preserve">for portfolios </w:t>
      </w:r>
      <w:r>
        <w:rPr>
          <w:rFonts w:ascii="Times New Roman" w:hAnsi="Times New Roman" w:cs="Times New Roman"/>
          <w:sz w:val="20"/>
          <w:szCs w:val="20"/>
        </w:rPr>
        <w:t>formed on the basis of</w:t>
      </w:r>
      <w:r w:rsidRPr="007A7B96">
        <w:rPr>
          <w:rFonts w:ascii="Times New Roman" w:hAnsi="Times New Roman" w:cs="Times New Roman"/>
          <w:sz w:val="20"/>
          <w:szCs w:val="20"/>
        </w:rPr>
        <w:t xml:space="preserve"> </w:t>
      </w:r>
      <w:r>
        <w:rPr>
          <w:rFonts w:ascii="Times New Roman" w:hAnsi="Times New Roman" w:cs="Times New Roman"/>
          <w:sz w:val="20"/>
          <w:szCs w:val="20"/>
        </w:rPr>
        <w:t>price</w:t>
      </w:r>
      <w:r w:rsidRPr="007A7B96">
        <w:rPr>
          <w:rFonts w:ascii="Times New Roman" w:hAnsi="Times New Roman" w:cs="Times New Roman"/>
          <w:sz w:val="20"/>
          <w:szCs w:val="20"/>
        </w:rPr>
        <w:t xml:space="preserve">-to-book </w:t>
      </w:r>
      <w:r>
        <w:rPr>
          <w:rFonts w:ascii="Times New Roman" w:hAnsi="Times New Roman" w:cs="Times New Roman"/>
          <w:sz w:val="20"/>
          <w:szCs w:val="20"/>
        </w:rPr>
        <w:t>(Panel A), price-to-value (Panel B), and value-to-book (Panel C), conditional on valuation uncertainty</w:t>
      </w:r>
      <w:r w:rsidRPr="007A7B96">
        <w:rPr>
          <w:rFonts w:ascii="Times New Roman" w:hAnsi="Times New Roman" w:cs="Times New Roman"/>
          <w:sz w:val="20"/>
          <w:szCs w:val="20"/>
        </w:rPr>
        <w:t>.</w:t>
      </w:r>
      <w:r>
        <w:rPr>
          <w:rFonts w:ascii="Times New Roman" w:hAnsi="Times New Roman" w:cs="Times New Roman"/>
          <w:sz w:val="20"/>
          <w:szCs w:val="20"/>
        </w:rPr>
        <w:t xml:space="preserve"> Portfolio sorts are performed annually, every June 30, within each valuation uncertainty quartile. </w:t>
      </w:r>
      <w:r w:rsidRPr="007A7B96">
        <w:rPr>
          <w:rFonts w:ascii="Times New Roman" w:hAnsi="Times New Roman" w:cs="Times New Roman"/>
          <w:sz w:val="20"/>
          <w:szCs w:val="20"/>
        </w:rPr>
        <w:t xml:space="preserve">Time-series averages of portfolio-level means are taken across </w:t>
      </w:r>
      <w:r>
        <w:rPr>
          <w:rFonts w:ascii="Times New Roman" w:hAnsi="Times New Roman" w:cs="Times New Roman"/>
          <w:sz w:val="20"/>
          <w:szCs w:val="20"/>
        </w:rPr>
        <w:t>48</w:t>
      </w:r>
      <w:r w:rsidRPr="007A7B96">
        <w:rPr>
          <w:rFonts w:ascii="Times New Roman" w:hAnsi="Times New Roman" w:cs="Times New Roman"/>
          <w:sz w:val="20"/>
          <w:szCs w:val="20"/>
        </w:rPr>
        <w:t xml:space="preserve"> portfolio formations (</w:t>
      </w:r>
      <w:r>
        <w:rPr>
          <w:rFonts w:ascii="Times New Roman" w:hAnsi="Times New Roman" w:cs="Times New Roman"/>
          <w:sz w:val="20"/>
          <w:szCs w:val="20"/>
        </w:rPr>
        <w:t xml:space="preserve">June </w:t>
      </w:r>
      <w:r w:rsidRPr="007A7B96">
        <w:rPr>
          <w:rFonts w:ascii="Times New Roman" w:hAnsi="Times New Roman" w:cs="Times New Roman"/>
          <w:sz w:val="20"/>
          <w:szCs w:val="20"/>
        </w:rPr>
        <w:t>1975–</w:t>
      </w:r>
      <w:r>
        <w:rPr>
          <w:rFonts w:ascii="Times New Roman" w:hAnsi="Times New Roman" w:cs="Times New Roman"/>
          <w:sz w:val="20"/>
          <w:szCs w:val="20"/>
        </w:rPr>
        <w:t xml:space="preserve">June </w:t>
      </w:r>
      <w:r w:rsidRPr="007A7B96">
        <w:rPr>
          <w:rFonts w:ascii="Times New Roman" w:hAnsi="Times New Roman" w:cs="Times New Roman"/>
          <w:sz w:val="20"/>
          <w:szCs w:val="20"/>
        </w:rPr>
        <w:t>20</w:t>
      </w:r>
      <w:r>
        <w:rPr>
          <w:rFonts w:ascii="Times New Roman" w:hAnsi="Times New Roman" w:cs="Times New Roman"/>
          <w:sz w:val="20"/>
          <w:szCs w:val="20"/>
        </w:rPr>
        <w:t>22</w:t>
      </w:r>
      <w:r w:rsidRPr="007A7B96">
        <w:rPr>
          <w:rFonts w:ascii="Times New Roman" w:hAnsi="Times New Roman" w:cs="Times New Roman"/>
          <w:sz w:val="20"/>
          <w:szCs w:val="20"/>
        </w:rPr>
        <w:t>).</w:t>
      </w:r>
      <w:r>
        <w:rPr>
          <w:rFonts w:ascii="Times New Roman" w:hAnsi="Times New Roman" w:cs="Times New Roman"/>
          <w:sz w:val="20"/>
          <w:szCs w:val="20"/>
        </w:rPr>
        <w:t xml:space="preserve"> </w:t>
      </w:r>
      <w:r w:rsidRPr="0010756C">
        <w:rPr>
          <w:rFonts w:ascii="Times New Roman" w:hAnsi="Times New Roman" w:cs="Times New Roman"/>
          <w:i/>
          <w:sz w:val="20"/>
          <w:szCs w:val="20"/>
        </w:rPr>
        <w:t>p</w:t>
      </w:r>
      <w:r>
        <w:rPr>
          <w:rFonts w:ascii="Times New Roman" w:hAnsi="Times New Roman" w:cs="Times New Roman"/>
          <w:sz w:val="20"/>
          <w:szCs w:val="20"/>
        </w:rPr>
        <w:t>-values in parentheses correspond to Newey-West standard errors with 3 lags. Detailed variables definitions are provided in the Appendix of the paper. Symbols ***, **, and * indicate statistical significance at the 1%, 5%, and 10% levels, respectively.</w:t>
      </w:r>
    </w:p>
    <w:p w14:paraId="3DDCE526" w14:textId="77777777" w:rsidR="004D5D50" w:rsidRDefault="004D5D50" w:rsidP="004D5D50">
      <w:pPr>
        <w:spacing w:before="240"/>
        <w:jc w:val="both"/>
        <w:rPr>
          <w:rFonts w:ascii="Times New Roman" w:hAnsi="Times New Roman" w:cs="Times New Roman"/>
          <w:sz w:val="20"/>
          <w:szCs w:val="20"/>
        </w:rPr>
      </w:pPr>
      <w:r>
        <w:rPr>
          <w:rFonts w:ascii="Times New Roman" w:hAnsi="Times New Roman" w:cs="Times New Roman"/>
          <w:sz w:val="20"/>
          <w:szCs w:val="20"/>
        </w:rPr>
        <w:t>Panel A: Double Sort with price-to-book</w:t>
      </w:r>
    </w:p>
    <w:tbl>
      <w:tblPr>
        <w:tblW w:w="5000" w:type="pct"/>
        <w:tblLook w:val="04A0" w:firstRow="1" w:lastRow="0" w:firstColumn="1" w:lastColumn="0" w:noHBand="0" w:noVBand="1"/>
      </w:tblPr>
      <w:tblGrid>
        <w:gridCol w:w="1555"/>
        <w:gridCol w:w="1095"/>
        <w:gridCol w:w="1033"/>
        <w:gridCol w:w="1133"/>
        <w:gridCol w:w="1133"/>
        <w:gridCol w:w="1190"/>
        <w:gridCol w:w="222"/>
        <w:gridCol w:w="1183"/>
        <w:gridCol w:w="816"/>
      </w:tblGrid>
      <w:tr w:rsidR="004D5D50" w:rsidRPr="00A93911" w14:paraId="020D0DF8" w14:textId="77777777" w:rsidTr="004A2E8B">
        <w:tc>
          <w:tcPr>
            <w:tcW w:w="856" w:type="pct"/>
            <w:tcBorders>
              <w:top w:val="single" w:sz="4" w:space="0" w:color="auto"/>
              <w:left w:val="nil"/>
              <w:right w:val="nil"/>
            </w:tcBorders>
            <w:noWrap/>
            <w:vAlign w:val="bottom"/>
            <w:hideMark/>
          </w:tcPr>
          <w:p w14:paraId="5E4FAE42"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w:t>
            </w:r>
          </w:p>
        </w:tc>
        <w:tc>
          <w:tcPr>
            <w:tcW w:w="610" w:type="pct"/>
            <w:tcBorders>
              <w:top w:val="single" w:sz="4" w:space="0" w:color="auto"/>
              <w:left w:val="nil"/>
              <w:right w:val="nil"/>
            </w:tcBorders>
            <w:vAlign w:val="bottom"/>
          </w:tcPr>
          <w:p w14:paraId="31DCF072"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p>
        </w:tc>
        <w:tc>
          <w:tcPr>
            <w:tcW w:w="524" w:type="pct"/>
            <w:tcBorders>
              <w:top w:val="single" w:sz="4" w:space="0" w:color="auto"/>
              <w:left w:val="nil"/>
              <w:right w:val="nil"/>
            </w:tcBorders>
            <w:noWrap/>
            <w:vAlign w:val="bottom"/>
            <w:hideMark/>
          </w:tcPr>
          <w:p w14:paraId="0401106C"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w:t>
            </w:r>
          </w:p>
        </w:tc>
        <w:tc>
          <w:tcPr>
            <w:tcW w:w="524" w:type="pct"/>
            <w:tcBorders>
              <w:top w:val="single" w:sz="4" w:space="0" w:color="auto"/>
              <w:left w:val="nil"/>
              <w:right w:val="nil"/>
            </w:tcBorders>
            <w:noWrap/>
            <w:vAlign w:val="bottom"/>
            <w:hideMark/>
          </w:tcPr>
          <w:p w14:paraId="37DFABE4"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w:t>
            </w:r>
          </w:p>
        </w:tc>
        <w:tc>
          <w:tcPr>
            <w:tcW w:w="571" w:type="pct"/>
            <w:tcBorders>
              <w:top w:val="single" w:sz="4" w:space="0" w:color="auto"/>
              <w:left w:val="nil"/>
              <w:right w:val="nil"/>
            </w:tcBorders>
            <w:noWrap/>
            <w:vAlign w:val="bottom"/>
            <w:hideMark/>
          </w:tcPr>
          <w:p w14:paraId="1AD22D8F"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VU</w:t>
            </w:r>
          </w:p>
        </w:tc>
        <w:tc>
          <w:tcPr>
            <w:tcW w:w="660" w:type="pct"/>
            <w:tcBorders>
              <w:top w:val="single" w:sz="4" w:space="0" w:color="auto"/>
              <w:left w:val="nil"/>
              <w:right w:val="nil"/>
            </w:tcBorders>
            <w:noWrap/>
            <w:vAlign w:val="bottom"/>
            <w:hideMark/>
          </w:tcPr>
          <w:p w14:paraId="0C2A97BA"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w:t>
            </w:r>
          </w:p>
        </w:tc>
        <w:tc>
          <w:tcPr>
            <w:tcW w:w="122" w:type="pct"/>
            <w:tcBorders>
              <w:top w:val="single" w:sz="4" w:space="0" w:color="auto"/>
              <w:left w:val="nil"/>
              <w:right w:val="nil"/>
            </w:tcBorders>
            <w:vAlign w:val="bottom"/>
          </w:tcPr>
          <w:p w14:paraId="590B66B4"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p>
        </w:tc>
        <w:tc>
          <w:tcPr>
            <w:tcW w:w="650" w:type="pct"/>
            <w:tcBorders>
              <w:top w:val="single" w:sz="4" w:space="0" w:color="auto"/>
              <w:left w:val="nil"/>
              <w:right w:val="nil"/>
            </w:tcBorders>
            <w:noWrap/>
            <w:vAlign w:val="bottom"/>
            <w:hideMark/>
          </w:tcPr>
          <w:p w14:paraId="256FE0B5"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w:t>
            </w:r>
          </w:p>
        </w:tc>
        <w:tc>
          <w:tcPr>
            <w:tcW w:w="483" w:type="pct"/>
            <w:tcBorders>
              <w:top w:val="single" w:sz="4" w:space="0" w:color="auto"/>
              <w:left w:val="nil"/>
              <w:right w:val="nil"/>
            </w:tcBorders>
            <w:noWrap/>
            <w:vAlign w:val="bottom"/>
            <w:hideMark/>
          </w:tcPr>
          <w:p w14:paraId="500C4703"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w:t>
            </w:r>
          </w:p>
        </w:tc>
      </w:tr>
      <w:tr w:rsidR="004D5D50" w:rsidRPr="00A93911" w14:paraId="1F282708" w14:textId="77777777" w:rsidTr="004A2E8B">
        <w:tc>
          <w:tcPr>
            <w:tcW w:w="856" w:type="pct"/>
            <w:tcBorders>
              <w:left w:val="nil"/>
              <w:bottom w:val="nil"/>
              <w:right w:val="nil"/>
            </w:tcBorders>
            <w:noWrap/>
            <w:vAlign w:val="bottom"/>
            <w:hideMark/>
          </w:tcPr>
          <w:p w14:paraId="49DD8855"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p>
        </w:tc>
        <w:tc>
          <w:tcPr>
            <w:tcW w:w="610" w:type="pct"/>
            <w:tcBorders>
              <w:left w:val="nil"/>
              <w:right w:val="nil"/>
            </w:tcBorders>
            <w:vAlign w:val="bottom"/>
          </w:tcPr>
          <w:p w14:paraId="52C40949"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left w:val="nil"/>
              <w:bottom w:val="single" w:sz="4" w:space="0" w:color="auto"/>
              <w:right w:val="nil"/>
            </w:tcBorders>
            <w:noWrap/>
            <w:vAlign w:val="bottom"/>
            <w:hideMark/>
          </w:tcPr>
          <w:p w14:paraId="45A50F49"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Low</w:t>
            </w:r>
          </w:p>
        </w:tc>
        <w:tc>
          <w:tcPr>
            <w:tcW w:w="524" w:type="pct"/>
            <w:tcBorders>
              <w:left w:val="nil"/>
              <w:bottom w:val="single" w:sz="4" w:space="0" w:color="auto"/>
              <w:right w:val="nil"/>
            </w:tcBorders>
            <w:noWrap/>
            <w:vAlign w:val="bottom"/>
            <w:hideMark/>
          </w:tcPr>
          <w:p w14:paraId="68482E39"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2</w:t>
            </w:r>
          </w:p>
        </w:tc>
        <w:tc>
          <w:tcPr>
            <w:tcW w:w="571" w:type="pct"/>
            <w:tcBorders>
              <w:left w:val="nil"/>
              <w:bottom w:val="single" w:sz="4" w:space="0" w:color="auto"/>
              <w:right w:val="nil"/>
            </w:tcBorders>
            <w:noWrap/>
            <w:vAlign w:val="bottom"/>
            <w:hideMark/>
          </w:tcPr>
          <w:p w14:paraId="34221E38"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3</w:t>
            </w:r>
          </w:p>
        </w:tc>
        <w:tc>
          <w:tcPr>
            <w:tcW w:w="660" w:type="pct"/>
            <w:tcBorders>
              <w:left w:val="nil"/>
              <w:bottom w:val="single" w:sz="4" w:space="0" w:color="auto"/>
              <w:right w:val="nil"/>
            </w:tcBorders>
            <w:noWrap/>
            <w:vAlign w:val="bottom"/>
            <w:hideMark/>
          </w:tcPr>
          <w:p w14:paraId="1BEE1832"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High</w:t>
            </w:r>
          </w:p>
        </w:tc>
        <w:tc>
          <w:tcPr>
            <w:tcW w:w="122" w:type="pct"/>
            <w:tcBorders>
              <w:left w:val="nil"/>
              <w:bottom w:val="single" w:sz="4" w:space="0" w:color="auto"/>
              <w:right w:val="nil"/>
            </w:tcBorders>
            <w:vAlign w:val="bottom"/>
          </w:tcPr>
          <w:p w14:paraId="18230571"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left w:val="nil"/>
              <w:bottom w:val="single" w:sz="4" w:space="0" w:color="auto"/>
              <w:right w:val="nil"/>
            </w:tcBorders>
            <w:noWrap/>
            <w:vAlign w:val="bottom"/>
            <w:hideMark/>
          </w:tcPr>
          <w:p w14:paraId="12947A46"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High</w:t>
            </w:r>
            <w:r>
              <w:rPr>
                <w:rFonts w:ascii="Times New Roman" w:eastAsia="Times New Roman" w:hAnsi="Times New Roman" w:cs="Times New Roman"/>
                <w:color w:val="000000"/>
                <w:sz w:val="20"/>
                <w:szCs w:val="20"/>
                <w:lang w:eastAsia="en-GB"/>
              </w:rPr>
              <w:t xml:space="preserve"> –</w:t>
            </w:r>
            <w:r w:rsidRPr="00A93911">
              <w:rPr>
                <w:rFonts w:ascii="Times New Roman" w:eastAsia="Times New Roman" w:hAnsi="Times New Roman" w:cs="Times New Roman"/>
                <w:color w:val="000000"/>
                <w:sz w:val="20"/>
                <w:szCs w:val="20"/>
                <w:lang w:eastAsia="en-GB"/>
              </w:rPr>
              <w:t xml:space="preserve"> Low</w:t>
            </w:r>
          </w:p>
        </w:tc>
        <w:tc>
          <w:tcPr>
            <w:tcW w:w="483" w:type="pct"/>
            <w:tcBorders>
              <w:left w:val="nil"/>
              <w:bottom w:val="single" w:sz="4" w:space="0" w:color="auto"/>
              <w:right w:val="nil"/>
            </w:tcBorders>
            <w:noWrap/>
            <w:vAlign w:val="bottom"/>
            <w:hideMark/>
          </w:tcPr>
          <w:p w14:paraId="65238813"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i/>
                <w:iCs/>
                <w:color w:val="000000"/>
                <w:sz w:val="20"/>
                <w:szCs w:val="20"/>
                <w:lang w:eastAsia="en-GB"/>
              </w:rPr>
              <w:t>p</w:t>
            </w:r>
            <w:r w:rsidRPr="00A93911">
              <w:rPr>
                <w:rFonts w:ascii="Times New Roman" w:eastAsia="Times New Roman" w:hAnsi="Times New Roman" w:cs="Times New Roman"/>
                <w:color w:val="000000"/>
                <w:sz w:val="20"/>
                <w:szCs w:val="20"/>
                <w:lang w:eastAsia="en-GB"/>
              </w:rPr>
              <w:t>-value</w:t>
            </w:r>
          </w:p>
        </w:tc>
      </w:tr>
      <w:tr w:rsidR="004D5D50" w:rsidRPr="00A93911" w14:paraId="04020A9C" w14:textId="77777777" w:rsidTr="004A2E8B">
        <w:tc>
          <w:tcPr>
            <w:tcW w:w="856" w:type="pct"/>
            <w:tcBorders>
              <w:top w:val="nil"/>
              <w:left w:val="nil"/>
              <w:bottom w:val="nil"/>
              <w:right w:val="nil"/>
            </w:tcBorders>
            <w:noWrap/>
            <w:vAlign w:val="bottom"/>
            <w:hideMark/>
          </w:tcPr>
          <w:p w14:paraId="626E277C" w14:textId="77777777" w:rsidR="004D5D50" w:rsidRPr="00A93911" w:rsidRDefault="004D5D50" w:rsidP="004A2E8B">
            <w:pPr>
              <w:spacing w:after="0"/>
              <w:rPr>
                <w:rFonts w:ascii="Times New Roman" w:eastAsia="Times New Roman" w:hAnsi="Times New Roman" w:cs="Times New Roman"/>
                <w:i/>
                <w:iCs/>
                <w:color w:val="000000"/>
                <w:sz w:val="20"/>
                <w:szCs w:val="20"/>
                <w:u w:val="single"/>
                <w:lang w:eastAsia="en-GB"/>
              </w:rPr>
            </w:pPr>
            <w:r w:rsidRPr="00A93911">
              <w:rPr>
                <w:rFonts w:ascii="Times New Roman" w:eastAsia="Times New Roman" w:hAnsi="Times New Roman" w:cs="Times New Roman"/>
                <w:iCs/>
                <w:color w:val="000000"/>
                <w:sz w:val="20"/>
                <w:szCs w:val="20"/>
                <w:u w:val="single"/>
                <w:lang w:eastAsia="en-CA"/>
              </w:rPr>
              <w:t>Price-to-book</w:t>
            </w:r>
          </w:p>
        </w:tc>
        <w:tc>
          <w:tcPr>
            <w:tcW w:w="610" w:type="pct"/>
            <w:tcBorders>
              <w:top w:val="nil"/>
              <w:left w:val="nil"/>
              <w:bottom w:val="single" w:sz="4" w:space="0" w:color="auto"/>
              <w:right w:val="nil"/>
            </w:tcBorders>
            <w:vAlign w:val="bottom"/>
          </w:tcPr>
          <w:p w14:paraId="36EDA820"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Exp.</w:t>
            </w:r>
            <w:r w:rsidRPr="00A93911">
              <w:rPr>
                <w:rFonts w:ascii="Times New Roman" w:eastAsia="Times New Roman" w:hAnsi="Times New Roman" w:cs="Times New Roman"/>
                <w:color w:val="000000"/>
                <w:sz w:val="20"/>
                <w:szCs w:val="20"/>
                <w:lang w:eastAsia="en-GB"/>
              </w:rPr>
              <w:t xml:space="preserve"> Sign</w:t>
            </w:r>
          </w:p>
        </w:tc>
        <w:tc>
          <w:tcPr>
            <w:tcW w:w="524" w:type="pct"/>
            <w:tcBorders>
              <w:top w:val="single" w:sz="4" w:space="0" w:color="auto"/>
              <w:left w:val="nil"/>
              <w:bottom w:val="nil"/>
              <w:right w:val="nil"/>
            </w:tcBorders>
            <w:noWrap/>
            <w:vAlign w:val="bottom"/>
            <w:hideMark/>
          </w:tcPr>
          <w:p w14:paraId="56579290" w14:textId="77777777" w:rsidR="004D5D50" w:rsidRPr="00A93911" w:rsidRDefault="004D5D50" w:rsidP="004A2E8B">
            <w:pPr>
              <w:spacing w:after="0"/>
              <w:rPr>
                <w:rFonts w:ascii="Times New Roman" w:eastAsia="Times New Roman" w:hAnsi="Times New Roman" w:cs="Times New Roman"/>
                <w:i/>
                <w:iCs/>
                <w:color w:val="000000"/>
                <w:sz w:val="20"/>
                <w:szCs w:val="20"/>
                <w:lang w:eastAsia="en-GB"/>
              </w:rPr>
            </w:pPr>
          </w:p>
        </w:tc>
        <w:tc>
          <w:tcPr>
            <w:tcW w:w="524" w:type="pct"/>
            <w:tcBorders>
              <w:top w:val="single" w:sz="4" w:space="0" w:color="auto"/>
              <w:left w:val="nil"/>
              <w:bottom w:val="nil"/>
              <w:right w:val="nil"/>
            </w:tcBorders>
            <w:noWrap/>
            <w:vAlign w:val="bottom"/>
            <w:hideMark/>
          </w:tcPr>
          <w:p w14:paraId="789E8E54" w14:textId="77777777" w:rsidR="004D5D50" w:rsidRPr="00A93911" w:rsidRDefault="004D5D50" w:rsidP="004A2E8B">
            <w:pPr>
              <w:spacing w:after="0"/>
              <w:jc w:val="center"/>
              <w:rPr>
                <w:rFonts w:ascii="Times New Roman" w:eastAsia="Times New Roman" w:hAnsi="Times New Roman" w:cs="Times New Roman"/>
                <w:sz w:val="20"/>
                <w:szCs w:val="20"/>
                <w:lang w:eastAsia="en-GB"/>
              </w:rPr>
            </w:pPr>
          </w:p>
        </w:tc>
        <w:tc>
          <w:tcPr>
            <w:tcW w:w="571" w:type="pct"/>
            <w:tcBorders>
              <w:top w:val="single" w:sz="4" w:space="0" w:color="auto"/>
              <w:left w:val="nil"/>
              <w:bottom w:val="nil"/>
              <w:right w:val="nil"/>
            </w:tcBorders>
            <w:noWrap/>
            <w:vAlign w:val="bottom"/>
            <w:hideMark/>
          </w:tcPr>
          <w:p w14:paraId="75C71B8E" w14:textId="77777777" w:rsidR="004D5D50" w:rsidRPr="00A93911" w:rsidRDefault="004D5D50" w:rsidP="004A2E8B">
            <w:pPr>
              <w:spacing w:after="0"/>
              <w:jc w:val="center"/>
              <w:rPr>
                <w:rFonts w:ascii="Times New Roman" w:eastAsia="Times New Roman" w:hAnsi="Times New Roman" w:cs="Times New Roman"/>
                <w:sz w:val="20"/>
                <w:szCs w:val="20"/>
                <w:lang w:eastAsia="en-GB"/>
              </w:rPr>
            </w:pPr>
          </w:p>
        </w:tc>
        <w:tc>
          <w:tcPr>
            <w:tcW w:w="660" w:type="pct"/>
            <w:tcBorders>
              <w:top w:val="single" w:sz="4" w:space="0" w:color="auto"/>
              <w:left w:val="nil"/>
              <w:bottom w:val="nil"/>
              <w:right w:val="nil"/>
            </w:tcBorders>
            <w:noWrap/>
            <w:vAlign w:val="bottom"/>
            <w:hideMark/>
          </w:tcPr>
          <w:p w14:paraId="72791E47" w14:textId="77777777" w:rsidR="004D5D50" w:rsidRPr="00A93911" w:rsidRDefault="004D5D50" w:rsidP="004A2E8B">
            <w:pPr>
              <w:spacing w:after="0"/>
              <w:jc w:val="center"/>
              <w:rPr>
                <w:rFonts w:ascii="Times New Roman" w:eastAsia="Times New Roman" w:hAnsi="Times New Roman" w:cs="Times New Roman"/>
                <w:sz w:val="20"/>
                <w:szCs w:val="20"/>
                <w:lang w:eastAsia="en-GB"/>
              </w:rPr>
            </w:pPr>
          </w:p>
        </w:tc>
        <w:tc>
          <w:tcPr>
            <w:tcW w:w="122" w:type="pct"/>
            <w:tcBorders>
              <w:top w:val="single" w:sz="4" w:space="0" w:color="auto"/>
              <w:left w:val="nil"/>
              <w:bottom w:val="nil"/>
              <w:right w:val="nil"/>
            </w:tcBorders>
            <w:vAlign w:val="bottom"/>
          </w:tcPr>
          <w:p w14:paraId="2B8B8833" w14:textId="77777777" w:rsidR="004D5D50" w:rsidRPr="00A93911" w:rsidRDefault="004D5D50" w:rsidP="004A2E8B">
            <w:pPr>
              <w:spacing w:after="0"/>
              <w:jc w:val="center"/>
              <w:rPr>
                <w:rFonts w:ascii="Times New Roman" w:eastAsia="Times New Roman" w:hAnsi="Times New Roman" w:cs="Times New Roman"/>
                <w:sz w:val="20"/>
                <w:szCs w:val="20"/>
                <w:lang w:eastAsia="en-GB"/>
              </w:rPr>
            </w:pPr>
          </w:p>
        </w:tc>
        <w:tc>
          <w:tcPr>
            <w:tcW w:w="650" w:type="pct"/>
            <w:tcBorders>
              <w:top w:val="single" w:sz="4" w:space="0" w:color="auto"/>
              <w:left w:val="nil"/>
              <w:bottom w:val="nil"/>
              <w:right w:val="nil"/>
            </w:tcBorders>
            <w:noWrap/>
            <w:vAlign w:val="bottom"/>
            <w:hideMark/>
          </w:tcPr>
          <w:p w14:paraId="22F4D07D" w14:textId="77777777" w:rsidR="004D5D50" w:rsidRPr="00A93911" w:rsidRDefault="004D5D50" w:rsidP="004A2E8B">
            <w:pPr>
              <w:spacing w:after="0"/>
              <w:jc w:val="center"/>
              <w:rPr>
                <w:rFonts w:ascii="Times New Roman" w:eastAsia="Times New Roman" w:hAnsi="Times New Roman" w:cs="Times New Roman"/>
                <w:sz w:val="20"/>
                <w:szCs w:val="20"/>
                <w:lang w:eastAsia="en-GB"/>
              </w:rPr>
            </w:pPr>
          </w:p>
        </w:tc>
        <w:tc>
          <w:tcPr>
            <w:tcW w:w="483" w:type="pct"/>
            <w:tcBorders>
              <w:top w:val="single" w:sz="4" w:space="0" w:color="auto"/>
              <w:left w:val="nil"/>
              <w:bottom w:val="nil"/>
              <w:right w:val="nil"/>
            </w:tcBorders>
            <w:noWrap/>
            <w:vAlign w:val="bottom"/>
            <w:hideMark/>
          </w:tcPr>
          <w:p w14:paraId="24EF1B96" w14:textId="77777777" w:rsidR="004D5D50" w:rsidRPr="00A93911" w:rsidRDefault="004D5D50" w:rsidP="004A2E8B">
            <w:pPr>
              <w:spacing w:after="0"/>
              <w:rPr>
                <w:rFonts w:ascii="Times New Roman" w:eastAsia="Times New Roman" w:hAnsi="Times New Roman" w:cs="Times New Roman"/>
                <w:sz w:val="20"/>
                <w:szCs w:val="20"/>
                <w:lang w:eastAsia="en-GB"/>
              </w:rPr>
            </w:pPr>
          </w:p>
        </w:tc>
      </w:tr>
      <w:tr w:rsidR="004D5D50" w:rsidRPr="007B5B91" w14:paraId="7CE47EF6" w14:textId="77777777" w:rsidTr="004A2E8B">
        <w:tc>
          <w:tcPr>
            <w:tcW w:w="856" w:type="pct"/>
            <w:tcBorders>
              <w:top w:val="nil"/>
              <w:left w:val="nil"/>
              <w:bottom w:val="nil"/>
              <w:right w:val="nil"/>
            </w:tcBorders>
            <w:noWrap/>
            <w:vAlign w:val="bottom"/>
            <w:hideMark/>
          </w:tcPr>
          <w:p w14:paraId="5D5DB03A"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Low</w:t>
            </w:r>
          </w:p>
        </w:tc>
        <w:tc>
          <w:tcPr>
            <w:tcW w:w="610" w:type="pct"/>
            <w:tcBorders>
              <w:top w:val="single" w:sz="4" w:space="0" w:color="auto"/>
              <w:left w:val="nil"/>
              <w:bottom w:val="nil"/>
              <w:right w:val="nil"/>
            </w:tcBorders>
            <w:vAlign w:val="bottom"/>
          </w:tcPr>
          <w:p w14:paraId="6E3E8BB1"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nil"/>
              <w:right w:val="nil"/>
            </w:tcBorders>
            <w:noWrap/>
            <w:vAlign w:val="bottom"/>
            <w:hideMark/>
          </w:tcPr>
          <w:p w14:paraId="7081F158"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50.536</w:t>
            </w:r>
          </w:p>
        </w:tc>
        <w:tc>
          <w:tcPr>
            <w:tcW w:w="524" w:type="pct"/>
            <w:tcBorders>
              <w:top w:val="nil"/>
              <w:left w:val="nil"/>
              <w:bottom w:val="nil"/>
              <w:right w:val="nil"/>
            </w:tcBorders>
            <w:noWrap/>
            <w:vAlign w:val="bottom"/>
            <w:hideMark/>
          </w:tcPr>
          <w:p w14:paraId="4414BA79"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38.444</w:t>
            </w:r>
          </w:p>
        </w:tc>
        <w:tc>
          <w:tcPr>
            <w:tcW w:w="571" w:type="pct"/>
            <w:tcBorders>
              <w:top w:val="nil"/>
              <w:left w:val="nil"/>
              <w:bottom w:val="nil"/>
              <w:right w:val="nil"/>
            </w:tcBorders>
            <w:noWrap/>
            <w:vAlign w:val="bottom"/>
            <w:hideMark/>
          </w:tcPr>
          <w:p w14:paraId="6A429762"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31.415</w:t>
            </w:r>
          </w:p>
        </w:tc>
        <w:tc>
          <w:tcPr>
            <w:tcW w:w="660" w:type="pct"/>
            <w:tcBorders>
              <w:top w:val="nil"/>
              <w:left w:val="nil"/>
              <w:bottom w:val="nil"/>
              <w:right w:val="nil"/>
            </w:tcBorders>
            <w:noWrap/>
            <w:vAlign w:val="bottom"/>
            <w:hideMark/>
          </w:tcPr>
          <w:p w14:paraId="17B68C3B"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29.033</w:t>
            </w:r>
          </w:p>
        </w:tc>
        <w:tc>
          <w:tcPr>
            <w:tcW w:w="122" w:type="pct"/>
            <w:tcBorders>
              <w:top w:val="nil"/>
              <w:left w:val="nil"/>
              <w:bottom w:val="nil"/>
              <w:right w:val="nil"/>
            </w:tcBorders>
            <w:vAlign w:val="bottom"/>
          </w:tcPr>
          <w:p w14:paraId="512E700D"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bottom w:val="nil"/>
              <w:right w:val="nil"/>
            </w:tcBorders>
            <w:noWrap/>
            <w:vAlign w:val="bottom"/>
            <w:hideMark/>
          </w:tcPr>
          <w:p w14:paraId="7D8D7A89"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-21.503</w:t>
            </w:r>
            <w:r>
              <w:rPr>
                <w:rFonts w:ascii="Times New Roman" w:eastAsia="Times New Roman" w:hAnsi="Times New Roman" w:cs="Times New Roman"/>
                <w:color w:val="000000"/>
                <w:sz w:val="20"/>
                <w:szCs w:val="20"/>
                <w:lang w:eastAsia="en-GB"/>
              </w:rPr>
              <w:t>***</w:t>
            </w:r>
          </w:p>
        </w:tc>
        <w:tc>
          <w:tcPr>
            <w:tcW w:w="483" w:type="pct"/>
            <w:tcBorders>
              <w:top w:val="nil"/>
              <w:left w:val="nil"/>
              <w:bottom w:val="nil"/>
              <w:right w:val="nil"/>
            </w:tcBorders>
            <w:noWrap/>
            <w:vAlign w:val="bottom"/>
            <w:hideMark/>
          </w:tcPr>
          <w:p w14:paraId="37A2D57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7B5B91" w14:paraId="284028D6" w14:textId="77777777" w:rsidTr="004A2E8B">
        <w:tc>
          <w:tcPr>
            <w:tcW w:w="856" w:type="pct"/>
            <w:tcBorders>
              <w:top w:val="nil"/>
              <w:left w:val="nil"/>
              <w:bottom w:val="nil"/>
              <w:right w:val="nil"/>
            </w:tcBorders>
            <w:noWrap/>
            <w:vAlign w:val="bottom"/>
            <w:hideMark/>
          </w:tcPr>
          <w:p w14:paraId="64E794CF"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2</w:t>
            </w:r>
          </w:p>
        </w:tc>
        <w:tc>
          <w:tcPr>
            <w:tcW w:w="610" w:type="pct"/>
            <w:tcBorders>
              <w:top w:val="nil"/>
              <w:left w:val="nil"/>
              <w:bottom w:val="nil"/>
              <w:right w:val="nil"/>
            </w:tcBorders>
            <w:vAlign w:val="bottom"/>
          </w:tcPr>
          <w:p w14:paraId="2344A357"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nil"/>
              <w:right w:val="nil"/>
            </w:tcBorders>
            <w:noWrap/>
            <w:vAlign w:val="bottom"/>
            <w:hideMark/>
          </w:tcPr>
          <w:p w14:paraId="1B3B07C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52.734</w:t>
            </w:r>
          </w:p>
        </w:tc>
        <w:tc>
          <w:tcPr>
            <w:tcW w:w="524" w:type="pct"/>
            <w:tcBorders>
              <w:top w:val="nil"/>
              <w:left w:val="nil"/>
              <w:bottom w:val="nil"/>
              <w:right w:val="nil"/>
            </w:tcBorders>
            <w:noWrap/>
            <w:vAlign w:val="bottom"/>
            <w:hideMark/>
          </w:tcPr>
          <w:p w14:paraId="42A6994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37.153</w:t>
            </w:r>
          </w:p>
        </w:tc>
        <w:tc>
          <w:tcPr>
            <w:tcW w:w="571" w:type="pct"/>
            <w:tcBorders>
              <w:top w:val="nil"/>
              <w:left w:val="nil"/>
              <w:bottom w:val="nil"/>
              <w:right w:val="nil"/>
            </w:tcBorders>
            <w:noWrap/>
            <w:vAlign w:val="bottom"/>
            <w:hideMark/>
          </w:tcPr>
          <w:p w14:paraId="0C537B9C"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29.334</w:t>
            </w:r>
          </w:p>
        </w:tc>
        <w:tc>
          <w:tcPr>
            <w:tcW w:w="660" w:type="pct"/>
            <w:tcBorders>
              <w:top w:val="nil"/>
              <w:left w:val="nil"/>
              <w:bottom w:val="nil"/>
              <w:right w:val="nil"/>
            </w:tcBorders>
            <w:noWrap/>
            <w:vAlign w:val="bottom"/>
            <w:hideMark/>
          </w:tcPr>
          <w:p w14:paraId="79B9CD56"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25.391</w:t>
            </w:r>
          </w:p>
        </w:tc>
        <w:tc>
          <w:tcPr>
            <w:tcW w:w="122" w:type="pct"/>
            <w:tcBorders>
              <w:top w:val="nil"/>
              <w:left w:val="nil"/>
              <w:bottom w:val="nil"/>
              <w:right w:val="nil"/>
            </w:tcBorders>
            <w:vAlign w:val="bottom"/>
          </w:tcPr>
          <w:p w14:paraId="680748E3"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bottom w:val="nil"/>
              <w:right w:val="nil"/>
            </w:tcBorders>
            <w:noWrap/>
            <w:vAlign w:val="bottom"/>
            <w:hideMark/>
          </w:tcPr>
          <w:p w14:paraId="7A8414FD"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-27.343</w:t>
            </w:r>
            <w:r>
              <w:rPr>
                <w:rFonts w:ascii="Times New Roman" w:eastAsia="Times New Roman" w:hAnsi="Times New Roman" w:cs="Times New Roman"/>
                <w:color w:val="000000"/>
                <w:sz w:val="20"/>
                <w:szCs w:val="20"/>
                <w:lang w:eastAsia="en-GB"/>
              </w:rPr>
              <w:t>***</w:t>
            </w:r>
          </w:p>
        </w:tc>
        <w:tc>
          <w:tcPr>
            <w:tcW w:w="483" w:type="pct"/>
            <w:tcBorders>
              <w:top w:val="nil"/>
              <w:left w:val="nil"/>
              <w:bottom w:val="nil"/>
              <w:right w:val="nil"/>
            </w:tcBorders>
            <w:noWrap/>
            <w:vAlign w:val="bottom"/>
            <w:hideMark/>
          </w:tcPr>
          <w:p w14:paraId="382616A9"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7B5B91" w14:paraId="7133DA3F" w14:textId="77777777" w:rsidTr="004A2E8B">
        <w:tc>
          <w:tcPr>
            <w:tcW w:w="856" w:type="pct"/>
            <w:tcBorders>
              <w:top w:val="nil"/>
              <w:left w:val="nil"/>
              <w:bottom w:val="nil"/>
              <w:right w:val="nil"/>
            </w:tcBorders>
            <w:noWrap/>
            <w:vAlign w:val="bottom"/>
            <w:hideMark/>
          </w:tcPr>
          <w:p w14:paraId="406B729C"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3</w:t>
            </w:r>
          </w:p>
        </w:tc>
        <w:tc>
          <w:tcPr>
            <w:tcW w:w="610" w:type="pct"/>
            <w:tcBorders>
              <w:top w:val="nil"/>
              <w:left w:val="nil"/>
              <w:bottom w:val="nil"/>
              <w:right w:val="nil"/>
            </w:tcBorders>
            <w:vAlign w:val="bottom"/>
          </w:tcPr>
          <w:p w14:paraId="75188E7B"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nil"/>
              <w:right w:val="nil"/>
            </w:tcBorders>
            <w:noWrap/>
            <w:vAlign w:val="bottom"/>
            <w:hideMark/>
          </w:tcPr>
          <w:p w14:paraId="4A1EED48"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50.185</w:t>
            </w:r>
          </w:p>
        </w:tc>
        <w:tc>
          <w:tcPr>
            <w:tcW w:w="524" w:type="pct"/>
            <w:tcBorders>
              <w:top w:val="nil"/>
              <w:left w:val="nil"/>
              <w:bottom w:val="nil"/>
              <w:right w:val="nil"/>
            </w:tcBorders>
            <w:noWrap/>
            <w:vAlign w:val="bottom"/>
            <w:hideMark/>
          </w:tcPr>
          <w:p w14:paraId="1F81D2E0"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34.165</w:t>
            </w:r>
          </w:p>
        </w:tc>
        <w:tc>
          <w:tcPr>
            <w:tcW w:w="571" w:type="pct"/>
            <w:tcBorders>
              <w:top w:val="nil"/>
              <w:left w:val="nil"/>
              <w:bottom w:val="nil"/>
              <w:right w:val="nil"/>
            </w:tcBorders>
            <w:noWrap/>
            <w:vAlign w:val="bottom"/>
            <w:hideMark/>
          </w:tcPr>
          <w:p w14:paraId="5283AE8B"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24.642</w:t>
            </w:r>
          </w:p>
        </w:tc>
        <w:tc>
          <w:tcPr>
            <w:tcW w:w="660" w:type="pct"/>
            <w:tcBorders>
              <w:top w:val="nil"/>
              <w:left w:val="nil"/>
              <w:bottom w:val="nil"/>
              <w:right w:val="nil"/>
            </w:tcBorders>
            <w:noWrap/>
            <w:vAlign w:val="bottom"/>
            <w:hideMark/>
          </w:tcPr>
          <w:p w14:paraId="20CBFC2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20.989</w:t>
            </w:r>
          </w:p>
        </w:tc>
        <w:tc>
          <w:tcPr>
            <w:tcW w:w="122" w:type="pct"/>
            <w:tcBorders>
              <w:top w:val="nil"/>
              <w:left w:val="nil"/>
              <w:bottom w:val="nil"/>
              <w:right w:val="nil"/>
            </w:tcBorders>
            <w:vAlign w:val="bottom"/>
          </w:tcPr>
          <w:p w14:paraId="4C959FC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bottom w:val="nil"/>
              <w:right w:val="nil"/>
            </w:tcBorders>
            <w:noWrap/>
            <w:vAlign w:val="bottom"/>
            <w:hideMark/>
          </w:tcPr>
          <w:p w14:paraId="231FDBA1"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-29.196</w:t>
            </w:r>
            <w:r>
              <w:rPr>
                <w:rFonts w:ascii="Times New Roman" w:eastAsia="Times New Roman" w:hAnsi="Times New Roman" w:cs="Times New Roman"/>
                <w:color w:val="000000"/>
                <w:sz w:val="20"/>
                <w:szCs w:val="20"/>
                <w:lang w:eastAsia="en-GB"/>
              </w:rPr>
              <w:t>***</w:t>
            </w:r>
          </w:p>
        </w:tc>
        <w:tc>
          <w:tcPr>
            <w:tcW w:w="483" w:type="pct"/>
            <w:tcBorders>
              <w:top w:val="nil"/>
              <w:left w:val="nil"/>
              <w:bottom w:val="nil"/>
              <w:right w:val="nil"/>
            </w:tcBorders>
            <w:noWrap/>
            <w:vAlign w:val="bottom"/>
            <w:hideMark/>
          </w:tcPr>
          <w:p w14:paraId="183981C3"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7B5B91" w14:paraId="4875005F" w14:textId="77777777" w:rsidTr="004A2E8B">
        <w:tc>
          <w:tcPr>
            <w:tcW w:w="856" w:type="pct"/>
            <w:tcBorders>
              <w:top w:val="nil"/>
              <w:left w:val="nil"/>
              <w:bottom w:val="nil"/>
              <w:right w:val="nil"/>
            </w:tcBorders>
            <w:noWrap/>
            <w:vAlign w:val="bottom"/>
            <w:hideMark/>
          </w:tcPr>
          <w:p w14:paraId="6D489CDE"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High</w:t>
            </w:r>
          </w:p>
        </w:tc>
        <w:tc>
          <w:tcPr>
            <w:tcW w:w="610" w:type="pct"/>
            <w:tcBorders>
              <w:top w:val="nil"/>
              <w:left w:val="nil"/>
              <w:bottom w:val="nil"/>
              <w:right w:val="nil"/>
            </w:tcBorders>
            <w:vAlign w:val="bottom"/>
          </w:tcPr>
          <w:p w14:paraId="15B6E5C4"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nil"/>
              <w:right w:val="nil"/>
            </w:tcBorders>
            <w:noWrap/>
            <w:vAlign w:val="bottom"/>
            <w:hideMark/>
          </w:tcPr>
          <w:p w14:paraId="24994016"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42.687</w:t>
            </w:r>
          </w:p>
        </w:tc>
        <w:tc>
          <w:tcPr>
            <w:tcW w:w="524" w:type="pct"/>
            <w:tcBorders>
              <w:top w:val="nil"/>
              <w:left w:val="nil"/>
              <w:bottom w:val="nil"/>
              <w:right w:val="nil"/>
            </w:tcBorders>
            <w:noWrap/>
            <w:vAlign w:val="bottom"/>
            <w:hideMark/>
          </w:tcPr>
          <w:p w14:paraId="263C4218"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26.927</w:t>
            </w:r>
          </w:p>
        </w:tc>
        <w:tc>
          <w:tcPr>
            <w:tcW w:w="571" w:type="pct"/>
            <w:tcBorders>
              <w:top w:val="nil"/>
              <w:left w:val="nil"/>
              <w:bottom w:val="nil"/>
              <w:right w:val="nil"/>
            </w:tcBorders>
            <w:noWrap/>
            <w:vAlign w:val="bottom"/>
            <w:hideMark/>
          </w:tcPr>
          <w:p w14:paraId="70C04BBD"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20.433</w:t>
            </w:r>
          </w:p>
        </w:tc>
        <w:tc>
          <w:tcPr>
            <w:tcW w:w="660" w:type="pct"/>
            <w:tcBorders>
              <w:top w:val="nil"/>
              <w:left w:val="nil"/>
              <w:bottom w:val="nil"/>
              <w:right w:val="nil"/>
            </w:tcBorders>
            <w:noWrap/>
            <w:vAlign w:val="bottom"/>
            <w:hideMark/>
          </w:tcPr>
          <w:p w14:paraId="1C267445"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16.661</w:t>
            </w:r>
          </w:p>
        </w:tc>
        <w:tc>
          <w:tcPr>
            <w:tcW w:w="122" w:type="pct"/>
            <w:tcBorders>
              <w:top w:val="nil"/>
              <w:left w:val="nil"/>
              <w:bottom w:val="nil"/>
              <w:right w:val="nil"/>
            </w:tcBorders>
            <w:vAlign w:val="bottom"/>
          </w:tcPr>
          <w:p w14:paraId="0A47300B"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bottom w:val="nil"/>
              <w:right w:val="nil"/>
            </w:tcBorders>
            <w:noWrap/>
            <w:vAlign w:val="bottom"/>
            <w:hideMark/>
          </w:tcPr>
          <w:p w14:paraId="680AD994"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-26.026</w:t>
            </w:r>
            <w:r>
              <w:rPr>
                <w:rFonts w:ascii="Times New Roman" w:eastAsia="Times New Roman" w:hAnsi="Times New Roman" w:cs="Times New Roman"/>
                <w:color w:val="000000"/>
                <w:sz w:val="20"/>
                <w:szCs w:val="20"/>
                <w:lang w:eastAsia="en-GB"/>
              </w:rPr>
              <w:t>***</w:t>
            </w:r>
          </w:p>
        </w:tc>
        <w:tc>
          <w:tcPr>
            <w:tcW w:w="483" w:type="pct"/>
            <w:tcBorders>
              <w:top w:val="nil"/>
              <w:left w:val="nil"/>
              <w:bottom w:val="nil"/>
              <w:right w:val="nil"/>
            </w:tcBorders>
            <w:noWrap/>
            <w:vAlign w:val="bottom"/>
            <w:hideMark/>
          </w:tcPr>
          <w:p w14:paraId="0349FCD4"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7B5B91" w14:paraId="30153143" w14:textId="77777777" w:rsidTr="004A2E8B">
        <w:tc>
          <w:tcPr>
            <w:tcW w:w="856" w:type="pct"/>
            <w:tcBorders>
              <w:top w:val="nil"/>
              <w:left w:val="nil"/>
              <w:bottom w:val="nil"/>
              <w:right w:val="nil"/>
            </w:tcBorders>
            <w:noWrap/>
            <w:vAlign w:val="bottom"/>
          </w:tcPr>
          <w:p w14:paraId="4B9C0E8F"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p>
        </w:tc>
        <w:tc>
          <w:tcPr>
            <w:tcW w:w="610" w:type="pct"/>
            <w:tcBorders>
              <w:top w:val="nil"/>
              <w:left w:val="nil"/>
              <w:bottom w:val="nil"/>
              <w:right w:val="nil"/>
            </w:tcBorders>
            <w:vAlign w:val="bottom"/>
          </w:tcPr>
          <w:p w14:paraId="3CE770D2"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nil"/>
              <w:right w:val="nil"/>
            </w:tcBorders>
            <w:noWrap/>
            <w:vAlign w:val="bottom"/>
          </w:tcPr>
          <w:p w14:paraId="15DFFF35"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nil"/>
              <w:right w:val="nil"/>
            </w:tcBorders>
            <w:noWrap/>
            <w:vAlign w:val="bottom"/>
          </w:tcPr>
          <w:p w14:paraId="4D4E62B4"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571" w:type="pct"/>
            <w:tcBorders>
              <w:top w:val="nil"/>
              <w:left w:val="nil"/>
              <w:bottom w:val="nil"/>
              <w:right w:val="nil"/>
            </w:tcBorders>
            <w:noWrap/>
            <w:vAlign w:val="bottom"/>
          </w:tcPr>
          <w:p w14:paraId="532D740C"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60" w:type="pct"/>
            <w:tcBorders>
              <w:top w:val="nil"/>
              <w:left w:val="nil"/>
              <w:bottom w:val="nil"/>
              <w:right w:val="nil"/>
            </w:tcBorders>
            <w:noWrap/>
            <w:vAlign w:val="bottom"/>
          </w:tcPr>
          <w:p w14:paraId="11C9D657"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122" w:type="pct"/>
            <w:tcBorders>
              <w:top w:val="nil"/>
              <w:left w:val="nil"/>
              <w:bottom w:val="nil"/>
              <w:right w:val="nil"/>
            </w:tcBorders>
            <w:vAlign w:val="bottom"/>
          </w:tcPr>
          <w:p w14:paraId="07308341"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bottom w:val="nil"/>
              <w:right w:val="nil"/>
            </w:tcBorders>
            <w:noWrap/>
            <w:vAlign w:val="bottom"/>
          </w:tcPr>
          <w:p w14:paraId="6B27F834"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483" w:type="pct"/>
            <w:tcBorders>
              <w:top w:val="nil"/>
              <w:left w:val="nil"/>
              <w:bottom w:val="nil"/>
              <w:right w:val="nil"/>
            </w:tcBorders>
            <w:noWrap/>
            <w:vAlign w:val="bottom"/>
          </w:tcPr>
          <w:p w14:paraId="7769C771"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r>
      <w:tr w:rsidR="004D5D50" w:rsidRPr="007B5B91" w14:paraId="0D05F63D" w14:textId="77777777" w:rsidTr="004A2E8B">
        <w:tc>
          <w:tcPr>
            <w:tcW w:w="856" w:type="pct"/>
            <w:tcBorders>
              <w:top w:val="nil"/>
              <w:left w:val="nil"/>
              <w:right w:val="nil"/>
            </w:tcBorders>
            <w:noWrap/>
            <w:vAlign w:val="bottom"/>
            <w:hideMark/>
          </w:tcPr>
          <w:p w14:paraId="380FB0E1"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 xml:space="preserve">Low </w:t>
            </w:r>
            <w:r>
              <w:rPr>
                <w:rFonts w:ascii="Times New Roman" w:eastAsia="Times New Roman" w:hAnsi="Times New Roman" w:cs="Times New Roman"/>
                <w:color w:val="000000"/>
                <w:sz w:val="20"/>
                <w:szCs w:val="20"/>
                <w:lang w:eastAsia="en-GB"/>
              </w:rPr>
              <w:t>–</w:t>
            </w:r>
            <w:r w:rsidRPr="00A93911">
              <w:rPr>
                <w:rFonts w:ascii="Times New Roman" w:eastAsia="Times New Roman" w:hAnsi="Times New Roman" w:cs="Times New Roman"/>
                <w:color w:val="000000"/>
                <w:sz w:val="20"/>
                <w:szCs w:val="20"/>
                <w:lang w:eastAsia="en-GB"/>
              </w:rPr>
              <w:t xml:space="preserve"> High </w:t>
            </w:r>
          </w:p>
        </w:tc>
        <w:tc>
          <w:tcPr>
            <w:tcW w:w="610" w:type="pct"/>
            <w:tcBorders>
              <w:top w:val="nil"/>
              <w:left w:val="nil"/>
              <w:right w:val="nil"/>
            </w:tcBorders>
            <w:vAlign w:val="bottom"/>
          </w:tcPr>
          <w:p w14:paraId="4D0183E6"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color w:val="000000"/>
                <w:sz w:val="20"/>
                <w:szCs w:val="20"/>
                <w:lang w:eastAsia="en-GB"/>
              </w:rPr>
              <w:t>(</w:t>
            </w:r>
            <w:r>
              <w:rPr>
                <w:rFonts w:ascii="Times New Roman" w:eastAsia="Times New Roman" w:hAnsi="Times New Roman" w:cs="Times New Roman"/>
                <w:color w:val="000000"/>
                <w:sz w:val="20"/>
                <w:szCs w:val="20"/>
                <w:lang w:eastAsia="en-GB"/>
              </w:rPr>
              <w:t>–</w:t>
            </w:r>
            <w:r w:rsidRPr="00A93911">
              <w:rPr>
                <w:rFonts w:ascii="Times New Roman" w:eastAsia="Times New Roman" w:hAnsi="Times New Roman" w:cs="Times New Roman"/>
                <w:color w:val="000000"/>
                <w:sz w:val="20"/>
                <w:szCs w:val="20"/>
                <w:lang w:eastAsia="en-GB"/>
              </w:rPr>
              <w:t>)</w:t>
            </w:r>
          </w:p>
        </w:tc>
        <w:tc>
          <w:tcPr>
            <w:tcW w:w="524" w:type="pct"/>
            <w:tcBorders>
              <w:top w:val="nil"/>
              <w:left w:val="nil"/>
              <w:right w:val="nil"/>
            </w:tcBorders>
            <w:noWrap/>
            <w:vAlign w:val="bottom"/>
            <w:hideMark/>
          </w:tcPr>
          <w:p w14:paraId="4E2DF86E"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-7.850</w:t>
            </w:r>
            <w:r>
              <w:rPr>
                <w:rFonts w:ascii="Times New Roman" w:eastAsia="Times New Roman" w:hAnsi="Times New Roman" w:cs="Times New Roman"/>
                <w:color w:val="000000"/>
                <w:sz w:val="20"/>
                <w:szCs w:val="20"/>
                <w:lang w:eastAsia="en-GB"/>
              </w:rPr>
              <w:t>***</w:t>
            </w:r>
          </w:p>
        </w:tc>
        <w:tc>
          <w:tcPr>
            <w:tcW w:w="524" w:type="pct"/>
            <w:tcBorders>
              <w:top w:val="nil"/>
              <w:left w:val="nil"/>
              <w:right w:val="nil"/>
            </w:tcBorders>
            <w:noWrap/>
            <w:vAlign w:val="bottom"/>
            <w:hideMark/>
          </w:tcPr>
          <w:p w14:paraId="54A060B0"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-11.517</w:t>
            </w:r>
            <w:r>
              <w:rPr>
                <w:rFonts w:ascii="Times New Roman" w:eastAsia="Times New Roman" w:hAnsi="Times New Roman" w:cs="Times New Roman"/>
                <w:color w:val="000000"/>
                <w:sz w:val="20"/>
                <w:szCs w:val="20"/>
                <w:lang w:eastAsia="en-GB"/>
              </w:rPr>
              <w:t>***</w:t>
            </w:r>
          </w:p>
        </w:tc>
        <w:tc>
          <w:tcPr>
            <w:tcW w:w="571" w:type="pct"/>
            <w:tcBorders>
              <w:top w:val="nil"/>
              <w:left w:val="nil"/>
              <w:right w:val="nil"/>
            </w:tcBorders>
            <w:noWrap/>
            <w:vAlign w:val="bottom"/>
            <w:hideMark/>
          </w:tcPr>
          <w:p w14:paraId="27AA19C7"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-10.982</w:t>
            </w:r>
            <w:r>
              <w:rPr>
                <w:rFonts w:ascii="Times New Roman" w:eastAsia="Times New Roman" w:hAnsi="Times New Roman" w:cs="Times New Roman"/>
                <w:color w:val="000000"/>
                <w:sz w:val="20"/>
                <w:szCs w:val="20"/>
                <w:lang w:eastAsia="en-GB"/>
              </w:rPr>
              <w:t>***</w:t>
            </w:r>
          </w:p>
        </w:tc>
        <w:tc>
          <w:tcPr>
            <w:tcW w:w="660" w:type="pct"/>
            <w:tcBorders>
              <w:top w:val="nil"/>
              <w:left w:val="nil"/>
              <w:right w:val="nil"/>
            </w:tcBorders>
            <w:noWrap/>
            <w:vAlign w:val="bottom"/>
            <w:hideMark/>
          </w:tcPr>
          <w:p w14:paraId="43ABB8F7"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-12.372</w:t>
            </w:r>
            <w:r>
              <w:rPr>
                <w:rFonts w:ascii="Times New Roman" w:eastAsia="Times New Roman" w:hAnsi="Times New Roman" w:cs="Times New Roman"/>
                <w:color w:val="000000"/>
                <w:sz w:val="20"/>
                <w:szCs w:val="20"/>
                <w:lang w:eastAsia="en-GB"/>
              </w:rPr>
              <w:t>***</w:t>
            </w:r>
          </w:p>
        </w:tc>
        <w:tc>
          <w:tcPr>
            <w:tcW w:w="122" w:type="pct"/>
            <w:tcBorders>
              <w:top w:val="nil"/>
              <w:left w:val="nil"/>
              <w:right w:val="nil"/>
            </w:tcBorders>
            <w:vAlign w:val="bottom"/>
          </w:tcPr>
          <w:p w14:paraId="2DE3B51F"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right w:val="nil"/>
            </w:tcBorders>
            <w:noWrap/>
            <w:vAlign w:val="bottom"/>
            <w:hideMark/>
          </w:tcPr>
          <w:p w14:paraId="13A8347D"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sidRPr="007B5B91">
              <w:rPr>
                <w:rFonts w:ascii="Times New Roman" w:eastAsia="Times New Roman" w:hAnsi="Times New Roman" w:cs="Times New Roman"/>
                <w:color w:val="000000"/>
                <w:sz w:val="20"/>
                <w:szCs w:val="20"/>
                <w:lang w:eastAsia="en-GB"/>
              </w:rPr>
              <w:t>-4.522</w:t>
            </w:r>
            <w:r>
              <w:rPr>
                <w:rFonts w:ascii="Times New Roman" w:eastAsia="Times New Roman" w:hAnsi="Times New Roman" w:cs="Times New Roman"/>
                <w:color w:val="000000"/>
                <w:sz w:val="20"/>
                <w:szCs w:val="20"/>
                <w:lang w:eastAsia="en-GB"/>
              </w:rPr>
              <w:t>**</w:t>
            </w:r>
          </w:p>
        </w:tc>
        <w:tc>
          <w:tcPr>
            <w:tcW w:w="483" w:type="pct"/>
            <w:tcBorders>
              <w:top w:val="nil"/>
              <w:left w:val="nil"/>
              <w:right w:val="nil"/>
            </w:tcBorders>
            <w:noWrap/>
            <w:vAlign w:val="bottom"/>
            <w:hideMark/>
          </w:tcPr>
          <w:p w14:paraId="36F26B2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0.045</w:t>
            </w:r>
            <w:r>
              <w:rPr>
                <w:rFonts w:ascii="Times New Roman" w:eastAsia="Times New Roman" w:hAnsi="Times New Roman" w:cs="Times New Roman"/>
                <w:color w:val="000000"/>
                <w:sz w:val="20"/>
                <w:szCs w:val="20"/>
                <w:lang w:eastAsia="en-GB"/>
              </w:rPr>
              <w:t>)</w:t>
            </w:r>
          </w:p>
        </w:tc>
      </w:tr>
      <w:tr w:rsidR="004D5D50" w:rsidRPr="007B5B91" w14:paraId="62D13187" w14:textId="77777777" w:rsidTr="004A2E8B">
        <w:tc>
          <w:tcPr>
            <w:tcW w:w="856" w:type="pct"/>
            <w:tcBorders>
              <w:top w:val="nil"/>
              <w:left w:val="nil"/>
              <w:bottom w:val="single" w:sz="4" w:space="0" w:color="auto"/>
              <w:right w:val="nil"/>
            </w:tcBorders>
            <w:noWrap/>
            <w:vAlign w:val="bottom"/>
            <w:hideMark/>
          </w:tcPr>
          <w:p w14:paraId="38C43CAE" w14:textId="77777777" w:rsidR="004D5D50" w:rsidRPr="00A93911" w:rsidRDefault="004D5D50" w:rsidP="004A2E8B">
            <w:pPr>
              <w:spacing w:after="0"/>
              <w:rPr>
                <w:rFonts w:ascii="Times New Roman" w:eastAsia="Times New Roman" w:hAnsi="Times New Roman" w:cs="Times New Roman"/>
                <w:color w:val="000000"/>
                <w:sz w:val="20"/>
                <w:szCs w:val="20"/>
                <w:lang w:eastAsia="en-GB"/>
              </w:rPr>
            </w:pPr>
            <w:r w:rsidRPr="00A93911">
              <w:rPr>
                <w:rFonts w:ascii="Times New Roman" w:eastAsia="Times New Roman" w:hAnsi="Times New Roman" w:cs="Times New Roman"/>
                <w:i/>
                <w:iCs/>
                <w:color w:val="000000"/>
                <w:sz w:val="20"/>
                <w:szCs w:val="20"/>
                <w:lang w:eastAsia="en-GB"/>
              </w:rPr>
              <w:t>p</w:t>
            </w:r>
            <w:r w:rsidRPr="00A93911">
              <w:rPr>
                <w:rFonts w:ascii="Times New Roman" w:eastAsia="Times New Roman" w:hAnsi="Times New Roman" w:cs="Times New Roman"/>
                <w:color w:val="000000"/>
                <w:sz w:val="20"/>
                <w:szCs w:val="20"/>
                <w:lang w:eastAsia="en-GB"/>
              </w:rPr>
              <w:t>-value</w:t>
            </w:r>
          </w:p>
        </w:tc>
        <w:tc>
          <w:tcPr>
            <w:tcW w:w="610" w:type="pct"/>
            <w:tcBorders>
              <w:top w:val="nil"/>
              <w:left w:val="nil"/>
              <w:bottom w:val="single" w:sz="4" w:space="0" w:color="auto"/>
              <w:right w:val="nil"/>
            </w:tcBorders>
            <w:vAlign w:val="bottom"/>
          </w:tcPr>
          <w:p w14:paraId="5B58B3BB" w14:textId="77777777" w:rsidR="004D5D50" w:rsidRPr="00A93911" w:rsidRDefault="004D5D50" w:rsidP="004A2E8B">
            <w:pPr>
              <w:spacing w:after="0"/>
              <w:jc w:val="center"/>
              <w:rPr>
                <w:rFonts w:ascii="Times New Roman" w:eastAsia="Times New Roman" w:hAnsi="Times New Roman" w:cs="Times New Roman"/>
                <w:color w:val="000000"/>
                <w:sz w:val="20"/>
                <w:szCs w:val="20"/>
                <w:lang w:eastAsia="en-GB"/>
              </w:rPr>
            </w:pPr>
          </w:p>
        </w:tc>
        <w:tc>
          <w:tcPr>
            <w:tcW w:w="524" w:type="pct"/>
            <w:tcBorders>
              <w:top w:val="nil"/>
              <w:left w:val="nil"/>
              <w:bottom w:val="single" w:sz="4" w:space="0" w:color="auto"/>
              <w:right w:val="nil"/>
            </w:tcBorders>
            <w:noWrap/>
            <w:vAlign w:val="bottom"/>
            <w:hideMark/>
          </w:tcPr>
          <w:p w14:paraId="74F3E293"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0.001</w:t>
            </w:r>
            <w:r>
              <w:rPr>
                <w:rFonts w:ascii="Times New Roman" w:eastAsia="Times New Roman" w:hAnsi="Times New Roman" w:cs="Times New Roman"/>
                <w:color w:val="000000"/>
                <w:sz w:val="20"/>
                <w:szCs w:val="20"/>
                <w:lang w:eastAsia="en-GB"/>
              </w:rPr>
              <w:t>)</w:t>
            </w:r>
          </w:p>
        </w:tc>
        <w:tc>
          <w:tcPr>
            <w:tcW w:w="524" w:type="pct"/>
            <w:tcBorders>
              <w:top w:val="nil"/>
              <w:left w:val="nil"/>
              <w:bottom w:val="single" w:sz="4" w:space="0" w:color="auto"/>
              <w:right w:val="nil"/>
            </w:tcBorders>
            <w:noWrap/>
            <w:vAlign w:val="bottom"/>
            <w:hideMark/>
          </w:tcPr>
          <w:p w14:paraId="4B4812D8"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571" w:type="pct"/>
            <w:tcBorders>
              <w:top w:val="nil"/>
              <w:left w:val="nil"/>
              <w:bottom w:val="single" w:sz="4" w:space="0" w:color="auto"/>
              <w:right w:val="nil"/>
            </w:tcBorders>
            <w:noWrap/>
            <w:vAlign w:val="bottom"/>
            <w:hideMark/>
          </w:tcPr>
          <w:p w14:paraId="2707C29C"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660" w:type="pct"/>
            <w:tcBorders>
              <w:top w:val="nil"/>
              <w:left w:val="nil"/>
              <w:bottom w:val="single" w:sz="4" w:space="0" w:color="auto"/>
              <w:right w:val="nil"/>
            </w:tcBorders>
            <w:noWrap/>
            <w:vAlign w:val="bottom"/>
            <w:hideMark/>
          </w:tcPr>
          <w:p w14:paraId="6FC1A1DA"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7B5B91">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122" w:type="pct"/>
            <w:tcBorders>
              <w:top w:val="nil"/>
              <w:left w:val="nil"/>
              <w:bottom w:val="single" w:sz="4" w:space="0" w:color="auto"/>
              <w:right w:val="nil"/>
            </w:tcBorders>
            <w:vAlign w:val="bottom"/>
          </w:tcPr>
          <w:p w14:paraId="726B1776"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650" w:type="pct"/>
            <w:tcBorders>
              <w:top w:val="nil"/>
              <w:left w:val="nil"/>
              <w:bottom w:val="single" w:sz="4" w:space="0" w:color="auto"/>
              <w:right w:val="nil"/>
            </w:tcBorders>
            <w:noWrap/>
            <w:vAlign w:val="bottom"/>
            <w:hideMark/>
          </w:tcPr>
          <w:p w14:paraId="11700008" w14:textId="77777777" w:rsidR="004D5D50" w:rsidRPr="007B5B91" w:rsidRDefault="004D5D50" w:rsidP="004A2E8B">
            <w:pPr>
              <w:spacing w:after="0"/>
              <w:jc w:val="center"/>
              <w:rPr>
                <w:rFonts w:ascii="Times New Roman" w:eastAsia="Times New Roman" w:hAnsi="Times New Roman" w:cs="Times New Roman"/>
                <w:color w:val="000000"/>
                <w:sz w:val="20"/>
                <w:szCs w:val="20"/>
                <w:lang w:eastAsia="en-GB"/>
              </w:rPr>
            </w:pPr>
          </w:p>
        </w:tc>
        <w:tc>
          <w:tcPr>
            <w:tcW w:w="483" w:type="pct"/>
            <w:tcBorders>
              <w:top w:val="nil"/>
              <w:left w:val="nil"/>
              <w:bottom w:val="single" w:sz="4" w:space="0" w:color="auto"/>
              <w:right w:val="nil"/>
            </w:tcBorders>
            <w:noWrap/>
            <w:vAlign w:val="bottom"/>
            <w:hideMark/>
          </w:tcPr>
          <w:p w14:paraId="10BDF79E" w14:textId="77777777" w:rsidR="004D5D50" w:rsidRPr="007B5B91" w:rsidRDefault="004D5D50" w:rsidP="004A2E8B">
            <w:pPr>
              <w:spacing w:after="0"/>
              <w:jc w:val="center"/>
              <w:rPr>
                <w:rFonts w:ascii="Times New Roman" w:eastAsia="Times New Roman" w:hAnsi="Times New Roman" w:cs="Times New Roman"/>
                <w:sz w:val="20"/>
                <w:szCs w:val="20"/>
                <w:lang w:eastAsia="en-GB"/>
              </w:rPr>
            </w:pPr>
          </w:p>
        </w:tc>
      </w:tr>
    </w:tbl>
    <w:p w14:paraId="0E65ECAD" w14:textId="77777777" w:rsidR="004D5D50" w:rsidRPr="0085686F" w:rsidRDefault="004D5D50" w:rsidP="004D5D50">
      <w:pPr>
        <w:spacing w:before="240"/>
        <w:jc w:val="both"/>
        <w:rPr>
          <w:rFonts w:ascii="Times New Roman" w:hAnsi="Times New Roman" w:cs="Times New Roman"/>
          <w:sz w:val="20"/>
          <w:szCs w:val="20"/>
        </w:rPr>
      </w:pPr>
      <w:r>
        <w:rPr>
          <w:rFonts w:ascii="Times New Roman" w:hAnsi="Times New Roman" w:cs="Times New Roman"/>
          <w:sz w:val="20"/>
          <w:szCs w:val="20"/>
        </w:rPr>
        <w:t>Panel B: Double Sort with price-to-value</w:t>
      </w:r>
    </w:p>
    <w:tbl>
      <w:tblPr>
        <w:tblW w:w="5000" w:type="pct"/>
        <w:tblLook w:val="04A0" w:firstRow="1" w:lastRow="0" w:firstColumn="1" w:lastColumn="0" w:noHBand="0" w:noVBand="1"/>
      </w:tblPr>
      <w:tblGrid>
        <w:gridCol w:w="1490"/>
        <w:gridCol w:w="1104"/>
        <w:gridCol w:w="1033"/>
        <w:gridCol w:w="1033"/>
        <w:gridCol w:w="1136"/>
        <w:gridCol w:w="1136"/>
        <w:gridCol w:w="230"/>
        <w:gridCol w:w="1304"/>
        <w:gridCol w:w="894"/>
      </w:tblGrid>
      <w:tr w:rsidR="004D5D50" w:rsidRPr="00CB740F" w14:paraId="04990BB6" w14:textId="77777777" w:rsidTr="004A2E8B">
        <w:tc>
          <w:tcPr>
            <w:tcW w:w="806" w:type="pct"/>
            <w:tcBorders>
              <w:top w:val="single" w:sz="4" w:space="0" w:color="auto"/>
              <w:left w:val="nil"/>
              <w:right w:val="nil"/>
            </w:tcBorders>
            <w:noWrap/>
            <w:vAlign w:val="bottom"/>
            <w:hideMark/>
          </w:tcPr>
          <w:p w14:paraId="77355A26"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w:t>
            </w:r>
          </w:p>
        </w:tc>
        <w:tc>
          <w:tcPr>
            <w:tcW w:w="600" w:type="pct"/>
            <w:tcBorders>
              <w:top w:val="single" w:sz="4" w:space="0" w:color="auto"/>
              <w:left w:val="nil"/>
              <w:right w:val="nil"/>
            </w:tcBorders>
            <w:vAlign w:val="bottom"/>
          </w:tcPr>
          <w:p w14:paraId="54D05193"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p>
        </w:tc>
        <w:tc>
          <w:tcPr>
            <w:tcW w:w="517" w:type="pct"/>
            <w:tcBorders>
              <w:top w:val="single" w:sz="4" w:space="0" w:color="auto"/>
              <w:left w:val="nil"/>
              <w:right w:val="nil"/>
            </w:tcBorders>
            <w:noWrap/>
            <w:vAlign w:val="bottom"/>
            <w:hideMark/>
          </w:tcPr>
          <w:p w14:paraId="56D65249"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w:t>
            </w:r>
          </w:p>
        </w:tc>
        <w:tc>
          <w:tcPr>
            <w:tcW w:w="517" w:type="pct"/>
            <w:tcBorders>
              <w:top w:val="single" w:sz="4" w:space="0" w:color="auto"/>
              <w:left w:val="nil"/>
              <w:right w:val="nil"/>
            </w:tcBorders>
            <w:noWrap/>
            <w:vAlign w:val="bottom"/>
            <w:hideMark/>
          </w:tcPr>
          <w:p w14:paraId="771FAB35"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w:t>
            </w:r>
          </w:p>
        </w:tc>
        <w:tc>
          <w:tcPr>
            <w:tcW w:w="617" w:type="pct"/>
            <w:tcBorders>
              <w:top w:val="single" w:sz="4" w:space="0" w:color="auto"/>
              <w:left w:val="nil"/>
              <w:right w:val="nil"/>
            </w:tcBorders>
            <w:noWrap/>
            <w:vAlign w:val="bottom"/>
            <w:hideMark/>
          </w:tcPr>
          <w:p w14:paraId="14F817A7"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VU</w:t>
            </w:r>
          </w:p>
        </w:tc>
        <w:tc>
          <w:tcPr>
            <w:tcW w:w="617" w:type="pct"/>
            <w:tcBorders>
              <w:top w:val="single" w:sz="4" w:space="0" w:color="auto"/>
              <w:left w:val="nil"/>
              <w:right w:val="nil"/>
            </w:tcBorders>
            <w:noWrap/>
            <w:vAlign w:val="bottom"/>
            <w:hideMark/>
          </w:tcPr>
          <w:p w14:paraId="0CB01DD7"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w:t>
            </w:r>
          </w:p>
        </w:tc>
        <w:tc>
          <w:tcPr>
            <w:tcW w:w="133" w:type="pct"/>
            <w:tcBorders>
              <w:top w:val="single" w:sz="4" w:space="0" w:color="auto"/>
              <w:left w:val="nil"/>
              <w:right w:val="nil"/>
            </w:tcBorders>
            <w:vAlign w:val="bottom"/>
          </w:tcPr>
          <w:p w14:paraId="5B756F1C"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p>
        </w:tc>
        <w:tc>
          <w:tcPr>
            <w:tcW w:w="706" w:type="pct"/>
            <w:tcBorders>
              <w:top w:val="single" w:sz="4" w:space="0" w:color="auto"/>
              <w:left w:val="nil"/>
              <w:right w:val="nil"/>
            </w:tcBorders>
            <w:noWrap/>
            <w:vAlign w:val="bottom"/>
            <w:hideMark/>
          </w:tcPr>
          <w:p w14:paraId="4334733E"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w:t>
            </w:r>
          </w:p>
        </w:tc>
        <w:tc>
          <w:tcPr>
            <w:tcW w:w="487" w:type="pct"/>
            <w:tcBorders>
              <w:top w:val="single" w:sz="4" w:space="0" w:color="auto"/>
              <w:left w:val="nil"/>
              <w:right w:val="nil"/>
            </w:tcBorders>
            <w:noWrap/>
            <w:vAlign w:val="bottom"/>
            <w:hideMark/>
          </w:tcPr>
          <w:p w14:paraId="4E35E4D8"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w:t>
            </w:r>
          </w:p>
        </w:tc>
      </w:tr>
      <w:tr w:rsidR="004D5D50" w:rsidRPr="00CB740F" w14:paraId="4DBE82E0" w14:textId="77777777" w:rsidTr="004A2E8B">
        <w:tc>
          <w:tcPr>
            <w:tcW w:w="806" w:type="pct"/>
            <w:tcBorders>
              <w:left w:val="nil"/>
              <w:bottom w:val="nil"/>
              <w:right w:val="nil"/>
            </w:tcBorders>
            <w:noWrap/>
            <w:vAlign w:val="bottom"/>
            <w:hideMark/>
          </w:tcPr>
          <w:p w14:paraId="7E630567"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p>
        </w:tc>
        <w:tc>
          <w:tcPr>
            <w:tcW w:w="600" w:type="pct"/>
            <w:tcBorders>
              <w:left w:val="nil"/>
              <w:right w:val="nil"/>
            </w:tcBorders>
            <w:vAlign w:val="bottom"/>
          </w:tcPr>
          <w:p w14:paraId="37D33AC7"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left w:val="nil"/>
              <w:bottom w:val="single" w:sz="4" w:space="0" w:color="auto"/>
              <w:right w:val="nil"/>
            </w:tcBorders>
            <w:noWrap/>
            <w:vAlign w:val="bottom"/>
            <w:hideMark/>
          </w:tcPr>
          <w:p w14:paraId="3D82AF99"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Low</w:t>
            </w:r>
          </w:p>
        </w:tc>
        <w:tc>
          <w:tcPr>
            <w:tcW w:w="517" w:type="pct"/>
            <w:tcBorders>
              <w:left w:val="nil"/>
              <w:bottom w:val="single" w:sz="4" w:space="0" w:color="auto"/>
              <w:right w:val="nil"/>
            </w:tcBorders>
            <w:noWrap/>
            <w:vAlign w:val="bottom"/>
            <w:hideMark/>
          </w:tcPr>
          <w:p w14:paraId="5997491D"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2</w:t>
            </w:r>
          </w:p>
        </w:tc>
        <w:tc>
          <w:tcPr>
            <w:tcW w:w="617" w:type="pct"/>
            <w:tcBorders>
              <w:left w:val="nil"/>
              <w:bottom w:val="single" w:sz="4" w:space="0" w:color="auto"/>
              <w:right w:val="nil"/>
            </w:tcBorders>
            <w:noWrap/>
            <w:vAlign w:val="bottom"/>
            <w:hideMark/>
          </w:tcPr>
          <w:p w14:paraId="1BDCB0C8"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3</w:t>
            </w:r>
          </w:p>
        </w:tc>
        <w:tc>
          <w:tcPr>
            <w:tcW w:w="617" w:type="pct"/>
            <w:tcBorders>
              <w:left w:val="nil"/>
              <w:bottom w:val="single" w:sz="4" w:space="0" w:color="auto"/>
              <w:right w:val="nil"/>
            </w:tcBorders>
            <w:noWrap/>
            <w:vAlign w:val="bottom"/>
            <w:hideMark/>
          </w:tcPr>
          <w:p w14:paraId="7C76BAED"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High</w:t>
            </w:r>
          </w:p>
        </w:tc>
        <w:tc>
          <w:tcPr>
            <w:tcW w:w="133" w:type="pct"/>
            <w:tcBorders>
              <w:left w:val="nil"/>
              <w:bottom w:val="single" w:sz="4" w:space="0" w:color="auto"/>
              <w:right w:val="nil"/>
            </w:tcBorders>
            <w:vAlign w:val="bottom"/>
          </w:tcPr>
          <w:p w14:paraId="71EE00DE"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left w:val="nil"/>
              <w:bottom w:val="single" w:sz="4" w:space="0" w:color="auto"/>
              <w:right w:val="nil"/>
            </w:tcBorders>
            <w:noWrap/>
            <w:vAlign w:val="bottom"/>
            <w:hideMark/>
          </w:tcPr>
          <w:p w14:paraId="52A43EB5"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xml:space="preserve">High </w:t>
            </w:r>
            <w:r>
              <w:rPr>
                <w:rFonts w:ascii="Times New Roman" w:eastAsia="Times New Roman" w:hAnsi="Times New Roman" w:cs="Times New Roman"/>
                <w:color w:val="000000"/>
                <w:sz w:val="20"/>
                <w:szCs w:val="20"/>
                <w:lang w:eastAsia="en-GB"/>
              </w:rPr>
              <w:t>–</w:t>
            </w:r>
            <w:r w:rsidRPr="00CB740F">
              <w:rPr>
                <w:rFonts w:ascii="Times New Roman" w:eastAsia="Times New Roman" w:hAnsi="Times New Roman" w:cs="Times New Roman"/>
                <w:color w:val="000000"/>
                <w:sz w:val="20"/>
                <w:szCs w:val="20"/>
                <w:lang w:eastAsia="en-GB"/>
              </w:rPr>
              <w:t xml:space="preserve"> Low</w:t>
            </w:r>
          </w:p>
        </w:tc>
        <w:tc>
          <w:tcPr>
            <w:tcW w:w="487" w:type="pct"/>
            <w:tcBorders>
              <w:left w:val="nil"/>
              <w:bottom w:val="single" w:sz="4" w:space="0" w:color="auto"/>
              <w:right w:val="nil"/>
            </w:tcBorders>
            <w:noWrap/>
            <w:vAlign w:val="bottom"/>
            <w:hideMark/>
          </w:tcPr>
          <w:p w14:paraId="02067B8D"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i/>
                <w:iCs/>
                <w:color w:val="000000"/>
                <w:sz w:val="20"/>
                <w:szCs w:val="20"/>
                <w:lang w:eastAsia="en-GB"/>
              </w:rPr>
              <w:t>p</w:t>
            </w:r>
            <w:r w:rsidRPr="00CB740F">
              <w:rPr>
                <w:rFonts w:ascii="Times New Roman" w:eastAsia="Times New Roman" w:hAnsi="Times New Roman" w:cs="Times New Roman"/>
                <w:color w:val="000000"/>
                <w:sz w:val="20"/>
                <w:szCs w:val="20"/>
                <w:lang w:eastAsia="en-GB"/>
              </w:rPr>
              <w:t>-value</w:t>
            </w:r>
          </w:p>
        </w:tc>
      </w:tr>
      <w:tr w:rsidR="004D5D50" w:rsidRPr="00CB740F" w14:paraId="3C65B0A7" w14:textId="77777777" w:rsidTr="004A2E8B">
        <w:tc>
          <w:tcPr>
            <w:tcW w:w="806" w:type="pct"/>
            <w:tcBorders>
              <w:top w:val="nil"/>
              <w:left w:val="nil"/>
              <w:bottom w:val="nil"/>
              <w:right w:val="nil"/>
            </w:tcBorders>
            <w:noWrap/>
            <w:vAlign w:val="bottom"/>
            <w:hideMark/>
          </w:tcPr>
          <w:p w14:paraId="20AF9D20" w14:textId="77777777" w:rsidR="004D5D50" w:rsidRPr="00CB740F" w:rsidRDefault="004D5D50" w:rsidP="004A2E8B">
            <w:pPr>
              <w:spacing w:after="0"/>
              <w:rPr>
                <w:rFonts w:ascii="Times New Roman" w:eastAsia="Times New Roman" w:hAnsi="Times New Roman" w:cs="Times New Roman"/>
                <w:i/>
                <w:iCs/>
                <w:color w:val="000000"/>
                <w:sz w:val="20"/>
                <w:szCs w:val="20"/>
                <w:u w:val="single"/>
                <w:lang w:eastAsia="en-GB"/>
              </w:rPr>
            </w:pPr>
            <w:r w:rsidRPr="00CB740F">
              <w:rPr>
                <w:rFonts w:ascii="Times New Roman" w:eastAsia="Times New Roman" w:hAnsi="Times New Roman" w:cs="Times New Roman"/>
                <w:iCs/>
                <w:color w:val="000000"/>
                <w:sz w:val="20"/>
                <w:szCs w:val="20"/>
                <w:u w:val="single"/>
                <w:lang w:eastAsia="en-CA"/>
              </w:rPr>
              <w:t>Price-to-value</w:t>
            </w:r>
          </w:p>
        </w:tc>
        <w:tc>
          <w:tcPr>
            <w:tcW w:w="600" w:type="pct"/>
            <w:tcBorders>
              <w:top w:val="nil"/>
              <w:left w:val="nil"/>
              <w:bottom w:val="single" w:sz="4" w:space="0" w:color="auto"/>
              <w:right w:val="nil"/>
            </w:tcBorders>
            <w:vAlign w:val="bottom"/>
          </w:tcPr>
          <w:p w14:paraId="0C2BA5A0"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Exp.</w:t>
            </w:r>
            <w:r w:rsidRPr="00CB740F">
              <w:rPr>
                <w:rFonts w:ascii="Times New Roman" w:eastAsia="Times New Roman" w:hAnsi="Times New Roman" w:cs="Times New Roman"/>
                <w:color w:val="000000"/>
                <w:sz w:val="20"/>
                <w:szCs w:val="20"/>
                <w:lang w:eastAsia="en-GB"/>
              </w:rPr>
              <w:t xml:space="preserve"> Sign</w:t>
            </w:r>
          </w:p>
        </w:tc>
        <w:tc>
          <w:tcPr>
            <w:tcW w:w="517" w:type="pct"/>
            <w:tcBorders>
              <w:top w:val="single" w:sz="4" w:space="0" w:color="auto"/>
              <w:left w:val="nil"/>
              <w:bottom w:val="nil"/>
              <w:right w:val="nil"/>
            </w:tcBorders>
            <w:noWrap/>
            <w:vAlign w:val="bottom"/>
            <w:hideMark/>
          </w:tcPr>
          <w:p w14:paraId="017DAC2B" w14:textId="77777777" w:rsidR="004D5D50" w:rsidRPr="00CB740F" w:rsidRDefault="004D5D50" w:rsidP="004A2E8B">
            <w:pPr>
              <w:spacing w:after="0"/>
              <w:rPr>
                <w:rFonts w:ascii="Times New Roman" w:eastAsia="Times New Roman" w:hAnsi="Times New Roman" w:cs="Times New Roman"/>
                <w:i/>
                <w:iCs/>
                <w:color w:val="000000"/>
                <w:sz w:val="20"/>
                <w:szCs w:val="20"/>
                <w:lang w:eastAsia="en-GB"/>
              </w:rPr>
            </w:pPr>
          </w:p>
        </w:tc>
        <w:tc>
          <w:tcPr>
            <w:tcW w:w="517" w:type="pct"/>
            <w:tcBorders>
              <w:top w:val="single" w:sz="4" w:space="0" w:color="auto"/>
              <w:left w:val="nil"/>
              <w:bottom w:val="nil"/>
              <w:right w:val="nil"/>
            </w:tcBorders>
            <w:noWrap/>
            <w:vAlign w:val="bottom"/>
            <w:hideMark/>
          </w:tcPr>
          <w:p w14:paraId="4D429435" w14:textId="77777777" w:rsidR="004D5D50" w:rsidRPr="00CB740F" w:rsidRDefault="004D5D50" w:rsidP="004A2E8B">
            <w:pPr>
              <w:spacing w:after="0"/>
              <w:jc w:val="center"/>
              <w:rPr>
                <w:rFonts w:ascii="Times New Roman" w:eastAsia="Times New Roman" w:hAnsi="Times New Roman" w:cs="Times New Roman"/>
                <w:sz w:val="20"/>
                <w:szCs w:val="20"/>
                <w:lang w:eastAsia="en-GB"/>
              </w:rPr>
            </w:pPr>
          </w:p>
        </w:tc>
        <w:tc>
          <w:tcPr>
            <w:tcW w:w="617" w:type="pct"/>
            <w:tcBorders>
              <w:top w:val="single" w:sz="4" w:space="0" w:color="auto"/>
              <w:left w:val="nil"/>
              <w:bottom w:val="nil"/>
              <w:right w:val="nil"/>
            </w:tcBorders>
            <w:noWrap/>
            <w:vAlign w:val="bottom"/>
            <w:hideMark/>
          </w:tcPr>
          <w:p w14:paraId="0E3CA401" w14:textId="77777777" w:rsidR="004D5D50" w:rsidRPr="00CB740F" w:rsidRDefault="004D5D50" w:rsidP="004A2E8B">
            <w:pPr>
              <w:spacing w:after="0"/>
              <w:jc w:val="center"/>
              <w:rPr>
                <w:rFonts w:ascii="Times New Roman" w:eastAsia="Times New Roman" w:hAnsi="Times New Roman" w:cs="Times New Roman"/>
                <w:sz w:val="20"/>
                <w:szCs w:val="20"/>
                <w:lang w:eastAsia="en-GB"/>
              </w:rPr>
            </w:pPr>
          </w:p>
        </w:tc>
        <w:tc>
          <w:tcPr>
            <w:tcW w:w="617" w:type="pct"/>
            <w:tcBorders>
              <w:top w:val="single" w:sz="4" w:space="0" w:color="auto"/>
              <w:left w:val="nil"/>
              <w:bottom w:val="nil"/>
              <w:right w:val="nil"/>
            </w:tcBorders>
            <w:noWrap/>
            <w:vAlign w:val="bottom"/>
            <w:hideMark/>
          </w:tcPr>
          <w:p w14:paraId="476C64C6" w14:textId="77777777" w:rsidR="004D5D50" w:rsidRPr="00CB740F" w:rsidRDefault="004D5D50" w:rsidP="004A2E8B">
            <w:pPr>
              <w:spacing w:after="0"/>
              <w:jc w:val="center"/>
              <w:rPr>
                <w:rFonts w:ascii="Times New Roman" w:eastAsia="Times New Roman" w:hAnsi="Times New Roman" w:cs="Times New Roman"/>
                <w:sz w:val="20"/>
                <w:szCs w:val="20"/>
                <w:lang w:eastAsia="en-GB"/>
              </w:rPr>
            </w:pPr>
          </w:p>
        </w:tc>
        <w:tc>
          <w:tcPr>
            <w:tcW w:w="133" w:type="pct"/>
            <w:tcBorders>
              <w:top w:val="single" w:sz="4" w:space="0" w:color="auto"/>
              <w:left w:val="nil"/>
              <w:bottom w:val="nil"/>
              <w:right w:val="nil"/>
            </w:tcBorders>
            <w:vAlign w:val="bottom"/>
          </w:tcPr>
          <w:p w14:paraId="2462D26E" w14:textId="77777777" w:rsidR="004D5D50" w:rsidRPr="00CB740F" w:rsidRDefault="004D5D50" w:rsidP="004A2E8B">
            <w:pPr>
              <w:spacing w:after="0"/>
              <w:jc w:val="center"/>
              <w:rPr>
                <w:rFonts w:ascii="Times New Roman" w:eastAsia="Times New Roman" w:hAnsi="Times New Roman" w:cs="Times New Roman"/>
                <w:sz w:val="20"/>
                <w:szCs w:val="20"/>
                <w:lang w:eastAsia="en-GB"/>
              </w:rPr>
            </w:pPr>
          </w:p>
        </w:tc>
        <w:tc>
          <w:tcPr>
            <w:tcW w:w="706" w:type="pct"/>
            <w:tcBorders>
              <w:top w:val="single" w:sz="4" w:space="0" w:color="auto"/>
              <w:left w:val="nil"/>
              <w:bottom w:val="nil"/>
              <w:right w:val="nil"/>
            </w:tcBorders>
            <w:noWrap/>
            <w:vAlign w:val="bottom"/>
            <w:hideMark/>
          </w:tcPr>
          <w:p w14:paraId="7E2F78E9" w14:textId="77777777" w:rsidR="004D5D50" w:rsidRPr="00CB740F" w:rsidRDefault="004D5D50" w:rsidP="004A2E8B">
            <w:pPr>
              <w:spacing w:after="0"/>
              <w:jc w:val="center"/>
              <w:rPr>
                <w:rFonts w:ascii="Times New Roman" w:eastAsia="Times New Roman" w:hAnsi="Times New Roman" w:cs="Times New Roman"/>
                <w:sz w:val="20"/>
                <w:szCs w:val="20"/>
                <w:lang w:eastAsia="en-GB"/>
              </w:rPr>
            </w:pPr>
          </w:p>
        </w:tc>
        <w:tc>
          <w:tcPr>
            <w:tcW w:w="487" w:type="pct"/>
            <w:tcBorders>
              <w:top w:val="single" w:sz="4" w:space="0" w:color="auto"/>
              <w:left w:val="nil"/>
              <w:bottom w:val="nil"/>
              <w:right w:val="nil"/>
            </w:tcBorders>
            <w:noWrap/>
            <w:vAlign w:val="bottom"/>
            <w:hideMark/>
          </w:tcPr>
          <w:p w14:paraId="7E3E7043" w14:textId="77777777" w:rsidR="004D5D50" w:rsidRPr="00CB740F" w:rsidRDefault="004D5D50" w:rsidP="004A2E8B">
            <w:pPr>
              <w:spacing w:after="0"/>
              <w:rPr>
                <w:rFonts w:ascii="Times New Roman" w:eastAsia="Times New Roman" w:hAnsi="Times New Roman" w:cs="Times New Roman"/>
                <w:sz w:val="20"/>
                <w:szCs w:val="20"/>
                <w:lang w:eastAsia="en-GB"/>
              </w:rPr>
            </w:pPr>
          </w:p>
        </w:tc>
      </w:tr>
      <w:tr w:rsidR="004D5D50" w:rsidRPr="00F02C0D" w14:paraId="3F58BD84" w14:textId="77777777" w:rsidTr="004A2E8B">
        <w:tc>
          <w:tcPr>
            <w:tcW w:w="806" w:type="pct"/>
            <w:tcBorders>
              <w:top w:val="nil"/>
              <w:left w:val="nil"/>
              <w:bottom w:val="nil"/>
              <w:right w:val="nil"/>
            </w:tcBorders>
            <w:noWrap/>
            <w:vAlign w:val="bottom"/>
            <w:hideMark/>
          </w:tcPr>
          <w:p w14:paraId="2436C951"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Low</w:t>
            </w:r>
          </w:p>
        </w:tc>
        <w:tc>
          <w:tcPr>
            <w:tcW w:w="600" w:type="pct"/>
            <w:tcBorders>
              <w:top w:val="single" w:sz="4" w:space="0" w:color="auto"/>
              <w:left w:val="nil"/>
              <w:bottom w:val="nil"/>
              <w:right w:val="nil"/>
            </w:tcBorders>
            <w:vAlign w:val="bottom"/>
          </w:tcPr>
          <w:p w14:paraId="64D5E950"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nil"/>
              <w:right w:val="nil"/>
            </w:tcBorders>
            <w:noWrap/>
            <w:vAlign w:val="bottom"/>
            <w:hideMark/>
          </w:tcPr>
          <w:p w14:paraId="7D648770"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47.689</w:t>
            </w:r>
          </w:p>
        </w:tc>
        <w:tc>
          <w:tcPr>
            <w:tcW w:w="517" w:type="pct"/>
            <w:tcBorders>
              <w:top w:val="nil"/>
              <w:left w:val="nil"/>
              <w:bottom w:val="nil"/>
              <w:right w:val="nil"/>
            </w:tcBorders>
            <w:noWrap/>
            <w:vAlign w:val="bottom"/>
            <w:hideMark/>
          </w:tcPr>
          <w:p w14:paraId="14ACCAAD"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35.337</w:t>
            </w:r>
          </w:p>
        </w:tc>
        <w:tc>
          <w:tcPr>
            <w:tcW w:w="617" w:type="pct"/>
            <w:tcBorders>
              <w:top w:val="nil"/>
              <w:left w:val="nil"/>
              <w:bottom w:val="nil"/>
              <w:right w:val="nil"/>
            </w:tcBorders>
            <w:noWrap/>
            <w:vAlign w:val="bottom"/>
            <w:hideMark/>
          </w:tcPr>
          <w:p w14:paraId="43E81368"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28.154</w:t>
            </w:r>
          </w:p>
        </w:tc>
        <w:tc>
          <w:tcPr>
            <w:tcW w:w="617" w:type="pct"/>
            <w:tcBorders>
              <w:top w:val="nil"/>
              <w:left w:val="nil"/>
              <w:bottom w:val="nil"/>
              <w:right w:val="nil"/>
            </w:tcBorders>
            <w:noWrap/>
            <w:vAlign w:val="bottom"/>
            <w:hideMark/>
          </w:tcPr>
          <w:p w14:paraId="393D5E57"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24.616</w:t>
            </w:r>
          </w:p>
        </w:tc>
        <w:tc>
          <w:tcPr>
            <w:tcW w:w="133" w:type="pct"/>
            <w:tcBorders>
              <w:top w:val="nil"/>
              <w:left w:val="nil"/>
              <w:bottom w:val="nil"/>
              <w:right w:val="nil"/>
            </w:tcBorders>
            <w:vAlign w:val="bottom"/>
          </w:tcPr>
          <w:p w14:paraId="0258F61E"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bottom w:val="nil"/>
              <w:right w:val="nil"/>
            </w:tcBorders>
            <w:noWrap/>
            <w:vAlign w:val="bottom"/>
            <w:hideMark/>
          </w:tcPr>
          <w:p w14:paraId="29E68D74"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-23.072</w:t>
            </w:r>
            <w:r>
              <w:rPr>
                <w:rFonts w:ascii="Times New Roman" w:eastAsia="Times New Roman" w:hAnsi="Times New Roman" w:cs="Times New Roman"/>
                <w:color w:val="000000"/>
                <w:sz w:val="20"/>
                <w:szCs w:val="20"/>
                <w:lang w:eastAsia="en-GB"/>
              </w:rPr>
              <w:t>***</w:t>
            </w:r>
          </w:p>
        </w:tc>
        <w:tc>
          <w:tcPr>
            <w:tcW w:w="487" w:type="pct"/>
            <w:tcBorders>
              <w:top w:val="nil"/>
              <w:left w:val="nil"/>
              <w:bottom w:val="nil"/>
              <w:right w:val="nil"/>
            </w:tcBorders>
            <w:noWrap/>
            <w:vAlign w:val="bottom"/>
            <w:hideMark/>
          </w:tcPr>
          <w:p w14:paraId="0CCD6999"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02C0D" w14:paraId="791A013B" w14:textId="77777777" w:rsidTr="004A2E8B">
        <w:tc>
          <w:tcPr>
            <w:tcW w:w="806" w:type="pct"/>
            <w:tcBorders>
              <w:top w:val="nil"/>
              <w:left w:val="nil"/>
              <w:bottom w:val="nil"/>
              <w:right w:val="nil"/>
            </w:tcBorders>
            <w:noWrap/>
            <w:vAlign w:val="bottom"/>
            <w:hideMark/>
          </w:tcPr>
          <w:p w14:paraId="4A6B4DDD"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2</w:t>
            </w:r>
          </w:p>
        </w:tc>
        <w:tc>
          <w:tcPr>
            <w:tcW w:w="600" w:type="pct"/>
            <w:tcBorders>
              <w:top w:val="nil"/>
              <w:left w:val="nil"/>
              <w:bottom w:val="nil"/>
              <w:right w:val="nil"/>
            </w:tcBorders>
            <w:vAlign w:val="bottom"/>
          </w:tcPr>
          <w:p w14:paraId="1196FA1E"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nil"/>
              <w:right w:val="nil"/>
            </w:tcBorders>
            <w:noWrap/>
            <w:vAlign w:val="bottom"/>
            <w:hideMark/>
          </w:tcPr>
          <w:p w14:paraId="68061AC7"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53.583</w:t>
            </w:r>
          </w:p>
        </w:tc>
        <w:tc>
          <w:tcPr>
            <w:tcW w:w="517" w:type="pct"/>
            <w:tcBorders>
              <w:top w:val="nil"/>
              <w:left w:val="nil"/>
              <w:bottom w:val="nil"/>
              <w:right w:val="nil"/>
            </w:tcBorders>
            <w:noWrap/>
            <w:vAlign w:val="bottom"/>
            <w:hideMark/>
          </w:tcPr>
          <w:p w14:paraId="4D3E21E1"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37.348</w:t>
            </w:r>
          </w:p>
        </w:tc>
        <w:tc>
          <w:tcPr>
            <w:tcW w:w="617" w:type="pct"/>
            <w:tcBorders>
              <w:top w:val="nil"/>
              <w:left w:val="nil"/>
              <w:bottom w:val="nil"/>
              <w:right w:val="nil"/>
            </w:tcBorders>
            <w:noWrap/>
            <w:vAlign w:val="bottom"/>
            <w:hideMark/>
          </w:tcPr>
          <w:p w14:paraId="63A6898E"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28.817</w:t>
            </w:r>
          </w:p>
        </w:tc>
        <w:tc>
          <w:tcPr>
            <w:tcW w:w="617" w:type="pct"/>
            <w:tcBorders>
              <w:top w:val="nil"/>
              <w:left w:val="nil"/>
              <w:bottom w:val="nil"/>
              <w:right w:val="nil"/>
            </w:tcBorders>
            <w:noWrap/>
            <w:vAlign w:val="bottom"/>
            <w:hideMark/>
          </w:tcPr>
          <w:p w14:paraId="06F7FE1B"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24.071</w:t>
            </w:r>
          </w:p>
        </w:tc>
        <w:tc>
          <w:tcPr>
            <w:tcW w:w="133" w:type="pct"/>
            <w:tcBorders>
              <w:top w:val="nil"/>
              <w:left w:val="nil"/>
              <w:bottom w:val="nil"/>
              <w:right w:val="nil"/>
            </w:tcBorders>
            <w:vAlign w:val="bottom"/>
          </w:tcPr>
          <w:p w14:paraId="72DC0C66"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bottom w:val="nil"/>
              <w:right w:val="nil"/>
            </w:tcBorders>
            <w:noWrap/>
            <w:vAlign w:val="bottom"/>
            <w:hideMark/>
          </w:tcPr>
          <w:p w14:paraId="7ED4A6E7"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-29.512</w:t>
            </w:r>
            <w:r>
              <w:rPr>
                <w:rFonts w:ascii="Times New Roman" w:eastAsia="Times New Roman" w:hAnsi="Times New Roman" w:cs="Times New Roman"/>
                <w:color w:val="000000"/>
                <w:sz w:val="20"/>
                <w:szCs w:val="20"/>
                <w:lang w:eastAsia="en-GB"/>
              </w:rPr>
              <w:t>***</w:t>
            </w:r>
          </w:p>
        </w:tc>
        <w:tc>
          <w:tcPr>
            <w:tcW w:w="487" w:type="pct"/>
            <w:tcBorders>
              <w:top w:val="nil"/>
              <w:left w:val="nil"/>
              <w:bottom w:val="nil"/>
              <w:right w:val="nil"/>
            </w:tcBorders>
            <w:noWrap/>
            <w:vAlign w:val="bottom"/>
            <w:hideMark/>
          </w:tcPr>
          <w:p w14:paraId="3F13E3E1"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02C0D" w14:paraId="5A034FE6" w14:textId="77777777" w:rsidTr="004A2E8B">
        <w:tc>
          <w:tcPr>
            <w:tcW w:w="806" w:type="pct"/>
            <w:tcBorders>
              <w:top w:val="nil"/>
              <w:left w:val="nil"/>
              <w:bottom w:val="nil"/>
              <w:right w:val="nil"/>
            </w:tcBorders>
            <w:noWrap/>
            <w:vAlign w:val="bottom"/>
            <w:hideMark/>
          </w:tcPr>
          <w:p w14:paraId="75AE341C"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3</w:t>
            </w:r>
          </w:p>
        </w:tc>
        <w:tc>
          <w:tcPr>
            <w:tcW w:w="600" w:type="pct"/>
            <w:tcBorders>
              <w:top w:val="nil"/>
              <w:left w:val="nil"/>
              <w:bottom w:val="nil"/>
              <w:right w:val="nil"/>
            </w:tcBorders>
            <w:vAlign w:val="bottom"/>
          </w:tcPr>
          <w:p w14:paraId="371203CB"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nil"/>
              <w:right w:val="nil"/>
            </w:tcBorders>
            <w:noWrap/>
            <w:vAlign w:val="bottom"/>
            <w:hideMark/>
          </w:tcPr>
          <w:p w14:paraId="492852B2"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51.489</w:t>
            </w:r>
          </w:p>
        </w:tc>
        <w:tc>
          <w:tcPr>
            <w:tcW w:w="517" w:type="pct"/>
            <w:tcBorders>
              <w:top w:val="nil"/>
              <w:left w:val="nil"/>
              <w:bottom w:val="nil"/>
              <w:right w:val="nil"/>
            </w:tcBorders>
            <w:noWrap/>
            <w:vAlign w:val="bottom"/>
            <w:hideMark/>
          </w:tcPr>
          <w:p w14:paraId="2AF9493D"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35.147</w:t>
            </w:r>
          </w:p>
        </w:tc>
        <w:tc>
          <w:tcPr>
            <w:tcW w:w="617" w:type="pct"/>
            <w:tcBorders>
              <w:top w:val="nil"/>
              <w:left w:val="nil"/>
              <w:bottom w:val="nil"/>
              <w:right w:val="nil"/>
            </w:tcBorders>
            <w:noWrap/>
            <w:vAlign w:val="bottom"/>
            <w:hideMark/>
          </w:tcPr>
          <w:p w14:paraId="387B6315"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26.478</w:t>
            </w:r>
          </w:p>
        </w:tc>
        <w:tc>
          <w:tcPr>
            <w:tcW w:w="617" w:type="pct"/>
            <w:tcBorders>
              <w:top w:val="nil"/>
              <w:left w:val="nil"/>
              <w:bottom w:val="nil"/>
              <w:right w:val="nil"/>
            </w:tcBorders>
            <w:noWrap/>
            <w:vAlign w:val="bottom"/>
            <w:hideMark/>
          </w:tcPr>
          <w:p w14:paraId="7094DFC3"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23.158</w:t>
            </w:r>
          </w:p>
        </w:tc>
        <w:tc>
          <w:tcPr>
            <w:tcW w:w="133" w:type="pct"/>
            <w:tcBorders>
              <w:top w:val="nil"/>
              <w:left w:val="nil"/>
              <w:bottom w:val="nil"/>
              <w:right w:val="nil"/>
            </w:tcBorders>
            <w:vAlign w:val="bottom"/>
          </w:tcPr>
          <w:p w14:paraId="1A593274"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bottom w:val="nil"/>
              <w:right w:val="nil"/>
            </w:tcBorders>
            <w:noWrap/>
            <w:vAlign w:val="bottom"/>
            <w:hideMark/>
          </w:tcPr>
          <w:p w14:paraId="6AF1544B"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-28.331</w:t>
            </w:r>
            <w:r>
              <w:rPr>
                <w:rFonts w:ascii="Times New Roman" w:eastAsia="Times New Roman" w:hAnsi="Times New Roman" w:cs="Times New Roman"/>
                <w:color w:val="000000"/>
                <w:sz w:val="20"/>
                <w:szCs w:val="20"/>
                <w:lang w:eastAsia="en-GB"/>
              </w:rPr>
              <w:t>***</w:t>
            </w:r>
          </w:p>
        </w:tc>
        <w:tc>
          <w:tcPr>
            <w:tcW w:w="487" w:type="pct"/>
            <w:tcBorders>
              <w:top w:val="nil"/>
              <w:left w:val="nil"/>
              <w:bottom w:val="nil"/>
              <w:right w:val="nil"/>
            </w:tcBorders>
            <w:noWrap/>
            <w:vAlign w:val="bottom"/>
            <w:hideMark/>
          </w:tcPr>
          <w:p w14:paraId="473BBE60"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02C0D" w14:paraId="09A8D0E3" w14:textId="77777777" w:rsidTr="004A2E8B">
        <w:tc>
          <w:tcPr>
            <w:tcW w:w="806" w:type="pct"/>
            <w:tcBorders>
              <w:top w:val="nil"/>
              <w:left w:val="nil"/>
              <w:bottom w:val="nil"/>
              <w:right w:val="nil"/>
            </w:tcBorders>
            <w:noWrap/>
            <w:vAlign w:val="bottom"/>
            <w:hideMark/>
          </w:tcPr>
          <w:p w14:paraId="4C1D2164"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High</w:t>
            </w:r>
          </w:p>
        </w:tc>
        <w:tc>
          <w:tcPr>
            <w:tcW w:w="600" w:type="pct"/>
            <w:tcBorders>
              <w:top w:val="nil"/>
              <w:left w:val="nil"/>
              <w:bottom w:val="nil"/>
              <w:right w:val="nil"/>
            </w:tcBorders>
            <w:vAlign w:val="bottom"/>
          </w:tcPr>
          <w:p w14:paraId="1496D651"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nil"/>
              <w:right w:val="nil"/>
            </w:tcBorders>
            <w:noWrap/>
            <w:vAlign w:val="bottom"/>
            <w:hideMark/>
          </w:tcPr>
          <w:p w14:paraId="79A8A4DC"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43.373</w:t>
            </w:r>
          </w:p>
        </w:tc>
        <w:tc>
          <w:tcPr>
            <w:tcW w:w="517" w:type="pct"/>
            <w:tcBorders>
              <w:top w:val="nil"/>
              <w:left w:val="nil"/>
              <w:bottom w:val="nil"/>
              <w:right w:val="nil"/>
            </w:tcBorders>
            <w:noWrap/>
            <w:vAlign w:val="bottom"/>
            <w:hideMark/>
          </w:tcPr>
          <w:p w14:paraId="55C9780B"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28.850</w:t>
            </w:r>
          </w:p>
        </w:tc>
        <w:tc>
          <w:tcPr>
            <w:tcW w:w="617" w:type="pct"/>
            <w:tcBorders>
              <w:top w:val="nil"/>
              <w:left w:val="nil"/>
              <w:bottom w:val="nil"/>
              <w:right w:val="nil"/>
            </w:tcBorders>
            <w:noWrap/>
            <w:vAlign w:val="bottom"/>
            <w:hideMark/>
          </w:tcPr>
          <w:p w14:paraId="2D0F1C08"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22.365</w:t>
            </w:r>
          </w:p>
        </w:tc>
        <w:tc>
          <w:tcPr>
            <w:tcW w:w="617" w:type="pct"/>
            <w:tcBorders>
              <w:top w:val="nil"/>
              <w:left w:val="nil"/>
              <w:bottom w:val="nil"/>
              <w:right w:val="nil"/>
            </w:tcBorders>
            <w:noWrap/>
            <w:vAlign w:val="bottom"/>
            <w:hideMark/>
          </w:tcPr>
          <w:p w14:paraId="37B3372C"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20.212</w:t>
            </w:r>
          </w:p>
        </w:tc>
        <w:tc>
          <w:tcPr>
            <w:tcW w:w="133" w:type="pct"/>
            <w:tcBorders>
              <w:top w:val="nil"/>
              <w:left w:val="nil"/>
              <w:bottom w:val="nil"/>
              <w:right w:val="nil"/>
            </w:tcBorders>
            <w:vAlign w:val="bottom"/>
          </w:tcPr>
          <w:p w14:paraId="71586BC6"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bottom w:val="nil"/>
              <w:right w:val="nil"/>
            </w:tcBorders>
            <w:noWrap/>
            <w:vAlign w:val="bottom"/>
            <w:hideMark/>
          </w:tcPr>
          <w:p w14:paraId="682B6E22"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-23.161</w:t>
            </w:r>
            <w:r>
              <w:rPr>
                <w:rFonts w:ascii="Times New Roman" w:eastAsia="Times New Roman" w:hAnsi="Times New Roman" w:cs="Times New Roman"/>
                <w:color w:val="000000"/>
                <w:sz w:val="20"/>
                <w:szCs w:val="20"/>
                <w:lang w:eastAsia="en-GB"/>
              </w:rPr>
              <w:t>***</w:t>
            </w:r>
          </w:p>
        </w:tc>
        <w:tc>
          <w:tcPr>
            <w:tcW w:w="487" w:type="pct"/>
            <w:tcBorders>
              <w:top w:val="nil"/>
              <w:left w:val="nil"/>
              <w:bottom w:val="nil"/>
              <w:right w:val="nil"/>
            </w:tcBorders>
            <w:noWrap/>
            <w:vAlign w:val="bottom"/>
            <w:hideMark/>
          </w:tcPr>
          <w:p w14:paraId="652CFB12"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F02C0D" w14:paraId="07DE0163" w14:textId="77777777" w:rsidTr="004A2E8B">
        <w:tc>
          <w:tcPr>
            <w:tcW w:w="806" w:type="pct"/>
            <w:tcBorders>
              <w:top w:val="nil"/>
              <w:left w:val="nil"/>
              <w:bottom w:val="nil"/>
              <w:right w:val="nil"/>
            </w:tcBorders>
            <w:noWrap/>
            <w:vAlign w:val="bottom"/>
          </w:tcPr>
          <w:p w14:paraId="2C6244CC"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p>
        </w:tc>
        <w:tc>
          <w:tcPr>
            <w:tcW w:w="600" w:type="pct"/>
            <w:tcBorders>
              <w:top w:val="nil"/>
              <w:left w:val="nil"/>
              <w:bottom w:val="nil"/>
              <w:right w:val="nil"/>
            </w:tcBorders>
            <w:vAlign w:val="bottom"/>
          </w:tcPr>
          <w:p w14:paraId="50F5FFA7"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nil"/>
              <w:right w:val="nil"/>
            </w:tcBorders>
            <w:noWrap/>
            <w:vAlign w:val="bottom"/>
          </w:tcPr>
          <w:p w14:paraId="085D96B1"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nil"/>
              <w:right w:val="nil"/>
            </w:tcBorders>
            <w:noWrap/>
            <w:vAlign w:val="bottom"/>
          </w:tcPr>
          <w:p w14:paraId="096AC2CB"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617" w:type="pct"/>
            <w:tcBorders>
              <w:top w:val="nil"/>
              <w:left w:val="nil"/>
              <w:bottom w:val="nil"/>
              <w:right w:val="nil"/>
            </w:tcBorders>
            <w:noWrap/>
            <w:vAlign w:val="bottom"/>
          </w:tcPr>
          <w:p w14:paraId="5FBFABF4"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617" w:type="pct"/>
            <w:tcBorders>
              <w:top w:val="nil"/>
              <w:left w:val="nil"/>
              <w:bottom w:val="nil"/>
              <w:right w:val="nil"/>
            </w:tcBorders>
            <w:noWrap/>
            <w:vAlign w:val="bottom"/>
          </w:tcPr>
          <w:p w14:paraId="5734910C"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133" w:type="pct"/>
            <w:tcBorders>
              <w:top w:val="nil"/>
              <w:left w:val="nil"/>
              <w:bottom w:val="nil"/>
              <w:right w:val="nil"/>
            </w:tcBorders>
            <w:vAlign w:val="bottom"/>
          </w:tcPr>
          <w:p w14:paraId="16AD584C"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bottom w:val="nil"/>
              <w:right w:val="nil"/>
            </w:tcBorders>
            <w:noWrap/>
            <w:vAlign w:val="bottom"/>
          </w:tcPr>
          <w:p w14:paraId="13211468"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487" w:type="pct"/>
            <w:tcBorders>
              <w:top w:val="nil"/>
              <w:left w:val="nil"/>
              <w:bottom w:val="nil"/>
              <w:right w:val="nil"/>
            </w:tcBorders>
            <w:noWrap/>
            <w:vAlign w:val="bottom"/>
          </w:tcPr>
          <w:p w14:paraId="7718A77B"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r>
      <w:tr w:rsidR="004D5D50" w:rsidRPr="00F02C0D" w14:paraId="109F21C9" w14:textId="77777777" w:rsidTr="004A2E8B">
        <w:tc>
          <w:tcPr>
            <w:tcW w:w="806" w:type="pct"/>
            <w:tcBorders>
              <w:top w:val="nil"/>
              <w:left w:val="nil"/>
              <w:right w:val="nil"/>
            </w:tcBorders>
            <w:noWrap/>
            <w:vAlign w:val="bottom"/>
            <w:hideMark/>
          </w:tcPr>
          <w:p w14:paraId="6AE7F56D"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 xml:space="preserve">Low </w:t>
            </w:r>
            <w:r>
              <w:rPr>
                <w:rFonts w:ascii="Times New Roman" w:eastAsia="Times New Roman" w:hAnsi="Times New Roman" w:cs="Times New Roman"/>
                <w:color w:val="000000"/>
                <w:sz w:val="20"/>
                <w:szCs w:val="20"/>
                <w:lang w:eastAsia="en-GB"/>
              </w:rPr>
              <w:t>–</w:t>
            </w:r>
            <w:r w:rsidRPr="00CB740F">
              <w:rPr>
                <w:rFonts w:ascii="Times New Roman" w:eastAsia="Times New Roman" w:hAnsi="Times New Roman" w:cs="Times New Roman"/>
                <w:color w:val="000000"/>
                <w:sz w:val="20"/>
                <w:szCs w:val="20"/>
                <w:lang w:eastAsia="en-GB"/>
              </w:rPr>
              <w:t xml:space="preserve"> High </w:t>
            </w:r>
          </w:p>
        </w:tc>
        <w:tc>
          <w:tcPr>
            <w:tcW w:w="600" w:type="pct"/>
            <w:tcBorders>
              <w:top w:val="nil"/>
              <w:left w:val="nil"/>
              <w:right w:val="nil"/>
            </w:tcBorders>
            <w:vAlign w:val="bottom"/>
          </w:tcPr>
          <w:p w14:paraId="5FBF34DB"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color w:val="000000"/>
                <w:sz w:val="20"/>
                <w:szCs w:val="20"/>
                <w:lang w:eastAsia="en-GB"/>
              </w:rPr>
              <w:t>(+/</w:t>
            </w:r>
            <w:r>
              <w:rPr>
                <w:rFonts w:ascii="Times New Roman" w:eastAsia="Times New Roman" w:hAnsi="Times New Roman" w:cs="Times New Roman"/>
                <w:color w:val="000000"/>
                <w:sz w:val="20"/>
                <w:szCs w:val="20"/>
                <w:lang w:eastAsia="en-GB"/>
              </w:rPr>
              <w:t>–</w:t>
            </w:r>
            <w:r w:rsidRPr="00CB740F">
              <w:rPr>
                <w:rFonts w:ascii="Times New Roman" w:eastAsia="Times New Roman" w:hAnsi="Times New Roman" w:cs="Times New Roman"/>
                <w:color w:val="000000"/>
                <w:sz w:val="20"/>
                <w:szCs w:val="20"/>
                <w:lang w:eastAsia="en-GB"/>
              </w:rPr>
              <w:t>)</w:t>
            </w:r>
          </w:p>
        </w:tc>
        <w:tc>
          <w:tcPr>
            <w:tcW w:w="517" w:type="pct"/>
            <w:tcBorders>
              <w:top w:val="nil"/>
              <w:left w:val="nil"/>
              <w:right w:val="nil"/>
            </w:tcBorders>
            <w:noWrap/>
            <w:vAlign w:val="bottom"/>
            <w:hideMark/>
          </w:tcPr>
          <w:p w14:paraId="455BA2E1"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-4.316</w:t>
            </w:r>
            <w:r>
              <w:rPr>
                <w:rFonts w:ascii="Times New Roman" w:eastAsia="Times New Roman" w:hAnsi="Times New Roman" w:cs="Times New Roman"/>
                <w:color w:val="000000"/>
                <w:sz w:val="20"/>
                <w:szCs w:val="20"/>
                <w:lang w:eastAsia="en-GB"/>
              </w:rPr>
              <w:t>***</w:t>
            </w:r>
          </w:p>
        </w:tc>
        <w:tc>
          <w:tcPr>
            <w:tcW w:w="517" w:type="pct"/>
            <w:tcBorders>
              <w:top w:val="nil"/>
              <w:left w:val="nil"/>
              <w:right w:val="nil"/>
            </w:tcBorders>
            <w:noWrap/>
            <w:vAlign w:val="bottom"/>
            <w:hideMark/>
          </w:tcPr>
          <w:p w14:paraId="67846C1A"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-6.487</w:t>
            </w:r>
            <w:r>
              <w:rPr>
                <w:rFonts w:ascii="Times New Roman" w:eastAsia="Times New Roman" w:hAnsi="Times New Roman" w:cs="Times New Roman"/>
                <w:color w:val="000000"/>
                <w:sz w:val="20"/>
                <w:szCs w:val="20"/>
                <w:lang w:eastAsia="en-GB"/>
              </w:rPr>
              <w:t>***</w:t>
            </w:r>
          </w:p>
        </w:tc>
        <w:tc>
          <w:tcPr>
            <w:tcW w:w="617" w:type="pct"/>
            <w:tcBorders>
              <w:top w:val="nil"/>
              <w:left w:val="nil"/>
              <w:right w:val="nil"/>
            </w:tcBorders>
            <w:noWrap/>
            <w:vAlign w:val="bottom"/>
            <w:hideMark/>
          </w:tcPr>
          <w:p w14:paraId="5E33FD88"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-5.789</w:t>
            </w:r>
            <w:r>
              <w:rPr>
                <w:rFonts w:ascii="Times New Roman" w:eastAsia="Times New Roman" w:hAnsi="Times New Roman" w:cs="Times New Roman"/>
                <w:color w:val="000000"/>
                <w:sz w:val="20"/>
                <w:szCs w:val="20"/>
                <w:lang w:eastAsia="en-GB"/>
              </w:rPr>
              <w:t>***</w:t>
            </w:r>
          </w:p>
        </w:tc>
        <w:tc>
          <w:tcPr>
            <w:tcW w:w="617" w:type="pct"/>
            <w:tcBorders>
              <w:top w:val="nil"/>
              <w:left w:val="nil"/>
              <w:right w:val="nil"/>
            </w:tcBorders>
            <w:noWrap/>
            <w:vAlign w:val="bottom"/>
            <w:hideMark/>
          </w:tcPr>
          <w:p w14:paraId="0B922D51"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-4.405</w:t>
            </w:r>
            <w:r>
              <w:rPr>
                <w:rFonts w:ascii="Times New Roman" w:eastAsia="Times New Roman" w:hAnsi="Times New Roman" w:cs="Times New Roman"/>
                <w:color w:val="000000"/>
                <w:sz w:val="20"/>
                <w:szCs w:val="20"/>
                <w:lang w:eastAsia="en-GB"/>
              </w:rPr>
              <w:t>***</w:t>
            </w:r>
          </w:p>
        </w:tc>
        <w:tc>
          <w:tcPr>
            <w:tcW w:w="133" w:type="pct"/>
            <w:tcBorders>
              <w:top w:val="nil"/>
              <w:left w:val="nil"/>
              <w:right w:val="nil"/>
            </w:tcBorders>
            <w:vAlign w:val="bottom"/>
          </w:tcPr>
          <w:p w14:paraId="01E126EA"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right w:val="nil"/>
            </w:tcBorders>
            <w:noWrap/>
            <w:vAlign w:val="bottom"/>
            <w:hideMark/>
          </w:tcPr>
          <w:p w14:paraId="359E921C"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sidRPr="00911319">
              <w:rPr>
                <w:rFonts w:ascii="Times New Roman" w:eastAsia="Times New Roman" w:hAnsi="Times New Roman" w:cs="Times New Roman"/>
                <w:color w:val="000000"/>
                <w:sz w:val="20"/>
                <w:szCs w:val="20"/>
                <w:lang w:eastAsia="en-GB"/>
              </w:rPr>
              <w:t>-0.089</w:t>
            </w:r>
          </w:p>
        </w:tc>
        <w:tc>
          <w:tcPr>
            <w:tcW w:w="487" w:type="pct"/>
            <w:tcBorders>
              <w:top w:val="nil"/>
              <w:left w:val="nil"/>
              <w:right w:val="nil"/>
            </w:tcBorders>
            <w:noWrap/>
            <w:vAlign w:val="bottom"/>
            <w:hideMark/>
          </w:tcPr>
          <w:p w14:paraId="1F58115F"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0.919</w:t>
            </w:r>
            <w:r>
              <w:rPr>
                <w:rFonts w:ascii="Times New Roman" w:eastAsia="Times New Roman" w:hAnsi="Times New Roman" w:cs="Times New Roman"/>
                <w:color w:val="000000"/>
                <w:sz w:val="20"/>
                <w:szCs w:val="20"/>
                <w:lang w:eastAsia="en-GB"/>
              </w:rPr>
              <w:t>)</w:t>
            </w:r>
          </w:p>
        </w:tc>
      </w:tr>
      <w:tr w:rsidR="004D5D50" w:rsidRPr="00F02C0D" w14:paraId="14789627" w14:textId="77777777" w:rsidTr="004A2E8B">
        <w:tc>
          <w:tcPr>
            <w:tcW w:w="806" w:type="pct"/>
            <w:tcBorders>
              <w:top w:val="nil"/>
              <w:left w:val="nil"/>
              <w:bottom w:val="single" w:sz="4" w:space="0" w:color="auto"/>
              <w:right w:val="nil"/>
            </w:tcBorders>
            <w:noWrap/>
            <w:vAlign w:val="bottom"/>
            <w:hideMark/>
          </w:tcPr>
          <w:p w14:paraId="43DFDF4E" w14:textId="77777777" w:rsidR="004D5D50" w:rsidRPr="00CB740F" w:rsidRDefault="004D5D50" w:rsidP="004A2E8B">
            <w:pPr>
              <w:spacing w:after="0"/>
              <w:rPr>
                <w:rFonts w:ascii="Times New Roman" w:eastAsia="Times New Roman" w:hAnsi="Times New Roman" w:cs="Times New Roman"/>
                <w:color w:val="000000"/>
                <w:sz w:val="20"/>
                <w:szCs w:val="20"/>
                <w:lang w:eastAsia="en-GB"/>
              </w:rPr>
            </w:pPr>
            <w:r w:rsidRPr="00CB740F">
              <w:rPr>
                <w:rFonts w:ascii="Times New Roman" w:eastAsia="Times New Roman" w:hAnsi="Times New Roman" w:cs="Times New Roman"/>
                <w:i/>
                <w:iCs/>
                <w:color w:val="000000"/>
                <w:sz w:val="20"/>
                <w:szCs w:val="20"/>
                <w:lang w:eastAsia="en-GB"/>
              </w:rPr>
              <w:t>p</w:t>
            </w:r>
            <w:r w:rsidRPr="00CB740F">
              <w:rPr>
                <w:rFonts w:ascii="Times New Roman" w:eastAsia="Times New Roman" w:hAnsi="Times New Roman" w:cs="Times New Roman"/>
                <w:color w:val="000000"/>
                <w:sz w:val="20"/>
                <w:szCs w:val="20"/>
                <w:lang w:eastAsia="en-GB"/>
              </w:rPr>
              <w:t>-value</w:t>
            </w:r>
          </w:p>
        </w:tc>
        <w:tc>
          <w:tcPr>
            <w:tcW w:w="600" w:type="pct"/>
            <w:tcBorders>
              <w:top w:val="nil"/>
              <w:left w:val="nil"/>
              <w:bottom w:val="single" w:sz="4" w:space="0" w:color="auto"/>
              <w:right w:val="nil"/>
            </w:tcBorders>
            <w:vAlign w:val="bottom"/>
          </w:tcPr>
          <w:p w14:paraId="7E869184" w14:textId="77777777" w:rsidR="004D5D50" w:rsidRPr="00CB740F" w:rsidRDefault="004D5D50" w:rsidP="004A2E8B">
            <w:pPr>
              <w:spacing w:after="0"/>
              <w:jc w:val="center"/>
              <w:rPr>
                <w:rFonts w:ascii="Times New Roman" w:eastAsia="Times New Roman" w:hAnsi="Times New Roman" w:cs="Times New Roman"/>
                <w:color w:val="000000"/>
                <w:sz w:val="20"/>
                <w:szCs w:val="20"/>
                <w:lang w:eastAsia="en-GB"/>
              </w:rPr>
            </w:pPr>
          </w:p>
        </w:tc>
        <w:tc>
          <w:tcPr>
            <w:tcW w:w="517" w:type="pct"/>
            <w:tcBorders>
              <w:top w:val="nil"/>
              <w:left w:val="nil"/>
              <w:bottom w:val="single" w:sz="4" w:space="0" w:color="auto"/>
              <w:right w:val="nil"/>
            </w:tcBorders>
            <w:noWrap/>
            <w:vAlign w:val="bottom"/>
            <w:hideMark/>
          </w:tcPr>
          <w:p w14:paraId="0B898186"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517" w:type="pct"/>
            <w:tcBorders>
              <w:top w:val="nil"/>
              <w:left w:val="nil"/>
              <w:bottom w:val="single" w:sz="4" w:space="0" w:color="auto"/>
              <w:right w:val="nil"/>
            </w:tcBorders>
            <w:noWrap/>
            <w:vAlign w:val="bottom"/>
            <w:hideMark/>
          </w:tcPr>
          <w:p w14:paraId="353A9BDE"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617" w:type="pct"/>
            <w:tcBorders>
              <w:top w:val="nil"/>
              <w:left w:val="nil"/>
              <w:bottom w:val="single" w:sz="4" w:space="0" w:color="auto"/>
              <w:right w:val="nil"/>
            </w:tcBorders>
            <w:noWrap/>
            <w:vAlign w:val="bottom"/>
            <w:hideMark/>
          </w:tcPr>
          <w:p w14:paraId="247A513E"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617" w:type="pct"/>
            <w:tcBorders>
              <w:top w:val="nil"/>
              <w:left w:val="nil"/>
              <w:bottom w:val="single" w:sz="4" w:space="0" w:color="auto"/>
              <w:right w:val="nil"/>
            </w:tcBorders>
            <w:noWrap/>
            <w:vAlign w:val="bottom"/>
            <w:hideMark/>
          </w:tcPr>
          <w:p w14:paraId="038B76D8"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911319">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133" w:type="pct"/>
            <w:tcBorders>
              <w:top w:val="nil"/>
              <w:left w:val="nil"/>
              <w:bottom w:val="single" w:sz="4" w:space="0" w:color="auto"/>
              <w:right w:val="nil"/>
            </w:tcBorders>
            <w:vAlign w:val="bottom"/>
          </w:tcPr>
          <w:p w14:paraId="185ADC3E"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706" w:type="pct"/>
            <w:tcBorders>
              <w:top w:val="nil"/>
              <w:left w:val="nil"/>
              <w:bottom w:val="single" w:sz="4" w:space="0" w:color="auto"/>
              <w:right w:val="nil"/>
            </w:tcBorders>
            <w:noWrap/>
            <w:vAlign w:val="bottom"/>
            <w:hideMark/>
          </w:tcPr>
          <w:p w14:paraId="70BFEA99" w14:textId="77777777" w:rsidR="004D5D50" w:rsidRPr="00F02C0D" w:rsidRDefault="004D5D50" w:rsidP="004A2E8B">
            <w:pPr>
              <w:spacing w:after="0"/>
              <w:jc w:val="center"/>
              <w:rPr>
                <w:rFonts w:ascii="Times New Roman" w:eastAsia="Times New Roman" w:hAnsi="Times New Roman" w:cs="Times New Roman"/>
                <w:color w:val="000000"/>
                <w:sz w:val="20"/>
                <w:szCs w:val="20"/>
                <w:lang w:eastAsia="en-GB"/>
              </w:rPr>
            </w:pPr>
          </w:p>
        </w:tc>
        <w:tc>
          <w:tcPr>
            <w:tcW w:w="487" w:type="pct"/>
            <w:tcBorders>
              <w:top w:val="nil"/>
              <w:left w:val="nil"/>
              <w:bottom w:val="single" w:sz="4" w:space="0" w:color="auto"/>
              <w:right w:val="nil"/>
            </w:tcBorders>
            <w:noWrap/>
            <w:vAlign w:val="bottom"/>
            <w:hideMark/>
          </w:tcPr>
          <w:p w14:paraId="0D97D2A4" w14:textId="77777777" w:rsidR="004D5D50" w:rsidRPr="00F02C0D" w:rsidRDefault="004D5D50" w:rsidP="004A2E8B">
            <w:pPr>
              <w:spacing w:after="0"/>
              <w:jc w:val="center"/>
              <w:rPr>
                <w:rFonts w:ascii="Times New Roman" w:eastAsia="Times New Roman" w:hAnsi="Times New Roman" w:cs="Times New Roman"/>
                <w:sz w:val="20"/>
                <w:szCs w:val="20"/>
                <w:lang w:eastAsia="en-GB"/>
              </w:rPr>
            </w:pPr>
          </w:p>
        </w:tc>
      </w:tr>
    </w:tbl>
    <w:p w14:paraId="71250EF6" w14:textId="77777777" w:rsidR="004D5D50" w:rsidRPr="0085686F" w:rsidRDefault="004D5D50" w:rsidP="004D5D50">
      <w:pPr>
        <w:spacing w:before="240"/>
        <w:jc w:val="both"/>
        <w:rPr>
          <w:rFonts w:ascii="Times New Roman" w:hAnsi="Times New Roman" w:cs="Times New Roman"/>
          <w:sz w:val="20"/>
          <w:szCs w:val="20"/>
        </w:rPr>
      </w:pPr>
      <w:r>
        <w:rPr>
          <w:rFonts w:ascii="Times New Roman" w:hAnsi="Times New Roman" w:cs="Times New Roman"/>
          <w:sz w:val="20"/>
          <w:szCs w:val="20"/>
        </w:rPr>
        <w:t>Panel C: Double Sort with value-to-book</w:t>
      </w:r>
    </w:p>
    <w:tbl>
      <w:tblPr>
        <w:tblW w:w="5000" w:type="pct"/>
        <w:tblLook w:val="04A0" w:firstRow="1" w:lastRow="0" w:firstColumn="1" w:lastColumn="0" w:noHBand="0" w:noVBand="1"/>
      </w:tblPr>
      <w:tblGrid>
        <w:gridCol w:w="1527"/>
        <w:gridCol w:w="1106"/>
        <w:gridCol w:w="1054"/>
        <w:gridCol w:w="1133"/>
        <w:gridCol w:w="1133"/>
        <w:gridCol w:w="1133"/>
        <w:gridCol w:w="222"/>
        <w:gridCol w:w="1183"/>
        <w:gridCol w:w="869"/>
      </w:tblGrid>
      <w:tr w:rsidR="004D5D50" w:rsidRPr="00282AD8" w14:paraId="118E73C0" w14:textId="77777777" w:rsidTr="004A2E8B">
        <w:tc>
          <w:tcPr>
            <w:tcW w:w="818" w:type="pct"/>
            <w:tcBorders>
              <w:top w:val="single" w:sz="4" w:space="0" w:color="auto"/>
              <w:left w:val="nil"/>
              <w:right w:val="nil"/>
            </w:tcBorders>
            <w:noWrap/>
            <w:vAlign w:val="bottom"/>
            <w:hideMark/>
          </w:tcPr>
          <w:p w14:paraId="35BBE76F"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w:t>
            </w:r>
          </w:p>
        </w:tc>
        <w:tc>
          <w:tcPr>
            <w:tcW w:w="593" w:type="pct"/>
            <w:tcBorders>
              <w:top w:val="single" w:sz="4" w:space="0" w:color="auto"/>
              <w:left w:val="nil"/>
              <w:right w:val="nil"/>
            </w:tcBorders>
            <w:vAlign w:val="bottom"/>
          </w:tcPr>
          <w:p w14:paraId="04AA4EBE"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p>
        </w:tc>
        <w:tc>
          <w:tcPr>
            <w:tcW w:w="565" w:type="pct"/>
            <w:tcBorders>
              <w:top w:val="single" w:sz="4" w:space="0" w:color="auto"/>
              <w:left w:val="nil"/>
              <w:right w:val="nil"/>
            </w:tcBorders>
            <w:noWrap/>
            <w:vAlign w:val="bottom"/>
            <w:hideMark/>
          </w:tcPr>
          <w:p w14:paraId="149B7218"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w:t>
            </w:r>
          </w:p>
        </w:tc>
        <w:tc>
          <w:tcPr>
            <w:tcW w:w="605" w:type="pct"/>
            <w:tcBorders>
              <w:top w:val="single" w:sz="4" w:space="0" w:color="auto"/>
              <w:left w:val="nil"/>
              <w:right w:val="nil"/>
            </w:tcBorders>
            <w:noWrap/>
            <w:vAlign w:val="bottom"/>
            <w:hideMark/>
          </w:tcPr>
          <w:p w14:paraId="2A74B67F"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w:t>
            </w:r>
          </w:p>
        </w:tc>
        <w:tc>
          <w:tcPr>
            <w:tcW w:w="594" w:type="pct"/>
            <w:tcBorders>
              <w:top w:val="single" w:sz="4" w:space="0" w:color="auto"/>
              <w:left w:val="nil"/>
              <w:right w:val="nil"/>
            </w:tcBorders>
            <w:noWrap/>
            <w:vAlign w:val="bottom"/>
            <w:hideMark/>
          </w:tcPr>
          <w:p w14:paraId="5A89ED51"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VU</w:t>
            </w:r>
          </w:p>
        </w:tc>
        <w:tc>
          <w:tcPr>
            <w:tcW w:w="605" w:type="pct"/>
            <w:tcBorders>
              <w:top w:val="single" w:sz="4" w:space="0" w:color="auto"/>
              <w:left w:val="nil"/>
              <w:right w:val="nil"/>
            </w:tcBorders>
            <w:noWrap/>
            <w:vAlign w:val="bottom"/>
            <w:hideMark/>
          </w:tcPr>
          <w:p w14:paraId="78622BB1"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w:t>
            </w:r>
          </w:p>
        </w:tc>
        <w:tc>
          <w:tcPr>
            <w:tcW w:w="119" w:type="pct"/>
            <w:tcBorders>
              <w:top w:val="single" w:sz="4" w:space="0" w:color="auto"/>
              <w:left w:val="nil"/>
              <w:right w:val="nil"/>
            </w:tcBorders>
            <w:vAlign w:val="bottom"/>
          </w:tcPr>
          <w:p w14:paraId="69331B63"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p>
        </w:tc>
        <w:tc>
          <w:tcPr>
            <w:tcW w:w="632" w:type="pct"/>
            <w:tcBorders>
              <w:top w:val="single" w:sz="4" w:space="0" w:color="auto"/>
              <w:left w:val="nil"/>
              <w:right w:val="nil"/>
            </w:tcBorders>
            <w:noWrap/>
            <w:vAlign w:val="bottom"/>
            <w:hideMark/>
          </w:tcPr>
          <w:p w14:paraId="68AE88FE"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w:t>
            </w:r>
          </w:p>
        </w:tc>
        <w:tc>
          <w:tcPr>
            <w:tcW w:w="468" w:type="pct"/>
            <w:tcBorders>
              <w:top w:val="single" w:sz="4" w:space="0" w:color="auto"/>
              <w:left w:val="nil"/>
              <w:right w:val="nil"/>
            </w:tcBorders>
            <w:noWrap/>
            <w:vAlign w:val="bottom"/>
            <w:hideMark/>
          </w:tcPr>
          <w:p w14:paraId="0ACA64EC"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w:t>
            </w:r>
          </w:p>
        </w:tc>
      </w:tr>
      <w:tr w:rsidR="004D5D50" w:rsidRPr="00282AD8" w14:paraId="7DA356F4" w14:textId="77777777" w:rsidTr="004A2E8B">
        <w:tc>
          <w:tcPr>
            <w:tcW w:w="818" w:type="pct"/>
            <w:tcBorders>
              <w:left w:val="nil"/>
              <w:bottom w:val="nil"/>
              <w:right w:val="nil"/>
            </w:tcBorders>
            <w:noWrap/>
            <w:vAlign w:val="bottom"/>
            <w:hideMark/>
          </w:tcPr>
          <w:p w14:paraId="20FB4134" w14:textId="77777777" w:rsidR="004D5D50" w:rsidRPr="00282AD8" w:rsidRDefault="004D5D50" w:rsidP="004A2E8B">
            <w:pPr>
              <w:spacing w:after="0"/>
              <w:rPr>
                <w:rFonts w:ascii="Times New Roman" w:eastAsia="Times New Roman" w:hAnsi="Times New Roman" w:cs="Times New Roman"/>
                <w:color w:val="000000"/>
                <w:sz w:val="20"/>
                <w:szCs w:val="20"/>
                <w:lang w:eastAsia="en-GB"/>
              </w:rPr>
            </w:pPr>
          </w:p>
        </w:tc>
        <w:tc>
          <w:tcPr>
            <w:tcW w:w="593" w:type="pct"/>
            <w:tcBorders>
              <w:left w:val="nil"/>
              <w:right w:val="nil"/>
            </w:tcBorders>
            <w:vAlign w:val="bottom"/>
          </w:tcPr>
          <w:p w14:paraId="6201210F"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left w:val="nil"/>
              <w:bottom w:val="single" w:sz="4" w:space="0" w:color="auto"/>
              <w:right w:val="nil"/>
            </w:tcBorders>
            <w:noWrap/>
            <w:vAlign w:val="bottom"/>
            <w:hideMark/>
          </w:tcPr>
          <w:p w14:paraId="605E2CFD"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Low</w:t>
            </w:r>
          </w:p>
        </w:tc>
        <w:tc>
          <w:tcPr>
            <w:tcW w:w="605" w:type="pct"/>
            <w:tcBorders>
              <w:left w:val="nil"/>
              <w:bottom w:val="single" w:sz="4" w:space="0" w:color="auto"/>
              <w:right w:val="nil"/>
            </w:tcBorders>
            <w:noWrap/>
            <w:vAlign w:val="bottom"/>
            <w:hideMark/>
          </w:tcPr>
          <w:p w14:paraId="17F0DF5F"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2</w:t>
            </w:r>
          </w:p>
        </w:tc>
        <w:tc>
          <w:tcPr>
            <w:tcW w:w="594" w:type="pct"/>
            <w:tcBorders>
              <w:left w:val="nil"/>
              <w:bottom w:val="single" w:sz="4" w:space="0" w:color="auto"/>
              <w:right w:val="nil"/>
            </w:tcBorders>
            <w:noWrap/>
            <w:vAlign w:val="bottom"/>
            <w:hideMark/>
          </w:tcPr>
          <w:p w14:paraId="0EB603DA"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3</w:t>
            </w:r>
          </w:p>
        </w:tc>
        <w:tc>
          <w:tcPr>
            <w:tcW w:w="605" w:type="pct"/>
            <w:tcBorders>
              <w:left w:val="nil"/>
              <w:bottom w:val="single" w:sz="4" w:space="0" w:color="auto"/>
              <w:right w:val="nil"/>
            </w:tcBorders>
            <w:noWrap/>
            <w:vAlign w:val="bottom"/>
            <w:hideMark/>
          </w:tcPr>
          <w:p w14:paraId="77BE687B"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High</w:t>
            </w:r>
          </w:p>
        </w:tc>
        <w:tc>
          <w:tcPr>
            <w:tcW w:w="119" w:type="pct"/>
            <w:tcBorders>
              <w:left w:val="nil"/>
              <w:bottom w:val="single" w:sz="4" w:space="0" w:color="auto"/>
              <w:right w:val="nil"/>
            </w:tcBorders>
            <w:vAlign w:val="bottom"/>
          </w:tcPr>
          <w:p w14:paraId="5EBB2FEB"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left w:val="nil"/>
              <w:bottom w:val="single" w:sz="4" w:space="0" w:color="auto"/>
              <w:right w:val="nil"/>
            </w:tcBorders>
            <w:noWrap/>
            <w:vAlign w:val="bottom"/>
            <w:hideMark/>
          </w:tcPr>
          <w:p w14:paraId="4E2A2050"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color w:val="000000"/>
                <w:sz w:val="20"/>
                <w:szCs w:val="20"/>
                <w:lang w:eastAsia="en-GB"/>
              </w:rPr>
              <w:t xml:space="preserve">High </w:t>
            </w:r>
            <w:r>
              <w:rPr>
                <w:rFonts w:ascii="Times New Roman" w:eastAsia="Times New Roman" w:hAnsi="Times New Roman" w:cs="Times New Roman"/>
                <w:color w:val="000000"/>
                <w:sz w:val="20"/>
                <w:szCs w:val="20"/>
                <w:lang w:eastAsia="en-GB"/>
              </w:rPr>
              <w:t>–</w:t>
            </w:r>
            <w:r w:rsidRPr="00282AD8">
              <w:rPr>
                <w:rFonts w:ascii="Times New Roman" w:eastAsia="Times New Roman" w:hAnsi="Times New Roman" w:cs="Times New Roman"/>
                <w:color w:val="000000"/>
                <w:sz w:val="20"/>
                <w:szCs w:val="20"/>
                <w:lang w:eastAsia="en-GB"/>
              </w:rPr>
              <w:t xml:space="preserve"> Low</w:t>
            </w:r>
          </w:p>
        </w:tc>
        <w:tc>
          <w:tcPr>
            <w:tcW w:w="468" w:type="pct"/>
            <w:tcBorders>
              <w:left w:val="nil"/>
              <w:bottom w:val="single" w:sz="4" w:space="0" w:color="auto"/>
              <w:right w:val="nil"/>
            </w:tcBorders>
            <w:noWrap/>
            <w:vAlign w:val="bottom"/>
            <w:hideMark/>
          </w:tcPr>
          <w:p w14:paraId="41268404"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sidRPr="00282AD8">
              <w:rPr>
                <w:rFonts w:ascii="Times New Roman" w:eastAsia="Times New Roman" w:hAnsi="Times New Roman" w:cs="Times New Roman"/>
                <w:i/>
                <w:iCs/>
                <w:color w:val="000000"/>
                <w:sz w:val="20"/>
                <w:szCs w:val="20"/>
                <w:lang w:eastAsia="en-GB"/>
              </w:rPr>
              <w:t>p</w:t>
            </w:r>
            <w:r w:rsidRPr="00282AD8">
              <w:rPr>
                <w:rFonts w:ascii="Times New Roman" w:eastAsia="Times New Roman" w:hAnsi="Times New Roman" w:cs="Times New Roman"/>
                <w:color w:val="000000"/>
                <w:sz w:val="20"/>
                <w:szCs w:val="20"/>
                <w:lang w:eastAsia="en-GB"/>
              </w:rPr>
              <w:t>-value</w:t>
            </w:r>
          </w:p>
        </w:tc>
      </w:tr>
      <w:tr w:rsidR="004D5D50" w:rsidRPr="00282AD8" w14:paraId="5A92BB2E" w14:textId="77777777" w:rsidTr="004A2E8B">
        <w:tc>
          <w:tcPr>
            <w:tcW w:w="818" w:type="pct"/>
            <w:tcBorders>
              <w:top w:val="nil"/>
              <w:left w:val="nil"/>
              <w:bottom w:val="nil"/>
              <w:right w:val="nil"/>
            </w:tcBorders>
            <w:noWrap/>
            <w:vAlign w:val="bottom"/>
            <w:hideMark/>
          </w:tcPr>
          <w:p w14:paraId="7E4BD61C" w14:textId="77777777" w:rsidR="004D5D50" w:rsidRPr="00282AD8" w:rsidRDefault="004D5D50" w:rsidP="004A2E8B">
            <w:pPr>
              <w:spacing w:after="0"/>
              <w:rPr>
                <w:rFonts w:ascii="Times New Roman" w:eastAsia="Times New Roman" w:hAnsi="Times New Roman" w:cs="Times New Roman"/>
                <w:i/>
                <w:iCs/>
                <w:color w:val="000000"/>
                <w:sz w:val="20"/>
                <w:szCs w:val="20"/>
                <w:u w:val="single"/>
                <w:lang w:eastAsia="en-GB"/>
              </w:rPr>
            </w:pPr>
            <w:r w:rsidRPr="00282AD8">
              <w:rPr>
                <w:rFonts w:ascii="Times New Roman" w:eastAsia="Times New Roman" w:hAnsi="Times New Roman" w:cs="Times New Roman"/>
                <w:iCs/>
                <w:color w:val="000000"/>
                <w:sz w:val="20"/>
                <w:szCs w:val="20"/>
                <w:u w:val="single"/>
                <w:lang w:eastAsia="en-CA"/>
              </w:rPr>
              <w:t>Value-to-book</w:t>
            </w:r>
          </w:p>
        </w:tc>
        <w:tc>
          <w:tcPr>
            <w:tcW w:w="593" w:type="pct"/>
            <w:tcBorders>
              <w:top w:val="nil"/>
              <w:left w:val="nil"/>
              <w:bottom w:val="single" w:sz="4" w:space="0" w:color="auto"/>
              <w:right w:val="nil"/>
            </w:tcBorders>
            <w:vAlign w:val="bottom"/>
          </w:tcPr>
          <w:p w14:paraId="3E61D999" w14:textId="77777777" w:rsidR="004D5D50" w:rsidRPr="00282AD8"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Exp.</w:t>
            </w:r>
            <w:r w:rsidRPr="00282AD8">
              <w:rPr>
                <w:rFonts w:ascii="Times New Roman" w:eastAsia="Times New Roman" w:hAnsi="Times New Roman" w:cs="Times New Roman"/>
                <w:color w:val="000000"/>
                <w:sz w:val="20"/>
                <w:szCs w:val="20"/>
                <w:lang w:eastAsia="en-GB"/>
              </w:rPr>
              <w:t xml:space="preserve"> Sign</w:t>
            </w:r>
          </w:p>
        </w:tc>
        <w:tc>
          <w:tcPr>
            <w:tcW w:w="565" w:type="pct"/>
            <w:tcBorders>
              <w:top w:val="single" w:sz="4" w:space="0" w:color="auto"/>
              <w:left w:val="nil"/>
              <w:bottom w:val="nil"/>
              <w:right w:val="nil"/>
            </w:tcBorders>
            <w:noWrap/>
            <w:vAlign w:val="bottom"/>
            <w:hideMark/>
          </w:tcPr>
          <w:p w14:paraId="4AE58BF0" w14:textId="77777777" w:rsidR="004D5D50" w:rsidRPr="00282AD8" w:rsidRDefault="004D5D50" w:rsidP="004A2E8B">
            <w:pPr>
              <w:spacing w:after="0"/>
              <w:rPr>
                <w:rFonts w:ascii="Times New Roman" w:eastAsia="Times New Roman" w:hAnsi="Times New Roman" w:cs="Times New Roman"/>
                <w:i/>
                <w:iCs/>
                <w:color w:val="000000"/>
                <w:sz w:val="20"/>
                <w:szCs w:val="20"/>
                <w:lang w:eastAsia="en-GB"/>
              </w:rPr>
            </w:pPr>
          </w:p>
        </w:tc>
        <w:tc>
          <w:tcPr>
            <w:tcW w:w="605" w:type="pct"/>
            <w:tcBorders>
              <w:top w:val="single" w:sz="4" w:space="0" w:color="auto"/>
              <w:left w:val="nil"/>
              <w:bottom w:val="nil"/>
              <w:right w:val="nil"/>
            </w:tcBorders>
            <w:noWrap/>
            <w:vAlign w:val="bottom"/>
            <w:hideMark/>
          </w:tcPr>
          <w:p w14:paraId="6336495B" w14:textId="77777777" w:rsidR="004D5D50" w:rsidRPr="00282AD8" w:rsidRDefault="004D5D50" w:rsidP="004A2E8B">
            <w:pPr>
              <w:spacing w:after="0"/>
              <w:jc w:val="center"/>
              <w:rPr>
                <w:rFonts w:ascii="Times New Roman" w:eastAsia="Times New Roman" w:hAnsi="Times New Roman" w:cs="Times New Roman"/>
                <w:sz w:val="20"/>
                <w:szCs w:val="20"/>
                <w:lang w:eastAsia="en-GB"/>
              </w:rPr>
            </w:pPr>
          </w:p>
        </w:tc>
        <w:tc>
          <w:tcPr>
            <w:tcW w:w="594" w:type="pct"/>
            <w:tcBorders>
              <w:top w:val="single" w:sz="4" w:space="0" w:color="auto"/>
              <w:left w:val="nil"/>
              <w:bottom w:val="nil"/>
              <w:right w:val="nil"/>
            </w:tcBorders>
            <w:noWrap/>
            <w:vAlign w:val="bottom"/>
            <w:hideMark/>
          </w:tcPr>
          <w:p w14:paraId="34A919BA" w14:textId="77777777" w:rsidR="004D5D50" w:rsidRPr="00282AD8" w:rsidRDefault="004D5D50" w:rsidP="004A2E8B">
            <w:pPr>
              <w:spacing w:after="0"/>
              <w:jc w:val="center"/>
              <w:rPr>
                <w:rFonts w:ascii="Times New Roman" w:eastAsia="Times New Roman" w:hAnsi="Times New Roman" w:cs="Times New Roman"/>
                <w:sz w:val="20"/>
                <w:szCs w:val="20"/>
                <w:lang w:eastAsia="en-GB"/>
              </w:rPr>
            </w:pPr>
          </w:p>
        </w:tc>
        <w:tc>
          <w:tcPr>
            <w:tcW w:w="605" w:type="pct"/>
            <w:tcBorders>
              <w:top w:val="single" w:sz="4" w:space="0" w:color="auto"/>
              <w:left w:val="nil"/>
              <w:bottom w:val="nil"/>
              <w:right w:val="nil"/>
            </w:tcBorders>
            <w:noWrap/>
            <w:vAlign w:val="bottom"/>
            <w:hideMark/>
          </w:tcPr>
          <w:p w14:paraId="564CBD1A" w14:textId="77777777" w:rsidR="004D5D50" w:rsidRPr="00282AD8" w:rsidRDefault="004D5D50" w:rsidP="004A2E8B">
            <w:pPr>
              <w:spacing w:after="0"/>
              <w:jc w:val="center"/>
              <w:rPr>
                <w:rFonts w:ascii="Times New Roman" w:eastAsia="Times New Roman" w:hAnsi="Times New Roman" w:cs="Times New Roman"/>
                <w:sz w:val="20"/>
                <w:szCs w:val="20"/>
                <w:lang w:eastAsia="en-GB"/>
              </w:rPr>
            </w:pPr>
          </w:p>
        </w:tc>
        <w:tc>
          <w:tcPr>
            <w:tcW w:w="119" w:type="pct"/>
            <w:tcBorders>
              <w:top w:val="single" w:sz="4" w:space="0" w:color="auto"/>
              <w:left w:val="nil"/>
              <w:bottom w:val="nil"/>
              <w:right w:val="nil"/>
            </w:tcBorders>
            <w:vAlign w:val="bottom"/>
          </w:tcPr>
          <w:p w14:paraId="58FF61B0" w14:textId="77777777" w:rsidR="004D5D50" w:rsidRPr="00282AD8" w:rsidRDefault="004D5D50" w:rsidP="004A2E8B">
            <w:pPr>
              <w:spacing w:after="0"/>
              <w:jc w:val="center"/>
              <w:rPr>
                <w:rFonts w:ascii="Times New Roman" w:eastAsia="Times New Roman" w:hAnsi="Times New Roman" w:cs="Times New Roman"/>
                <w:sz w:val="20"/>
                <w:szCs w:val="20"/>
                <w:lang w:eastAsia="en-GB"/>
              </w:rPr>
            </w:pPr>
          </w:p>
        </w:tc>
        <w:tc>
          <w:tcPr>
            <w:tcW w:w="632" w:type="pct"/>
            <w:tcBorders>
              <w:top w:val="single" w:sz="4" w:space="0" w:color="auto"/>
              <w:left w:val="nil"/>
              <w:bottom w:val="nil"/>
              <w:right w:val="nil"/>
            </w:tcBorders>
            <w:noWrap/>
            <w:vAlign w:val="bottom"/>
            <w:hideMark/>
          </w:tcPr>
          <w:p w14:paraId="58539592" w14:textId="77777777" w:rsidR="004D5D50" w:rsidRPr="00282AD8" w:rsidRDefault="004D5D50" w:rsidP="004A2E8B">
            <w:pPr>
              <w:spacing w:after="0"/>
              <w:jc w:val="center"/>
              <w:rPr>
                <w:rFonts w:ascii="Times New Roman" w:eastAsia="Times New Roman" w:hAnsi="Times New Roman" w:cs="Times New Roman"/>
                <w:sz w:val="20"/>
                <w:szCs w:val="20"/>
                <w:lang w:eastAsia="en-GB"/>
              </w:rPr>
            </w:pPr>
          </w:p>
        </w:tc>
        <w:tc>
          <w:tcPr>
            <w:tcW w:w="468" w:type="pct"/>
            <w:tcBorders>
              <w:top w:val="single" w:sz="4" w:space="0" w:color="auto"/>
              <w:left w:val="nil"/>
              <w:bottom w:val="nil"/>
              <w:right w:val="nil"/>
            </w:tcBorders>
            <w:noWrap/>
            <w:vAlign w:val="bottom"/>
            <w:hideMark/>
          </w:tcPr>
          <w:p w14:paraId="199DECD1" w14:textId="77777777" w:rsidR="004D5D50" w:rsidRPr="00282AD8" w:rsidRDefault="004D5D50" w:rsidP="004A2E8B">
            <w:pPr>
              <w:spacing w:after="0"/>
              <w:rPr>
                <w:rFonts w:ascii="Times New Roman" w:eastAsia="Times New Roman" w:hAnsi="Times New Roman" w:cs="Times New Roman"/>
                <w:sz w:val="20"/>
                <w:szCs w:val="20"/>
                <w:lang w:eastAsia="en-GB"/>
              </w:rPr>
            </w:pPr>
          </w:p>
        </w:tc>
      </w:tr>
      <w:tr w:rsidR="004D5D50" w:rsidRPr="00322C1D" w14:paraId="0A27AE82" w14:textId="77777777" w:rsidTr="004A2E8B">
        <w:tc>
          <w:tcPr>
            <w:tcW w:w="818" w:type="pct"/>
            <w:tcBorders>
              <w:top w:val="nil"/>
              <w:left w:val="nil"/>
              <w:bottom w:val="nil"/>
              <w:right w:val="nil"/>
            </w:tcBorders>
            <w:noWrap/>
            <w:vAlign w:val="bottom"/>
            <w:hideMark/>
          </w:tcPr>
          <w:p w14:paraId="4A23C8D3"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Low</w:t>
            </w:r>
          </w:p>
        </w:tc>
        <w:tc>
          <w:tcPr>
            <w:tcW w:w="593" w:type="pct"/>
            <w:tcBorders>
              <w:top w:val="single" w:sz="4" w:space="0" w:color="auto"/>
              <w:left w:val="nil"/>
              <w:bottom w:val="nil"/>
              <w:right w:val="nil"/>
            </w:tcBorders>
            <w:vAlign w:val="bottom"/>
          </w:tcPr>
          <w:p w14:paraId="59DC1CD2"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top w:val="nil"/>
              <w:left w:val="nil"/>
              <w:bottom w:val="nil"/>
              <w:right w:val="nil"/>
            </w:tcBorders>
            <w:noWrap/>
            <w:vAlign w:val="bottom"/>
            <w:hideMark/>
          </w:tcPr>
          <w:p w14:paraId="6C4A79C8"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51.712</w:t>
            </w:r>
          </w:p>
        </w:tc>
        <w:tc>
          <w:tcPr>
            <w:tcW w:w="605" w:type="pct"/>
            <w:tcBorders>
              <w:top w:val="nil"/>
              <w:left w:val="nil"/>
              <w:bottom w:val="nil"/>
              <w:right w:val="nil"/>
            </w:tcBorders>
            <w:noWrap/>
            <w:vAlign w:val="bottom"/>
            <w:hideMark/>
          </w:tcPr>
          <w:p w14:paraId="002ED12A"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38.483</w:t>
            </w:r>
          </w:p>
        </w:tc>
        <w:tc>
          <w:tcPr>
            <w:tcW w:w="594" w:type="pct"/>
            <w:tcBorders>
              <w:top w:val="nil"/>
              <w:left w:val="nil"/>
              <w:bottom w:val="nil"/>
              <w:right w:val="nil"/>
            </w:tcBorders>
            <w:noWrap/>
            <w:vAlign w:val="bottom"/>
            <w:hideMark/>
          </w:tcPr>
          <w:p w14:paraId="1F1AF421"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32.258</w:t>
            </w:r>
          </w:p>
        </w:tc>
        <w:tc>
          <w:tcPr>
            <w:tcW w:w="605" w:type="pct"/>
            <w:tcBorders>
              <w:top w:val="nil"/>
              <w:left w:val="nil"/>
              <w:bottom w:val="nil"/>
              <w:right w:val="nil"/>
            </w:tcBorders>
            <w:noWrap/>
            <w:vAlign w:val="bottom"/>
            <w:hideMark/>
          </w:tcPr>
          <w:p w14:paraId="68144E7C"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31.457</w:t>
            </w:r>
          </w:p>
        </w:tc>
        <w:tc>
          <w:tcPr>
            <w:tcW w:w="119" w:type="pct"/>
            <w:tcBorders>
              <w:top w:val="nil"/>
              <w:left w:val="nil"/>
              <w:bottom w:val="nil"/>
              <w:right w:val="nil"/>
            </w:tcBorders>
            <w:vAlign w:val="bottom"/>
          </w:tcPr>
          <w:p w14:paraId="6E13D19F"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bottom w:val="nil"/>
              <w:right w:val="nil"/>
            </w:tcBorders>
            <w:noWrap/>
            <w:vAlign w:val="bottom"/>
            <w:hideMark/>
          </w:tcPr>
          <w:p w14:paraId="095DB428"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-20.255</w:t>
            </w:r>
            <w:r>
              <w:rPr>
                <w:rFonts w:ascii="Times New Roman" w:eastAsia="Times New Roman" w:hAnsi="Times New Roman" w:cs="Times New Roman"/>
                <w:color w:val="000000"/>
                <w:sz w:val="20"/>
                <w:szCs w:val="20"/>
                <w:lang w:eastAsia="en-GB"/>
              </w:rPr>
              <w:t>***</w:t>
            </w:r>
          </w:p>
        </w:tc>
        <w:tc>
          <w:tcPr>
            <w:tcW w:w="468" w:type="pct"/>
            <w:tcBorders>
              <w:top w:val="nil"/>
              <w:left w:val="nil"/>
              <w:bottom w:val="nil"/>
              <w:right w:val="nil"/>
            </w:tcBorders>
            <w:noWrap/>
            <w:vAlign w:val="bottom"/>
            <w:hideMark/>
          </w:tcPr>
          <w:p w14:paraId="6AD50B84"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322C1D" w14:paraId="6F915150" w14:textId="77777777" w:rsidTr="004A2E8B">
        <w:tc>
          <w:tcPr>
            <w:tcW w:w="818" w:type="pct"/>
            <w:tcBorders>
              <w:top w:val="nil"/>
              <w:left w:val="nil"/>
              <w:bottom w:val="nil"/>
              <w:right w:val="nil"/>
            </w:tcBorders>
            <w:noWrap/>
            <w:vAlign w:val="bottom"/>
            <w:hideMark/>
          </w:tcPr>
          <w:p w14:paraId="2F5E65E7"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w:t>
            </w:r>
          </w:p>
        </w:tc>
        <w:tc>
          <w:tcPr>
            <w:tcW w:w="593" w:type="pct"/>
            <w:tcBorders>
              <w:top w:val="nil"/>
              <w:left w:val="nil"/>
              <w:bottom w:val="nil"/>
              <w:right w:val="nil"/>
            </w:tcBorders>
            <w:vAlign w:val="bottom"/>
          </w:tcPr>
          <w:p w14:paraId="53781CFE"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top w:val="nil"/>
              <w:left w:val="nil"/>
              <w:bottom w:val="nil"/>
              <w:right w:val="nil"/>
            </w:tcBorders>
            <w:noWrap/>
            <w:vAlign w:val="bottom"/>
            <w:hideMark/>
          </w:tcPr>
          <w:p w14:paraId="41FD2074"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50.406</w:t>
            </w:r>
          </w:p>
        </w:tc>
        <w:tc>
          <w:tcPr>
            <w:tcW w:w="605" w:type="pct"/>
            <w:tcBorders>
              <w:top w:val="nil"/>
              <w:left w:val="nil"/>
              <w:bottom w:val="nil"/>
              <w:right w:val="nil"/>
            </w:tcBorders>
            <w:noWrap/>
            <w:vAlign w:val="bottom"/>
            <w:hideMark/>
          </w:tcPr>
          <w:p w14:paraId="26D2D65D"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36.501</w:t>
            </w:r>
          </w:p>
        </w:tc>
        <w:tc>
          <w:tcPr>
            <w:tcW w:w="594" w:type="pct"/>
            <w:tcBorders>
              <w:top w:val="nil"/>
              <w:left w:val="nil"/>
              <w:bottom w:val="nil"/>
              <w:right w:val="nil"/>
            </w:tcBorders>
            <w:noWrap/>
            <w:vAlign w:val="bottom"/>
            <w:hideMark/>
          </w:tcPr>
          <w:p w14:paraId="0176678F"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27.816</w:t>
            </w:r>
          </w:p>
        </w:tc>
        <w:tc>
          <w:tcPr>
            <w:tcW w:w="605" w:type="pct"/>
            <w:tcBorders>
              <w:top w:val="nil"/>
              <w:left w:val="nil"/>
              <w:bottom w:val="nil"/>
              <w:right w:val="nil"/>
            </w:tcBorders>
            <w:noWrap/>
            <w:vAlign w:val="bottom"/>
            <w:hideMark/>
          </w:tcPr>
          <w:p w14:paraId="366F8E26"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23.049</w:t>
            </w:r>
          </w:p>
        </w:tc>
        <w:tc>
          <w:tcPr>
            <w:tcW w:w="119" w:type="pct"/>
            <w:tcBorders>
              <w:top w:val="nil"/>
              <w:left w:val="nil"/>
              <w:bottom w:val="nil"/>
              <w:right w:val="nil"/>
            </w:tcBorders>
            <w:vAlign w:val="bottom"/>
          </w:tcPr>
          <w:p w14:paraId="70AD204B"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bottom w:val="nil"/>
              <w:right w:val="nil"/>
            </w:tcBorders>
            <w:noWrap/>
            <w:vAlign w:val="bottom"/>
            <w:hideMark/>
          </w:tcPr>
          <w:p w14:paraId="3CBCD668"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-27.357</w:t>
            </w:r>
            <w:r>
              <w:rPr>
                <w:rFonts w:ascii="Times New Roman" w:eastAsia="Times New Roman" w:hAnsi="Times New Roman" w:cs="Times New Roman"/>
                <w:color w:val="000000"/>
                <w:sz w:val="20"/>
                <w:szCs w:val="20"/>
                <w:lang w:eastAsia="en-GB"/>
              </w:rPr>
              <w:t>***</w:t>
            </w:r>
          </w:p>
        </w:tc>
        <w:tc>
          <w:tcPr>
            <w:tcW w:w="468" w:type="pct"/>
            <w:tcBorders>
              <w:top w:val="nil"/>
              <w:left w:val="nil"/>
              <w:bottom w:val="nil"/>
              <w:right w:val="nil"/>
            </w:tcBorders>
            <w:noWrap/>
            <w:vAlign w:val="bottom"/>
            <w:hideMark/>
          </w:tcPr>
          <w:p w14:paraId="337A22AF"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322C1D" w14:paraId="51CA1106" w14:textId="77777777" w:rsidTr="004A2E8B">
        <w:tc>
          <w:tcPr>
            <w:tcW w:w="818" w:type="pct"/>
            <w:tcBorders>
              <w:top w:val="nil"/>
              <w:left w:val="nil"/>
              <w:bottom w:val="nil"/>
              <w:right w:val="nil"/>
            </w:tcBorders>
            <w:noWrap/>
            <w:vAlign w:val="bottom"/>
            <w:hideMark/>
          </w:tcPr>
          <w:p w14:paraId="34E95DAE"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3</w:t>
            </w:r>
          </w:p>
        </w:tc>
        <w:tc>
          <w:tcPr>
            <w:tcW w:w="593" w:type="pct"/>
            <w:tcBorders>
              <w:top w:val="nil"/>
              <w:left w:val="nil"/>
              <w:bottom w:val="nil"/>
              <w:right w:val="nil"/>
            </w:tcBorders>
            <w:vAlign w:val="bottom"/>
          </w:tcPr>
          <w:p w14:paraId="77BB9A2C"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top w:val="nil"/>
              <w:left w:val="nil"/>
              <w:bottom w:val="nil"/>
              <w:right w:val="nil"/>
            </w:tcBorders>
            <w:noWrap/>
            <w:vAlign w:val="bottom"/>
            <w:hideMark/>
          </w:tcPr>
          <w:p w14:paraId="73169280"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48.585</w:t>
            </w:r>
          </w:p>
        </w:tc>
        <w:tc>
          <w:tcPr>
            <w:tcW w:w="605" w:type="pct"/>
            <w:tcBorders>
              <w:top w:val="nil"/>
              <w:left w:val="nil"/>
              <w:bottom w:val="nil"/>
              <w:right w:val="nil"/>
            </w:tcBorders>
            <w:noWrap/>
            <w:vAlign w:val="bottom"/>
            <w:hideMark/>
          </w:tcPr>
          <w:p w14:paraId="43FF36E7"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33.758</w:t>
            </w:r>
          </w:p>
        </w:tc>
        <w:tc>
          <w:tcPr>
            <w:tcW w:w="594" w:type="pct"/>
            <w:tcBorders>
              <w:top w:val="nil"/>
              <w:left w:val="nil"/>
              <w:bottom w:val="nil"/>
              <w:right w:val="nil"/>
            </w:tcBorders>
            <w:noWrap/>
            <w:vAlign w:val="bottom"/>
            <w:hideMark/>
          </w:tcPr>
          <w:p w14:paraId="30EA263E"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24.237</w:t>
            </w:r>
          </w:p>
        </w:tc>
        <w:tc>
          <w:tcPr>
            <w:tcW w:w="605" w:type="pct"/>
            <w:tcBorders>
              <w:top w:val="nil"/>
              <w:left w:val="nil"/>
              <w:bottom w:val="nil"/>
              <w:right w:val="nil"/>
            </w:tcBorders>
            <w:noWrap/>
            <w:vAlign w:val="bottom"/>
            <w:hideMark/>
          </w:tcPr>
          <w:p w14:paraId="21C9E8B3"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20.134</w:t>
            </w:r>
          </w:p>
        </w:tc>
        <w:tc>
          <w:tcPr>
            <w:tcW w:w="119" w:type="pct"/>
            <w:tcBorders>
              <w:top w:val="nil"/>
              <w:left w:val="nil"/>
              <w:bottom w:val="nil"/>
              <w:right w:val="nil"/>
            </w:tcBorders>
            <w:vAlign w:val="bottom"/>
          </w:tcPr>
          <w:p w14:paraId="59F0DC24"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bottom w:val="nil"/>
              <w:right w:val="nil"/>
            </w:tcBorders>
            <w:noWrap/>
            <w:vAlign w:val="bottom"/>
            <w:hideMark/>
          </w:tcPr>
          <w:p w14:paraId="083A2500"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-28.451</w:t>
            </w:r>
            <w:r>
              <w:rPr>
                <w:rFonts w:ascii="Times New Roman" w:eastAsia="Times New Roman" w:hAnsi="Times New Roman" w:cs="Times New Roman"/>
                <w:color w:val="000000"/>
                <w:sz w:val="20"/>
                <w:szCs w:val="20"/>
                <w:lang w:eastAsia="en-GB"/>
              </w:rPr>
              <w:t>***</w:t>
            </w:r>
          </w:p>
        </w:tc>
        <w:tc>
          <w:tcPr>
            <w:tcW w:w="468" w:type="pct"/>
            <w:tcBorders>
              <w:top w:val="nil"/>
              <w:left w:val="nil"/>
              <w:bottom w:val="nil"/>
              <w:right w:val="nil"/>
            </w:tcBorders>
            <w:noWrap/>
            <w:vAlign w:val="bottom"/>
            <w:hideMark/>
          </w:tcPr>
          <w:p w14:paraId="39AA3543"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322C1D" w14:paraId="0E32AE0E" w14:textId="77777777" w:rsidTr="004A2E8B">
        <w:tc>
          <w:tcPr>
            <w:tcW w:w="818" w:type="pct"/>
            <w:tcBorders>
              <w:top w:val="nil"/>
              <w:left w:val="nil"/>
              <w:bottom w:val="nil"/>
              <w:right w:val="nil"/>
            </w:tcBorders>
            <w:noWrap/>
            <w:vAlign w:val="bottom"/>
            <w:hideMark/>
          </w:tcPr>
          <w:p w14:paraId="4FFBEA2C"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High</w:t>
            </w:r>
          </w:p>
        </w:tc>
        <w:tc>
          <w:tcPr>
            <w:tcW w:w="593" w:type="pct"/>
            <w:tcBorders>
              <w:top w:val="nil"/>
              <w:left w:val="nil"/>
              <w:bottom w:val="nil"/>
              <w:right w:val="nil"/>
            </w:tcBorders>
            <w:vAlign w:val="bottom"/>
          </w:tcPr>
          <w:p w14:paraId="0E536F68"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top w:val="nil"/>
              <w:left w:val="nil"/>
              <w:bottom w:val="nil"/>
              <w:right w:val="nil"/>
            </w:tcBorders>
            <w:noWrap/>
            <w:vAlign w:val="bottom"/>
            <w:hideMark/>
          </w:tcPr>
          <w:p w14:paraId="31E59EF5"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45.449</w:t>
            </w:r>
          </w:p>
        </w:tc>
        <w:tc>
          <w:tcPr>
            <w:tcW w:w="605" w:type="pct"/>
            <w:tcBorders>
              <w:top w:val="nil"/>
              <w:left w:val="nil"/>
              <w:bottom w:val="nil"/>
              <w:right w:val="nil"/>
            </w:tcBorders>
            <w:noWrap/>
            <w:vAlign w:val="bottom"/>
            <w:hideMark/>
          </w:tcPr>
          <w:p w14:paraId="510FDCFE"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27.949</w:t>
            </w:r>
          </w:p>
        </w:tc>
        <w:tc>
          <w:tcPr>
            <w:tcW w:w="594" w:type="pct"/>
            <w:tcBorders>
              <w:top w:val="nil"/>
              <w:left w:val="nil"/>
              <w:bottom w:val="nil"/>
              <w:right w:val="nil"/>
            </w:tcBorders>
            <w:noWrap/>
            <w:vAlign w:val="bottom"/>
            <w:hideMark/>
          </w:tcPr>
          <w:p w14:paraId="689DDAC2"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21.520</w:t>
            </w:r>
          </w:p>
        </w:tc>
        <w:tc>
          <w:tcPr>
            <w:tcW w:w="605" w:type="pct"/>
            <w:tcBorders>
              <w:top w:val="nil"/>
              <w:left w:val="nil"/>
              <w:bottom w:val="nil"/>
              <w:right w:val="nil"/>
            </w:tcBorders>
            <w:noWrap/>
            <w:vAlign w:val="bottom"/>
            <w:hideMark/>
          </w:tcPr>
          <w:p w14:paraId="0ADE2031"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17.447</w:t>
            </w:r>
          </w:p>
        </w:tc>
        <w:tc>
          <w:tcPr>
            <w:tcW w:w="119" w:type="pct"/>
            <w:tcBorders>
              <w:top w:val="nil"/>
              <w:left w:val="nil"/>
              <w:bottom w:val="nil"/>
              <w:right w:val="nil"/>
            </w:tcBorders>
            <w:vAlign w:val="bottom"/>
          </w:tcPr>
          <w:p w14:paraId="0685B7DE"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bottom w:val="nil"/>
              <w:right w:val="nil"/>
            </w:tcBorders>
            <w:noWrap/>
            <w:vAlign w:val="bottom"/>
            <w:hideMark/>
          </w:tcPr>
          <w:p w14:paraId="52EB7EBD"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-28.002</w:t>
            </w:r>
            <w:r>
              <w:rPr>
                <w:rFonts w:ascii="Times New Roman" w:eastAsia="Times New Roman" w:hAnsi="Times New Roman" w:cs="Times New Roman"/>
                <w:color w:val="000000"/>
                <w:sz w:val="20"/>
                <w:szCs w:val="20"/>
                <w:lang w:eastAsia="en-GB"/>
              </w:rPr>
              <w:t>***</w:t>
            </w:r>
          </w:p>
        </w:tc>
        <w:tc>
          <w:tcPr>
            <w:tcW w:w="468" w:type="pct"/>
            <w:tcBorders>
              <w:top w:val="nil"/>
              <w:left w:val="nil"/>
              <w:bottom w:val="nil"/>
              <w:right w:val="nil"/>
            </w:tcBorders>
            <w:noWrap/>
            <w:vAlign w:val="bottom"/>
            <w:hideMark/>
          </w:tcPr>
          <w:p w14:paraId="2F69F041"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r>
      <w:tr w:rsidR="004D5D50" w:rsidRPr="00322C1D" w14:paraId="5943F8BD" w14:textId="77777777" w:rsidTr="004A2E8B">
        <w:tc>
          <w:tcPr>
            <w:tcW w:w="818" w:type="pct"/>
            <w:tcBorders>
              <w:top w:val="nil"/>
              <w:left w:val="nil"/>
              <w:bottom w:val="nil"/>
              <w:right w:val="nil"/>
            </w:tcBorders>
            <w:noWrap/>
            <w:vAlign w:val="bottom"/>
          </w:tcPr>
          <w:p w14:paraId="494C0AA7"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p>
        </w:tc>
        <w:tc>
          <w:tcPr>
            <w:tcW w:w="593" w:type="pct"/>
            <w:tcBorders>
              <w:top w:val="nil"/>
              <w:left w:val="nil"/>
              <w:bottom w:val="nil"/>
              <w:right w:val="nil"/>
            </w:tcBorders>
            <w:vAlign w:val="bottom"/>
          </w:tcPr>
          <w:p w14:paraId="05419205"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top w:val="nil"/>
              <w:left w:val="nil"/>
              <w:bottom w:val="nil"/>
              <w:right w:val="nil"/>
            </w:tcBorders>
            <w:noWrap/>
            <w:vAlign w:val="bottom"/>
          </w:tcPr>
          <w:p w14:paraId="3F8B8C21"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05" w:type="pct"/>
            <w:tcBorders>
              <w:top w:val="nil"/>
              <w:left w:val="nil"/>
              <w:bottom w:val="nil"/>
              <w:right w:val="nil"/>
            </w:tcBorders>
            <w:noWrap/>
            <w:vAlign w:val="bottom"/>
          </w:tcPr>
          <w:p w14:paraId="678B9E4F"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94" w:type="pct"/>
            <w:tcBorders>
              <w:top w:val="nil"/>
              <w:left w:val="nil"/>
              <w:bottom w:val="nil"/>
              <w:right w:val="nil"/>
            </w:tcBorders>
            <w:noWrap/>
            <w:vAlign w:val="bottom"/>
          </w:tcPr>
          <w:p w14:paraId="7245321C"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05" w:type="pct"/>
            <w:tcBorders>
              <w:top w:val="nil"/>
              <w:left w:val="nil"/>
              <w:bottom w:val="nil"/>
              <w:right w:val="nil"/>
            </w:tcBorders>
            <w:noWrap/>
            <w:vAlign w:val="bottom"/>
          </w:tcPr>
          <w:p w14:paraId="63A04E36"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119" w:type="pct"/>
            <w:tcBorders>
              <w:top w:val="nil"/>
              <w:left w:val="nil"/>
              <w:bottom w:val="nil"/>
              <w:right w:val="nil"/>
            </w:tcBorders>
            <w:vAlign w:val="bottom"/>
          </w:tcPr>
          <w:p w14:paraId="17E55924"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bottom w:val="nil"/>
              <w:right w:val="nil"/>
            </w:tcBorders>
            <w:noWrap/>
            <w:vAlign w:val="bottom"/>
          </w:tcPr>
          <w:p w14:paraId="549986A7"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468" w:type="pct"/>
            <w:tcBorders>
              <w:top w:val="nil"/>
              <w:left w:val="nil"/>
              <w:bottom w:val="nil"/>
              <w:right w:val="nil"/>
            </w:tcBorders>
            <w:noWrap/>
            <w:vAlign w:val="bottom"/>
          </w:tcPr>
          <w:p w14:paraId="20CFA6F0"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r>
      <w:tr w:rsidR="004D5D50" w:rsidRPr="00322C1D" w14:paraId="50B10DF2" w14:textId="77777777" w:rsidTr="004A2E8B">
        <w:tc>
          <w:tcPr>
            <w:tcW w:w="818" w:type="pct"/>
            <w:tcBorders>
              <w:top w:val="nil"/>
              <w:left w:val="nil"/>
              <w:right w:val="nil"/>
            </w:tcBorders>
            <w:noWrap/>
            <w:vAlign w:val="bottom"/>
            <w:hideMark/>
          </w:tcPr>
          <w:p w14:paraId="1FAA434D"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 xml:space="preserve">Low – High </w:t>
            </w:r>
          </w:p>
        </w:tc>
        <w:tc>
          <w:tcPr>
            <w:tcW w:w="593" w:type="pct"/>
            <w:tcBorders>
              <w:top w:val="nil"/>
              <w:left w:val="nil"/>
              <w:right w:val="nil"/>
            </w:tcBorders>
            <w:vAlign w:val="bottom"/>
          </w:tcPr>
          <w:p w14:paraId="61E4B63D"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w:t>
            </w:r>
          </w:p>
        </w:tc>
        <w:tc>
          <w:tcPr>
            <w:tcW w:w="565" w:type="pct"/>
            <w:tcBorders>
              <w:top w:val="nil"/>
              <w:left w:val="nil"/>
              <w:right w:val="nil"/>
            </w:tcBorders>
            <w:noWrap/>
            <w:vAlign w:val="bottom"/>
            <w:hideMark/>
          </w:tcPr>
          <w:p w14:paraId="1E303720"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-6.263</w:t>
            </w:r>
            <w:r>
              <w:rPr>
                <w:rFonts w:ascii="Times New Roman" w:eastAsia="Times New Roman" w:hAnsi="Times New Roman" w:cs="Times New Roman"/>
                <w:color w:val="000000"/>
                <w:sz w:val="20"/>
                <w:szCs w:val="20"/>
                <w:lang w:eastAsia="en-GB"/>
              </w:rPr>
              <w:t>*</w:t>
            </w:r>
          </w:p>
        </w:tc>
        <w:tc>
          <w:tcPr>
            <w:tcW w:w="605" w:type="pct"/>
            <w:tcBorders>
              <w:top w:val="nil"/>
              <w:left w:val="nil"/>
              <w:right w:val="nil"/>
            </w:tcBorders>
            <w:noWrap/>
            <w:vAlign w:val="bottom"/>
            <w:hideMark/>
          </w:tcPr>
          <w:p w14:paraId="3ABF8EDB"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-10.534</w:t>
            </w:r>
            <w:r>
              <w:rPr>
                <w:rFonts w:ascii="Times New Roman" w:eastAsia="Times New Roman" w:hAnsi="Times New Roman" w:cs="Times New Roman"/>
                <w:color w:val="000000"/>
                <w:sz w:val="20"/>
                <w:szCs w:val="20"/>
                <w:lang w:eastAsia="en-GB"/>
              </w:rPr>
              <w:t>***</w:t>
            </w:r>
          </w:p>
        </w:tc>
        <w:tc>
          <w:tcPr>
            <w:tcW w:w="594" w:type="pct"/>
            <w:tcBorders>
              <w:top w:val="nil"/>
              <w:left w:val="nil"/>
              <w:right w:val="nil"/>
            </w:tcBorders>
            <w:noWrap/>
            <w:vAlign w:val="bottom"/>
            <w:hideMark/>
          </w:tcPr>
          <w:p w14:paraId="61D8454B"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-10.738</w:t>
            </w:r>
            <w:r>
              <w:rPr>
                <w:rFonts w:ascii="Times New Roman" w:eastAsia="Times New Roman" w:hAnsi="Times New Roman" w:cs="Times New Roman"/>
                <w:color w:val="000000"/>
                <w:sz w:val="20"/>
                <w:szCs w:val="20"/>
                <w:lang w:eastAsia="en-GB"/>
              </w:rPr>
              <w:t>***</w:t>
            </w:r>
          </w:p>
        </w:tc>
        <w:tc>
          <w:tcPr>
            <w:tcW w:w="605" w:type="pct"/>
            <w:tcBorders>
              <w:top w:val="nil"/>
              <w:left w:val="nil"/>
              <w:right w:val="nil"/>
            </w:tcBorders>
            <w:noWrap/>
            <w:vAlign w:val="bottom"/>
            <w:hideMark/>
          </w:tcPr>
          <w:p w14:paraId="40E73100"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-14.010</w:t>
            </w:r>
            <w:r>
              <w:rPr>
                <w:rFonts w:ascii="Times New Roman" w:eastAsia="Times New Roman" w:hAnsi="Times New Roman" w:cs="Times New Roman"/>
                <w:color w:val="000000"/>
                <w:sz w:val="20"/>
                <w:szCs w:val="20"/>
                <w:lang w:eastAsia="en-GB"/>
              </w:rPr>
              <w:t>***</w:t>
            </w:r>
          </w:p>
        </w:tc>
        <w:tc>
          <w:tcPr>
            <w:tcW w:w="119" w:type="pct"/>
            <w:tcBorders>
              <w:top w:val="nil"/>
              <w:left w:val="nil"/>
              <w:right w:val="nil"/>
            </w:tcBorders>
            <w:vAlign w:val="bottom"/>
          </w:tcPr>
          <w:p w14:paraId="004FB647"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right w:val="nil"/>
            </w:tcBorders>
            <w:noWrap/>
            <w:vAlign w:val="bottom"/>
            <w:hideMark/>
          </w:tcPr>
          <w:p w14:paraId="0D107D24"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color w:val="000000"/>
                <w:sz w:val="20"/>
                <w:szCs w:val="20"/>
                <w:lang w:eastAsia="en-GB"/>
              </w:rPr>
              <w:t>-7.747</w:t>
            </w:r>
            <w:r>
              <w:rPr>
                <w:rFonts w:ascii="Times New Roman" w:eastAsia="Times New Roman" w:hAnsi="Times New Roman" w:cs="Times New Roman"/>
                <w:color w:val="000000"/>
                <w:sz w:val="20"/>
                <w:szCs w:val="20"/>
                <w:lang w:eastAsia="en-GB"/>
              </w:rPr>
              <w:t>**</w:t>
            </w:r>
          </w:p>
        </w:tc>
        <w:tc>
          <w:tcPr>
            <w:tcW w:w="468" w:type="pct"/>
            <w:tcBorders>
              <w:top w:val="nil"/>
              <w:left w:val="nil"/>
              <w:right w:val="nil"/>
            </w:tcBorders>
            <w:noWrap/>
            <w:vAlign w:val="bottom"/>
            <w:hideMark/>
          </w:tcPr>
          <w:p w14:paraId="4C9D7C29"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0.027</w:t>
            </w:r>
            <w:r>
              <w:rPr>
                <w:rFonts w:ascii="Times New Roman" w:eastAsia="Times New Roman" w:hAnsi="Times New Roman" w:cs="Times New Roman"/>
                <w:color w:val="000000"/>
                <w:sz w:val="20"/>
                <w:szCs w:val="20"/>
                <w:lang w:eastAsia="en-GB"/>
              </w:rPr>
              <w:t>)</w:t>
            </w:r>
          </w:p>
        </w:tc>
      </w:tr>
      <w:tr w:rsidR="004D5D50" w:rsidRPr="00322C1D" w14:paraId="70BD679F" w14:textId="77777777" w:rsidTr="004A2E8B">
        <w:tc>
          <w:tcPr>
            <w:tcW w:w="818" w:type="pct"/>
            <w:tcBorders>
              <w:top w:val="nil"/>
              <w:left w:val="nil"/>
              <w:bottom w:val="single" w:sz="4" w:space="0" w:color="auto"/>
              <w:right w:val="nil"/>
            </w:tcBorders>
            <w:noWrap/>
            <w:vAlign w:val="bottom"/>
            <w:hideMark/>
          </w:tcPr>
          <w:p w14:paraId="3370DE66" w14:textId="77777777" w:rsidR="004D5D50" w:rsidRPr="00322C1D" w:rsidRDefault="004D5D50" w:rsidP="004A2E8B">
            <w:pPr>
              <w:spacing w:after="0"/>
              <w:rPr>
                <w:rFonts w:ascii="Times New Roman" w:eastAsia="Times New Roman" w:hAnsi="Times New Roman" w:cs="Times New Roman"/>
                <w:color w:val="000000"/>
                <w:sz w:val="20"/>
                <w:szCs w:val="20"/>
                <w:lang w:eastAsia="en-GB"/>
              </w:rPr>
            </w:pPr>
            <w:r w:rsidRPr="00322C1D">
              <w:rPr>
                <w:rFonts w:ascii="Times New Roman" w:eastAsia="Times New Roman" w:hAnsi="Times New Roman" w:cs="Times New Roman"/>
                <w:i/>
                <w:iCs/>
                <w:color w:val="000000"/>
                <w:sz w:val="20"/>
                <w:szCs w:val="20"/>
                <w:lang w:eastAsia="en-GB"/>
              </w:rPr>
              <w:t>p</w:t>
            </w:r>
            <w:r w:rsidRPr="00322C1D">
              <w:rPr>
                <w:rFonts w:ascii="Times New Roman" w:eastAsia="Times New Roman" w:hAnsi="Times New Roman" w:cs="Times New Roman"/>
                <w:color w:val="000000"/>
                <w:sz w:val="20"/>
                <w:szCs w:val="20"/>
                <w:lang w:eastAsia="en-GB"/>
              </w:rPr>
              <w:t>-value</w:t>
            </w:r>
          </w:p>
        </w:tc>
        <w:tc>
          <w:tcPr>
            <w:tcW w:w="593" w:type="pct"/>
            <w:tcBorders>
              <w:top w:val="nil"/>
              <w:left w:val="nil"/>
              <w:bottom w:val="single" w:sz="4" w:space="0" w:color="auto"/>
              <w:right w:val="nil"/>
            </w:tcBorders>
            <w:vAlign w:val="bottom"/>
          </w:tcPr>
          <w:p w14:paraId="0C10AE99"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565" w:type="pct"/>
            <w:tcBorders>
              <w:top w:val="nil"/>
              <w:left w:val="nil"/>
              <w:bottom w:val="single" w:sz="4" w:space="0" w:color="auto"/>
              <w:right w:val="nil"/>
            </w:tcBorders>
            <w:noWrap/>
            <w:vAlign w:val="bottom"/>
            <w:hideMark/>
          </w:tcPr>
          <w:p w14:paraId="7706D841"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0.084</w:t>
            </w:r>
            <w:r>
              <w:rPr>
                <w:rFonts w:ascii="Times New Roman" w:eastAsia="Times New Roman" w:hAnsi="Times New Roman" w:cs="Times New Roman"/>
                <w:color w:val="000000"/>
                <w:sz w:val="20"/>
                <w:szCs w:val="20"/>
                <w:lang w:eastAsia="en-GB"/>
              </w:rPr>
              <w:t>)</w:t>
            </w:r>
          </w:p>
        </w:tc>
        <w:tc>
          <w:tcPr>
            <w:tcW w:w="605" w:type="pct"/>
            <w:tcBorders>
              <w:top w:val="nil"/>
              <w:left w:val="nil"/>
              <w:bottom w:val="single" w:sz="4" w:space="0" w:color="auto"/>
              <w:right w:val="nil"/>
            </w:tcBorders>
            <w:noWrap/>
            <w:vAlign w:val="bottom"/>
            <w:hideMark/>
          </w:tcPr>
          <w:p w14:paraId="5CA32A0D"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594" w:type="pct"/>
            <w:tcBorders>
              <w:top w:val="nil"/>
              <w:left w:val="nil"/>
              <w:bottom w:val="single" w:sz="4" w:space="0" w:color="auto"/>
              <w:right w:val="nil"/>
            </w:tcBorders>
            <w:noWrap/>
            <w:vAlign w:val="bottom"/>
            <w:hideMark/>
          </w:tcPr>
          <w:p w14:paraId="7A91190C"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605" w:type="pct"/>
            <w:tcBorders>
              <w:top w:val="nil"/>
              <w:left w:val="nil"/>
              <w:bottom w:val="single" w:sz="4" w:space="0" w:color="auto"/>
              <w:right w:val="nil"/>
            </w:tcBorders>
            <w:noWrap/>
            <w:vAlign w:val="bottom"/>
            <w:hideMark/>
          </w:tcPr>
          <w:p w14:paraId="2B7AE9E1"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t>
            </w:r>
            <w:r w:rsidRPr="00322C1D">
              <w:rPr>
                <w:rFonts w:ascii="Times New Roman" w:eastAsia="Times New Roman" w:hAnsi="Times New Roman" w:cs="Times New Roman"/>
                <w:color w:val="000000"/>
                <w:sz w:val="20"/>
                <w:szCs w:val="20"/>
                <w:lang w:eastAsia="en-GB"/>
              </w:rPr>
              <w:t>0.000</w:t>
            </w:r>
            <w:r>
              <w:rPr>
                <w:rFonts w:ascii="Times New Roman" w:eastAsia="Times New Roman" w:hAnsi="Times New Roman" w:cs="Times New Roman"/>
                <w:color w:val="000000"/>
                <w:sz w:val="20"/>
                <w:szCs w:val="20"/>
                <w:lang w:eastAsia="en-GB"/>
              </w:rPr>
              <w:t>)</w:t>
            </w:r>
          </w:p>
        </w:tc>
        <w:tc>
          <w:tcPr>
            <w:tcW w:w="119" w:type="pct"/>
            <w:tcBorders>
              <w:top w:val="nil"/>
              <w:left w:val="nil"/>
              <w:bottom w:val="single" w:sz="4" w:space="0" w:color="auto"/>
              <w:right w:val="nil"/>
            </w:tcBorders>
            <w:vAlign w:val="bottom"/>
          </w:tcPr>
          <w:p w14:paraId="256B34C8"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632" w:type="pct"/>
            <w:tcBorders>
              <w:top w:val="nil"/>
              <w:left w:val="nil"/>
              <w:bottom w:val="single" w:sz="4" w:space="0" w:color="auto"/>
              <w:right w:val="nil"/>
            </w:tcBorders>
            <w:noWrap/>
            <w:vAlign w:val="bottom"/>
            <w:hideMark/>
          </w:tcPr>
          <w:p w14:paraId="1CD4A08B" w14:textId="77777777" w:rsidR="004D5D50" w:rsidRPr="00322C1D" w:rsidRDefault="004D5D50" w:rsidP="004A2E8B">
            <w:pPr>
              <w:spacing w:after="0"/>
              <w:jc w:val="center"/>
              <w:rPr>
                <w:rFonts w:ascii="Times New Roman" w:eastAsia="Times New Roman" w:hAnsi="Times New Roman" w:cs="Times New Roman"/>
                <w:color w:val="000000"/>
                <w:sz w:val="20"/>
                <w:szCs w:val="20"/>
                <w:lang w:eastAsia="en-GB"/>
              </w:rPr>
            </w:pPr>
          </w:p>
        </w:tc>
        <w:tc>
          <w:tcPr>
            <w:tcW w:w="468" w:type="pct"/>
            <w:tcBorders>
              <w:top w:val="nil"/>
              <w:left w:val="nil"/>
              <w:bottom w:val="single" w:sz="4" w:space="0" w:color="auto"/>
              <w:right w:val="nil"/>
            </w:tcBorders>
            <w:noWrap/>
            <w:vAlign w:val="bottom"/>
            <w:hideMark/>
          </w:tcPr>
          <w:p w14:paraId="241FBDB4" w14:textId="77777777" w:rsidR="004D5D50" w:rsidRPr="00322C1D" w:rsidRDefault="004D5D50" w:rsidP="004A2E8B">
            <w:pPr>
              <w:spacing w:after="0"/>
              <w:jc w:val="center"/>
              <w:rPr>
                <w:rFonts w:ascii="Times New Roman" w:eastAsia="Times New Roman" w:hAnsi="Times New Roman" w:cs="Times New Roman"/>
                <w:sz w:val="20"/>
                <w:szCs w:val="20"/>
                <w:lang w:eastAsia="en-GB"/>
              </w:rPr>
            </w:pPr>
          </w:p>
        </w:tc>
      </w:tr>
    </w:tbl>
    <w:p w14:paraId="2D3D38AC" w14:textId="77777777" w:rsidR="004D5D50" w:rsidRDefault="004D5D50" w:rsidP="004D5D50">
      <w:pPr>
        <w:rPr>
          <w:rFonts w:ascii="Times New Roman" w:hAnsi="Times New Roman" w:cs="Times New Roman"/>
          <w:b/>
          <w:sz w:val="20"/>
          <w:szCs w:val="20"/>
        </w:rPr>
      </w:pPr>
    </w:p>
    <w:p w14:paraId="799CFDCE" w14:textId="77777777" w:rsidR="005E64C2" w:rsidRDefault="005E64C2" w:rsidP="00156408">
      <w:pPr>
        <w:spacing w:after="0" w:line="276" w:lineRule="auto"/>
        <w:rPr>
          <w:rFonts w:ascii="Times New Roman" w:eastAsia="Calibri" w:hAnsi="Times New Roman" w:cs="Times New Roman"/>
          <w:b/>
          <w:bCs/>
          <w:color w:val="000000"/>
          <w:sz w:val="20"/>
          <w:szCs w:val="20"/>
          <w:lang w:val="en-US"/>
        </w:rPr>
      </w:pPr>
    </w:p>
    <w:sectPr w:rsidR="005E64C2" w:rsidSect="004D5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7295" w14:textId="77777777" w:rsidR="007112CE" w:rsidRDefault="007112CE" w:rsidP="005C7CA4">
      <w:pPr>
        <w:spacing w:after="0" w:line="240" w:lineRule="auto"/>
      </w:pPr>
      <w:r>
        <w:separator/>
      </w:r>
    </w:p>
  </w:endnote>
  <w:endnote w:type="continuationSeparator" w:id="0">
    <w:p w14:paraId="3AE42362" w14:textId="77777777" w:rsidR="007112CE" w:rsidRDefault="007112CE" w:rsidP="005C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360752"/>
      <w:docPartObj>
        <w:docPartGallery w:val="Page Numbers (Bottom of Page)"/>
        <w:docPartUnique/>
      </w:docPartObj>
    </w:sdtPr>
    <w:sdtEndPr>
      <w:rPr>
        <w:rFonts w:ascii="Times New Roman" w:hAnsi="Times New Roman" w:cs="Times New Roman"/>
        <w:noProof/>
        <w:sz w:val="24"/>
        <w:szCs w:val="24"/>
      </w:rPr>
    </w:sdtEndPr>
    <w:sdtContent>
      <w:p w14:paraId="56B4C9E9" w14:textId="77777777" w:rsidR="00D978C6" w:rsidRPr="001D5D82" w:rsidRDefault="00D978C6">
        <w:pPr>
          <w:pStyle w:val="Footer"/>
          <w:jc w:val="center"/>
          <w:rPr>
            <w:rFonts w:ascii="Times New Roman" w:hAnsi="Times New Roman" w:cs="Times New Roman"/>
            <w:sz w:val="24"/>
            <w:szCs w:val="24"/>
          </w:rPr>
        </w:pPr>
        <w:r w:rsidRPr="001D5D82">
          <w:rPr>
            <w:rFonts w:ascii="Times New Roman" w:hAnsi="Times New Roman" w:cs="Times New Roman"/>
            <w:sz w:val="24"/>
            <w:szCs w:val="24"/>
          </w:rPr>
          <w:fldChar w:fldCharType="begin"/>
        </w:r>
        <w:r w:rsidRPr="001D5D82">
          <w:rPr>
            <w:rFonts w:ascii="Times New Roman" w:hAnsi="Times New Roman" w:cs="Times New Roman"/>
            <w:sz w:val="24"/>
            <w:szCs w:val="24"/>
          </w:rPr>
          <w:instrText xml:space="preserve"> PAGE   \* MERGEFORMAT </w:instrText>
        </w:r>
        <w:r w:rsidRPr="001D5D82">
          <w:rPr>
            <w:rFonts w:ascii="Times New Roman" w:hAnsi="Times New Roman" w:cs="Times New Roman"/>
            <w:sz w:val="24"/>
            <w:szCs w:val="24"/>
          </w:rPr>
          <w:fldChar w:fldCharType="separate"/>
        </w:r>
        <w:r w:rsidRPr="001D5D82">
          <w:rPr>
            <w:rFonts w:ascii="Times New Roman" w:hAnsi="Times New Roman" w:cs="Times New Roman"/>
            <w:noProof/>
            <w:sz w:val="24"/>
            <w:szCs w:val="24"/>
          </w:rPr>
          <w:t>2</w:t>
        </w:r>
        <w:r w:rsidRPr="001D5D82">
          <w:rPr>
            <w:rFonts w:ascii="Times New Roman" w:hAnsi="Times New Roman" w:cs="Times New Roman"/>
            <w:noProof/>
            <w:sz w:val="24"/>
            <w:szCs w:val="24"/>
          </w:rPr>
          <w:fldChar w:fldCharType="end"/>
        </w:r>
      </w:p>
    </w:sdtContent>
  </w:sdt>
  <w:p w14:paraId="70B2D133" w14:textId="77777777" w:rsidR="00D978C6" w:rsidRDefault="00D97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C1D5" w14:textId="77777777" w:rsidR="00D978C6" w:rsidRPr="000F5B63" w:rsidRDefault="00D978C6">
    <w:pPr>
      <w:pStyle w:val="Footer"/>
      <w:jc w:val="center"/>
      <w:rPr>
        <w:rFonts w:ascii="Times New Roman" w:hAnsi="Times New Roman" w:cs="Times New Roman"/>
        <w:sz w:val="24"/>
        <w:szCs w:val="24"/>
      </w:rPr>
    </w:pPr>
  </w:p>
  <w:p w14:paraId="1190C872" w14:textId="77777777" w:rsidR="00D978C6" w:rsidRDefault="00D978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966382"/>
      <w:docPartObj>
        <w:docPartGallery w:val="Page Numbers (Bottom of Page)"/>
        <w:docPartUnique/>
      </w:docPartObj>
    </w:sdtPr>
    <w:sdtEndPr>
      <w:rPr>
        <w:rFonts w:ascii="Times New Roman" w:hAnsi="Times New Roman" w:cs="Times New Roman"/>
        <w:noProof/>
        <w:sz w:val="24"/>
        <w:szCs w:val="24"/>
      </w:rPr>
    </w:sdtEndPr>
    <w:sdtContent>
      <w:p w14:paraId="4D282FDA" w14:textId="77777777" w:rsidR="004D5D50" w:rsidRPr="001D5D82" w:rsidRDefault="004D5D50">
        <w:pPr>
          <w:pStyle w:val="Footer"/>
          <w:jc w:val="center"/>
          <w:rPr>
            <w:rFonts w:ascii="Times New Roman" w:hAnsi="Times New Roman" w:cs="Times New Roman"/>
            <w:sz w:val="24"/>
            <w:szCs w:val="24"/>
          </w:rPr>
        </w:pPr>
        <w:r w:rsidRPr="001D5D82">
          <w:rPr>
            <w:rFonts w:ascii="Times New Roman" w:hAnsi="Times New Roman" w:cs="Times New Roman"/>
            <w:sz w:val="24"/>
            <w:szCs w:val="24"/>
          </w:rPr>
          <w:fldChar w:fldCharType="begin"/>
        </w:r>
        <w:r w:rsidRPr="001D5D82">
          <w:rPr>
            <w:rFonts w:ascii="Times New Roman" w:hAnsi="Times New Roman" w:cs="Times New Roman"/>
            <w:sz w:val="24"/>
            <w:szCs w:val="24"/>
          </w:rPr>
          <w:instrText xml:space="preserve"> PAGE   \* MERGEFORMAT </w:instrText>
        </w:r>
        <w:r w:rsidRPr="001D5D82">
          <w:rPr>
            <w:rFonts w:ascii="Times New Roman" w:hAnsi="Times New Roman" w:cs="Times New Roman"/>
            <w:sz w:val="24"/>
            <w:szCs w:val="24"/>
          </w:rPr>
          <w:fldChar w:fldCharType="separate"/>
        </w:r>
        <w:r w:rsidRPr="001D5D82">
          <w:rPr>
            <w:rFonts w:ascii="Times New Roman" w:hAnsi="Times New Roman" w:cs="Times New Roman"/>
            <w:noProof/>
            <w:sz w:val="24"/>
            <w:szCs w:val="24"/>
          </w:rPr>
          <w:t>2</w:t>
        </w:r>
        <w:r w:rsidRPr="001D5D82">
          <w:rPr>
            <w:rFonts w:ascii="Times New Roman" w:hAnsi="Times New Roman" w:cs="Times New Roman"/>
            <w:noProof/>
            <w:sz w:val="24"/>
            <w:szCs w:val="24"/>
          </w:rPr>
          <w:fldChar w:fldCharType="end"/>
        </w:r>
      </w:p>
    </w:sdtContent>
  </w:sdt>
  <w:p w14:paraId="19C08F1F" w14:textId="77777777" w:rsidR="004D5D50" w:rsidRDefault="004D5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356E3" w14:textId="77777777" w:rsidR="007112CE" w:rsidRDefault="007112CE" w:rsidP="005C7CA4">
      <w:pPr>
        <w:spacing w:after="0" w:line="240" w:lineRule="auto"/>
      </w:pPr>
      <w:r>
        <w:separator/>
      </w:r>
    </w:p>
  </w:footnote>
  <w:footnote w:type="continuationSeparator" w:id="0">
    <w:p w14:paraId="464A70CC" w14:textId="77777777" w:rsidR="007112CE" w:rsidRDefault="007112CE" w:rsidP="005C7CA4">
      <w:pPr>
        <w:spacing w:after="0" w:line="240" w:lineRule="auto"/>
      </w:pPr>
      <w:r>
        <w:continuationSeparator/>
      </w:r>
    </w:p>
  </w:footnote>
  <w:footnote w:id="1">
    <w:p w14:paraId="793C5CA7" w14:textId="375E45C5" w:rsidR="00D978C6" w:rsidRPr="00723436" w:rsidRDefault="00D978C6" w:rsidP="00723436">
      <w:pPr>
        <w:pStyle w:val="FootnoteText"/>
        <w:spacing w:line="276" w:lineRule="auto"/>
        <w:jc w:val="both"/>
        <w:rPr>
          <w:rFonts w:ascii="Times New Roman" w:hAnsi="Times New Roman" w:cs="Times New Roman"/>
        </w:rPr>
      </w:pPr>
      <w:r w:rsidRPr="00723436">
        <w:rPr>
          <w:rStyle w:val="FootnoteReference"/>
          <w:rFonts w:ascii="Times New Roman" w:hAnsi="Times New Roman" w:cs="Times New Roman"/>
        </w:rPr>
        <w:footnoteRef/>
      </w:r>
      <w:r w:rsidRPr="00723436">
        <w:rPr>
          <w:rFonts w:ascii="Times New Roman" w:hAnsi="Times New Roman" w:cs="Times New Roman"/>
        </w:rPr>
        <w:t xml:space="preserve"> </w:t>
      </w:r>
      <w:r>
        <w:rPr>
          <w:rFonts w:ascii="Times New Roman" w:hAnsi="Times New Roman" w:cs="Times New Roman"/>
        </w:rPr>
        <w:t xml:space="preserve">Valuation uncertainty is central in models of disclosure (e.g., </w:t>
      </w:r>
      <w:hyperlink w:anchor="_ENREF_52" w:tooltip="Lambert, 2007 #1168"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AuthorYear="1"&gt;&lt;Author&gt;Lambert&lt;/Author&gt;&lt;Year&gt;2007&lt;/Year&gt;&lt;RecNum&gt;1168&lt;/RecNum&gt;&lt;DisplayText&gt;Lambert, Leuz, and Verrecchia (2007)&lt;/DisplayText&gt;&lt;record&gt;&lt;rec-number&gt;1168&lt;/rec-number&gt;&lt;foreign-keys&gt;&lt;key app="EN" db-id="a00ppf5vbz2zw4efraqp9recxrvdwwtasszf" timestamp="1636055776"&gt;1168&lt;/key&gt;&lt;/foreign-keys&gt;&lt;ref-type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pub-dates&gt;&lt;date&gt;05&lt;/date&gt;&lt;/pub-dates&gt;&lt;/dates&gt;&lt;publisher&gt;Wiley-Blackwell&lt;/publisher&gt;&lt;urls&gt;&lt;related-urls&gt;&lt;url&gt;10.1111/j.1475-679X.2007.00238.x&lt;/url&gt;&lt;url&gt;http://search.ebscohost.com/login.aspx?direct=true&amp;amp;AuthType=athens,ip,cookie,url,uid&amp;amp;db=bth&amp;amp;AN=24410347&amp;amp;site=ehost-live &lt;/url&gt;&lt;/related-urls&gt;&lt;/urls&gt;&lt;/record&gt;&lt;/Cite&gt;&lt;/EndNote&gt;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Lambert, Leuz, and Verrecchia (2007)</w:t>
        </w:r>
        <w:r>
          <w:rPr>
            <w:rFonts w:ascii="Times New Roman" w:hAnsi="Times New Roman" w:cs="Times New Roman"/>
          </w:rPr>
          <w:fldChar w:fldCharType="end"/>
        </w:r>
      </w:hyperlink>
      <w:r>
        <w:rPr>
          <w:rFonts w:ascii="Times New Roman" w:hAnsi="Times New Roman" w:cs="Times New Roman"/>
        </w:rPr>
        <w:t xml:space="preserve">, security issuance (e.g., </w:t>
      </w:r>
      <w:hyperlink w:anchor="_ENREF_56" w:tooltip="Myers, 1984 #1411"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AuthorYear="1"&gt;&lt;Author&gt;Myers&lt;/Author&gt;&lt;Year&gt;1984&lt;/Year&gt;&lt;RecNum&gt;1411&lt;/RecNum&gt;&lt;DisplayText&gt;Myers and Majluf (1984)&lt;/DisplayText&gt;&lt;record&gt;&lt;rec-number&gt;1411&lt;/rec-number&gt;&lt;foreign-keys&gt;&lt;key app="EN" db-id="a00ppf5vbz2zw4efraqp9recxrvdwwtasszf" timestamp="1636055778"&gt;1411&lt;/key&gt;&lt;/foreign-keys&gt;&lt;ref-type name="Journal Article"&gt;17&lt;/ref-type&gt;&lt;contributors&gt;&lt;authors&gt;&lt;author&gt;Myers, Stewart C.&lt;/author&gt;&lt;author&gt;Majluf, Nicholas S.&lt;/author&gt;&lt;/authors&gt;&lt;/contributors&gt;&lt;titles&gt;&lt;title&gt;Corporate Financing And Investment  Decisions When Firms Have Information That Investors Do Not Have&lt;/title&gt;&lt;secondary-title&gt;Journal of Financial Economics&lt;/secondary-title&gt;&lt;/titles&gt;&lt;periodical&gt;&lt;full-title&gt;Journal of Financial Economics&lt;/full-title&gt;&lt;/periodical&gt;&lt;pages&gt;187-221&lt;/pages&gt;&lt;volume&gt;13&lt;/volume&gt;&lt;number&gt;2&lt;/number&gt;&lt;keywords&gt;&lt;keyword&gt;INVESTMENT analysis&lt;/keyword&gt;&lt;keyword&gt;STOCKS -- Prices&lt;/keyword&gt;&lt;keyword&gt;INVESTMENTS&lt;/keyword&gt;&lt;keyword&gt;CORPORATIONS -- Finance&lt;/keyword&gt;&lt;keyword&gt;CAPITALISTS &amp;amp; financiers&lt;/keyword&gt;&lt;keyword&gt;EQUITY&lt;/keyword&gt;&lt;keyword&gt;BUSINESS enterprises&lt;/keyword&gt;&lt;/keywords&gt;&lt;dates&gt;&lt;year&gt;1984&lt;/year&gt;&lt;pub-dates&gt;&lt;date&gt;06&lt;/date&gt;&lt;/pub-dates&gt;&lt;/dates&gt;&lt;urls&gt;&lt;related-urls&gt;&lt;url&gt;http://search.ebscohost.com/login.aspx?direct=true&amp;amp;AuthType=athens,ip,cookie,url,uid&amp;amp;db=bth&amp;amp;AN=12249422&amp;amp;site=ehost-live &lt;/url&gt;&lt;/related-urls&gt;&lt;/urls&gt;&lt;/record&gt;&lt;/Cite&gt;&lt;/EndNote&gt;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Myers and Majluf (1984)</w:t>
        </w:r>
        <w:r>
          <w:rPr>
            <w:rFonts w:ascii="Times New Roman" w:hAnsi="Times New Roman" w:cs="Times New Roman"/>
          </w:rPr>
          <w:fldChar w:fldCharType="end"/>
        </w:r>
      </w:hyperlink>
      <w:r>
        <w:rPr>
          <w:rFonts w:ascii="Times New Roman" w:hAnsi="Times New Roman" w:cs="Times New Roman"/>
        </w:rPr>
        <w:t xml:space="preserve">, </w:t>
      </w:r>
      <w:hyperlink w:anchor="_ENREF_14" w:tooltip="Benveniste, 1989 #214"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AuthorYear="1"&gt;&lt;Author&gt;Benveniste&lt;/Author&gt;&lt;Year&gt;1989&lt;/Year&gt;&lt;RecNum&gt;214&lt;/RecNum&gt;&lt;DisplayText&gt;Benveniste and Spindt (1989)&lt;/DisplayText&gt;&lt;record&gt;&lt;rec-number&gt;214&lt;/rec-number&gt;&lt;foreign-keys&gt;&lt;key app="EN" db-id="a00ppf5vbz2zw4efraqp9recxrvdwwtasszf" timestamp="1636055767"&gt;214&lt;/key&gt;&lt;/foreign-keys&gt;&lt;ref-type name="Journal Article"&gt;17&lt;/ref-type&gt;&lt;contributors&gt;&lt;authors&gt;&lt;author&gt;Benveniste, Lawrence M.&lt;/author&gt;&lt;author&gt;Spindt, Paul A.&lt;/author&gt;&lt;/authors&gt;&lt;/contributors&gt;&lt;titles&gt;&lt;title&gt;How Investment Bankers Determine the Offer Price and Allocation of New Issues&lt;/title&gt;&lt;secondary-title&gt;Journal of Financial Economics&lt;/secondary-title&gt;&lt;/titles&gt;&lt;periodical&gt;&lt;full-title&gt;Journal of Financial Economics&lt;/full-title&gt;&lt;/periodical&gt;&lt;pages&gt;343-361&lt;/pages&gt;&lt;volume&gt;24&lt;/volume&gt;&lt;number&gt;2&lt;/number&gt;&lt;keywords&gt;&lt;keyword&gt;INVESTMENT bankers&lt;/keyword&gt;&lt;keyword&gt;CAPITALISTS &amp;amp; financiers&lt;/keyword&gt;&lt;keyword&gt;PRICING&lt;/keyword&gt;&lt;keyword&gt;STOCKS (Finance) -- Prices&lt;/keyword&gt;&lt;keyword&gt;INVESTMENT banking&lt;/keyword&gt;&lt;keyword&gt;BUSINESSMEN&lt;/keyword&gt;&lt;keyword&gt;SECURITIES -- Prices&lt;/keyword&gt;&lt;/keywords&gt;&lt;dates&gt;&lt;year&gt;1989&lt;/year&gt;&lt;/dates&gt;&lt;isbn&gt;0304405X&lt;/isbn&gt;&lt;accession-num&gt;12254010&lt;/accession-num&gt;&lt;work-type&gt;Article&lt;/work-type&gt;&lt;urls&gt;&lt;related-urls&gt;&lt;url&gt;http://search.ebscohost.com/login.aspx?direct=true&amp;amp;db=bth&amp;amp;AN=12254010&amp;amp;site=ehost-live&lt;/url&gt;&lt;/related-urls&gt;&lt;/urls&gt;&lt;remote-database-name&gt;bth&lt;/remote-database-name&gt;&lt;remote-database-provider&gt;EBSCOhost&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Benveniste and Spindt (1989)</w:t>
        </w:r>
        <w:r>
          <w:rPr>
            <w:rFonts w:ascii="Times New Roman" w:hAnsi="Times New Roman" w:cs="Times New Roman"/>
          </w:rPr>
          <w:fldChar w:fldCharType="end"/>
        </w:r>
      </w:hyperlink>
      <w:r>
        <w:rPr>
          <w:rFonts w:ascii="Times New Roman" w:hAnsi="Times New Roman" w:cs="Times New Roman"/>
        </w:rPr>
        <w:t xml:space="preserve">), market microstructure (e.g., </w:t>
      </w:r>
      <w:hyperlink w:anchor="_ENREF_38" w:tooltip="Glosten, 1985 #812"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AuthorYear="1"&gt;&lt;Author&gt;Glosten&lt;/Author&gt;&lt;Year&gt;1985&lt;/Year&gt;&lt;RecNum&gt;812&lt;/RecNum&gt;&lt;DisplayText&gt;Glosten and Milgrom (1985)&lt;/DisplayText&gt;&lt;record&gt;&lt;rec-number&gt;812&lt;/rec-number&gt;&lt;foreign-keys&gt;&lt;key app="EN" db-id="a00ppf5vbz2zw4efraqp9recxrvdwwtasszf" timestamp="1636055772"&gt;812&lt;/key&gt;&lt;/foreign-keys&gt;&lt;ref-type name="Journal Article"&gt;17&lt;/ref-type&gt;&lt;contributors&gt;&lt;authors&gt;&lt;author&gt;Glosten, Lawrence R.&lt;/author&gt;&lt;author&gt;Milgrom, Paul R.&lt;/author&gt;&lt;/authors&gt;&lt;/contributors&gt;&lt;titles&gt;&lt;title&gt;Bid, Ask and Transaction Prices in a Specialist Market with Heterogeneously Informed Traders&lt;/title&gt;&lt;secondary-title&gt;Journal of Financial Economics&lt;/secondary-title&gt;&lt;/titles&gt;&lt;periodical&gt;&lt;full-title&gt;Journal of Financial Economics&lt;/full-title&gt;&lt;/periodical&gt;&lt;pages&gt;71-100&lt;/pages&gt;&lt;volume&gt;14&lt;/volume&gt;&lt;number&gt;1&lt;/number&gt;&lt;keywords&gt;&lt;keyword&gt;PRICES&lt;/keyword&gt;&lt;keyword&gt;BIDS&lt;/keyword&gt;&lt;keyword&gt;RISK&lt;/keyword&gt;&lt;keyword&gt;PROFIT&lt;/keyword&gt;&lt;keyword&gt;BUSINESS&lt;/keyword&gt;&lt;keyword&gt;MARKETS&lt;/keyword&gt;&lt;keyword&gt;STOCK exchanges&lt;/keyword&gt;&lt;keyword&gt;PURCHASING agents&lt;/keyword&gt;&lt;/keywords&gt;&lt;dates&gt;&lt;year&gt;1985&lt;/year&gt;&lt;/dates&gt;&lt;isbn&gt;0304405X&lt;/isbn&gt;&lt;accession-num&gt;12243392&lt;/accession-num&gt;&lt;work-type&gt;Article&lt;/work-type&gt;&lt;urls&gt;&lt;related-urls&gt;&lt;url&gt;http://search.ebscohost.com/login.aspx?direct=true&amp;amp;db=bth&amp;amp;AN=12243392&amp;amp;site=ehost-live&lt;/url&gt;&lt;/related-urls&gt;&lt;/urls&gt;&lt;remote-database-name&gt;bth&lt;/remote-database-name&gt;&lt;remote-database-provider&gt;EBSCOhost&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Glosten and Milgrom (1985)</w:t>
        </w:r>
        <w:r>
          <w:rPr>
            <w:rFonts w:ascii="Times New Roman" w:hAnsi="Times New Roman" w:cs="Times New Roman"/>
          </w:rPr>
          <w:fldChar w:fldCharType="end"/>
        </w:r>
      </w:hyperlink>
      <w:r>
        <w:t xml:space="preserve">, </w:t>
      </w:r>
      <w:hyperlink w:anchor="_ENREF_15" w:tooltip="Bessembinder, 2015 #235" w:history="1">
        <w:r w:rsidRPr="00907770">
          <w:rPr>
            <w:rFonts w:ascii="Times New Roman" w:hAnsi="Times New Roman" w:cs="Times New Roman"/>
          </w:rPr>
          <w:fldChar w:fldCharType="begin"/>
        </w:r>
        <w:r>
          <w:rPr>
            <w:rFonts w:ascii="Times New Roman" w:hAnsi="Times New Roman" w:cs="Times New Roman"/>
          </w:rPr>
          <w:instrText xml:space="preserve"> ADDIN EN.CITE &lt;EndNote&gt;&lt;Cite AuthorYear="1"&gt;&lt;Author&gt;Bessembinder&lt;/Author&gt;&lt;Year&gt;2015&lt;/Year&gt;&lt;RecNum&gt;235&lt;/RecNum&gt;&lt;DisplayText&gt;Bessembinder, Hao, and Zheng (2015)&lt;/DisplayText&gt;&lt;record&gt;&lt;rec-number&gt;235&lt;/rec-number&gt;&lt;foreign-keys&gt;&lt;key app="EN" db-id="a00ppf5vbz2zw4efraqp9recxrvdwwtasszf" timestamp="1636055767"&gt;235&lt;/key&gt;&lt;/foreign-keys&gt;&lt;ref-type name="Journal Article"&gt;17&lt;/ref-type&gt;&lt;contributors&gt;&lt;authors&gt;&lt;author&gt;Bessembinder, Hendrik&lt;/author&gt;&lt;author&gt;Hao, Jia&lt;/author&gt;&lt;author&gt;Zheng, Kuncheng&lt;/author&gt;&lt;/authors&gt;&lt;/contributors&gt;&lt;titles&gt;&lt;title&gt;Market Making Contracts, Firm Value, and the IPO Decision&lt;/title&gt;&lt;secondary-title&gt;The Journal of Finance&lt;/secondary-title&gt;&lt;/titles&gt;&lt;periodical&gt;&lt;full-title&gt;The Journal of Finance&lt;/full-title&gt;&lt;/periodical&gt;&lt;pages&gt;1997-2028&lt;/pages&gt;&lt;volume&gt;70&lt;/volume&gt;&lt;number&gt;5&lt;/number&gt;&lt;dates&gt;&lt;year&gt;2015&lt;/year&gt;&lt;/dates&gt;&lt;isbn&gt;0022-1082&lt;/isbn&gt;&lt;urls&gt;&lt;related-urls&gt;&lt;url&gt;https://onlinelibrary.wiley.com/doi/abs/10.1111/jofi.12285&lt;/url&gt;&lt;/related-urls&gt;&lt;/urls&gt;&lt;electronic-resource-num&gt;10.1111/jofi.12285&lt;/electronic-resource-num&gt;&lt;/record&gt;&lt;/Cite&gt;&lt;/EndNote&gt;</w:instrText>
        </w:r>
        <w:r w:rsidRPr="00907770">
          <w:rPr>
            <w:rFonts w:ascii="Times New Roman" w:hAnsi="Times New Roman" w:cs="Times New Roman"/>
          </w:rPr>
          <w:fldChar w:fldCharType="separate"/>
        </w:r>
        <w:r>
          <w:rPr>
            <w:rFonts w:ascii="Times New Roman" w:hAnsi="Times New Roman" w:cs="Times New Roman"/>
            <w:noProof/>
          </w:rPr>
          <w:t>Bessembinder, Hao, and Zheng (2015)</w:t>
        </w:r>
        <w:r w:rsidRPr="00907770">
          <w:rPr>
            <w:rFonts w:ascii="Times New Roman" w:hAnsi="Times New Roman" w:cs="Times New Roman"/>
          </w:rPr>
          <w:fldChar w:fldCharType="end"/>
        </w:r>
      </w:hyperlink>
      <w:r>
        <w:rPr>
          <w:rFonts w:ascii="Times New Roman" w:hAnsi="Times New Roman" w:cs="Times New Roman"/>
        </w:rPr>
        <w:t xml:space="preserve">), and Bayesian learning (e.g., </w:t>
      </w:r>
      <w:hyperlink w:anchor="_ENREF_59" w:tooltip="Pástor, 2009 #1468"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AuthorYear="1"&gt;&lt;Author&gt;Pástor&lt;/Author&gt;&lt;Year&gt;2009&lt;/Year&gt;&lt;RecNum&gt;1468&lt;/RecNum&gt;&lt;DisplayText&gt;Pástor and Veronesi (2009)&lt;/DisplayText&gt;&lt;record&gt;&lt;rec-number&gt;1468&lt;/rec-number&gt;&lt;foreign-keys&gt;&lt;key app="EN" db-id="a00ppf5vbz2zw4efraqp9recxrvdwwtasszf" timestamp="1636055778"&gt;1468&lt;/key&gt;&lt;/foreign-keys&gt;&lt;ref-type name="Journal Article"&gt;17&lt;/ref-type&gt;&lt;contributors&gt;&lt;authors&gt;&lt;author&gt;Pástor, Luboš&lt;/author&gt;&lt;author&gt;Veronesi, Pietro&lt;/author&gt;&lt;/authors&gt;&lt;/contributors&gt;&lt;titles&gt;&lt;title&gt;Learning in Financial Markets&lt;/title&gt;&lt;secondary-title&gt;Annual Review of Financial Economics&lt;/secondary-title&gt;&lt;/titles&gt;&lt;periodical&gt;&lt;full-title&gt;Annual Review of Financial Economics&lt;/full-title&gt;&lt;/periodical&gt;&lt;pages&gt;361-381&lt;/pages&gt;&lt;volume&gt;1&lt;/volume&gt;&lt;number&gt;1&lt;/number&gt;&lt;keywords&gt;&lt;keyword&gt;Bayesian,uncertainty,bubble,volatility,predictability&lt;/keyword&gt;&lt;/keywords&gt;&lt;dates&gt;&lt;year&gt;2009&lt;/year&gt;&lt;/dates&gt;&lt;urls&gt;&lt;related-urls&gt;&lt;url&gt;https://www.annualreviews.org/doi/abs/10.1146/annurev.financial.050808.114428&lt;/url&gt;&lt;/related-urls&gt;&lt;/urls&gt;&lt;electronic-resource-num&gt;10.1146/annurev.financial.050808.114428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Pástor and Veronesi (2009)</w:t>
        </w:r>
        <w:r>
          <w:rPr>
            <w:rFonts w:ascii="Times New Roman" w:hAnsi="Times New Roman" w:cs="Times New Roman"/>
          </w:rPr>
          <w:fldChar w:fldCharType="end"/>
        </w:r>
      </w:hyperlink>
      <w:r>
        <w:rPr>
          <w:rFonts w:ascii="Times New Roman" w:hAnsi="Times New Roman" w:cs="Times New Roman"/>
        </w:rPr>
        <w:t>).</w:t>
      </w:r>
    </w:p>
  </w:footnote>
  <w:footnote w:id="2">
    <w:p w14:paraId="2C707886" w14:textId="564CCB51" w:rsidR="00D978C6" w:rsidRPr="002F28CF" w:rsidRDefault="00D978C6" w:rsidP="002F28CF">
      <w:pPr>
        <w:pStyle w:val="FootnoteText"/>
        <w:spacing w:line="276" w:lineRule="auto"/>
        <w:jc w:val="both"/>
        <w:rPr>
          <w:lang w:val="en-US"/>
        </w:rPr>
      </w:pPr>
      <w:r w:rsidRPr="002F28CF">
        <w:rPr>
          <w:rStyle w:val="FootnoteReference"/>
          <w:rFonts w:ascii="Times New Roman" w:hAnsi="Times New Roman" w:cs="Times New Roman"/>
        </w:rPr>
        <w:footnoteRef/>
      </w:r>
      <w:r w:rsidRPr="002F28CF">
        <w:rPr>
          <w:rFonts w:ascii="Times New Roman" w:hAnsi="Times New Roman" w:cs="Times New Roman"/>
        </w:rPr>
        <w:t xml:space="preserve"> Although in this paper we focus on valuation uncertainty due to its central role in accounting and finance, our approach can be used to measure other aspects of the</w:t>
      </w:r>
      <w:r>
        <w:rPr>
          <w:rFonts w:ascii="Times New Roman" w:hAnsi="Times New Roman" w:cs="Times New Roman"/>
        </w:rPr>
        <w:t xml:space="preserve"> implied</w:t>
      </w:r>
      <w:r w:rsidRPr="002F28CF">
        <w:rPr>
          <w:rFonts w:ascii="Times New Roman" w:hAnsi="Times New Roman" w:cs="Times New Roman"/>
        </w:rPr>
        <w:t xml:space="preserve"> distribution of </w:t>
      </w:r>
      <w:r>
        <w:rPr>
          <w:rFonts w:ascii="Times New Roman" w:hAnsi="Times New Roman" w:cs="Times New Roman"/>
        </w:rPr>
        <w:t>intrinsic</w:t>
      </w:r>
      <w:r w:rsidRPr="002F28CF">
        <w:rPr>
          <w:rFonts w:ascii="Times New Roman" w:hAnsi="Times New Roman" w:cs="Times New Roman"/>
        </w:rPr>
        <w:t xml:space="preserve"> values </w:t>
      </w:r>
      <w:r w:rsidRPr="002F28CF">
        <w:rPr>
          <w:rFonts w:ascii="Times New Roman" w:hAnsi="Times New Roman" w:cs="Times New Roman"/>
        </w:rPr>
        <w:softHyphen/>
        <w:t>– such as skewness, kurtosis, or value-at-risk.</w:t>
      </w:r>
    </w:p>
  </w:footnote>
  <w:footnote w:id="3">
    <w:p w14:paraId="258B04ED" w14:textId="2EEFED9E" w:rsidR="00D978C6" w:rsidRPr="00B71643" w:rsidRDefault="00D978C6" w:rsidP="00B71643">
      <w:pPr>
        <w:pStyle w:val="FootnoteText"/>
        <w:spacing w:line="276" w:lineRule="auto"/>
        <w:jc w:val="both"/>
        <w:rPr>
          <w:rFonts w:ascii="Times New Roman" w:hAnsi="Times New Roman" w:cs="Times New Roman"/>
        </w:rPr>
      </w:pPr>
      <w:r w:rsidRPr="00B71643">
        <w:rPr>
          <w:rStyle w:val="FootnoteReference"/>
          <w:rFonts w:ascii="Times New Roman" w:hAnsi="Times New Roman" w:cs="Times New Roman"/>
        </w:rPr>
        <w:footnoteRef/>
      </w:r>
      <w:r w:rsidRPr="00B71643">
        <w:rPr>
          <w:rFonts w:ascii="Times New Roman" w:hAnsi="Times New Roman" w:cs="Times New Roman"/>
        </w:rPr>
        <w:t xml:space="preserve"> </w:t>
      </w:r>
      <w:r>
        <w:rPr>
          <w:rFonts w:ascii="Times New Roman" w:hAnsi="Times New Roman" w:cs="Times New Roman"/>
        </w:rPr>
        <w:t xml:space="preserve">Given these different frameworks, our use of the terms “valuation mistakes” and “mispricing” should not be taken to imply investor irrationality. Deviations of prices from fundamental values can occur even when investors are fully rational and use all available information. See </w:t>
      </w:r>
      <w:hyperlink w:anchor="_ENREF_18" w:tooltip="Brav, 2002 #333"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AuthorYear="1"&gt;&lt;Author&gt;Brav&lt;/Author&gt;&lt;Year&gt;2002&lt;/Year&gt;&lt;RecNum&gt;333&lt;/RecNum&gt;&lt;DisplayText&gt;Brav and Heaton (2002)&lt;/DisplayText&gt;&lt;record&gt;&lt;rec-number&gt;333&lt;/rec-number&gt;&lt;foreign-keys&gt;&lt;key app="EN" db-id="a00ppf5vbz2zw4efraqp9recxrvdwwtasszf" timestamp="1636055768"&gt;333&lt;/key&gt;&lt;/foreign-keys&gt;&lt;ref-type name="Journal Article"&gt;17&lt;/ref-type&gt;&lt;contributors&gt;&lt;authors&gt;&lt;author&gt;Brav, Alon&lt;/author&gt;&lt;author&gt;Heaton, J.B.&lt;/author&gt;&lt;/authors&gt;&lt;/contributors&gt;&lt;titles&gt;&lt;title&gt;Competing Theories of Financial Anomalies&lt;/title&gt;&lt;secondary-title&gt;The Review of Financial Studies&lt;/secondary-title&gt;&lt;/titles&gt;&lt;periodical&gt;&lt;full-title&gt;The Review of Financial Studies&lt;/full-title&gt;&lt;/periodical&gt;&lt;pages&gt;575-606&lt;/pages&gt;&lt;volume&gt;15&lt;/volume&gt;&lt;number&gt;2&lt;/number&gt;&lt;dates&gt;&lt;year&gt;2002&lt;/year&gt;&lt;/dates&gt;&lt;isbn&gt;0893-9454&lt;/isbn&gt;&lt;urls&gt;&lt;related-urls&gt;&lt;url&gt;https://doi.org/10.1093/rfs/15.2.575&lt;/url&gt;&lt;/related-urls&gt;&lt;/urls&gt;&lt;electronic-resource-num&gt;10.1093/rfs/15.2.575&lt;/electronic-resource-num&gt;&lt;access-date&gt;6/7/2021&lt;/access-date&gt;&lt;/record&gt;&lt;/Cite&gt;&lt;/EndNote&gt;</w:instrText>
        </w:r>
        <w:r>
          <w:rPr>
            <w:rFonts w:ascii="Times New Roman" w:hAnsi="Times New Roman" w:cs="Times New Roman"/>
          </w:rPr>
          <w:fldChar w:fldCharType="separate"/>
        </w:r>
        <w:r>
          <w:rPr>
            <w:rFonts w:ascii="Times New Roman" w:hAnsi="Times New Roman" w:cs="Times New Roman"/>
            <w:noProof/>
          </w:rPr>
          <w:t>Brav and Heaton (2002)</w:t>
        </w:r>
        <w:r>
          <w:rPr>
            <w:rFonts w:ascii="Times New Roman" w:hAnsi="Times New Roman" w:cs="Times New Roman"/>
          </w:rPr>
          <w:fldChar w:fldCharType="end"/>
        </w:r>
      </w:hyperlink>
      <w:r>
        <w:rPr>
          <w:rFonts w:ascii="Times New Roman" w:hAnsi="Times New Roman" w:cs="Times New Roman"/>
        </w:rPr>
        <w:t xml:space="preserve"> for in-depth analysis of this point.</w:t>
      </w:r>
    </w:p>
  </w:footnote>
  <w:footnote w:id="4">
    <w:p w14:paraId="49FFB9F2" w14:textId="31072D13" w:rsidR="00D978C6" w:rsidRPr="00A82768" w:rsidRDefault="00D978C6" w:rsidP="00A82768">
      <w:pPr>
        <w:spacing w:after="0" w:line="276" w:lineRule="auto"/>
        <w:jc w:val="both"/>
      </w:pPr>
      <w:r w:rsidRPr="005D1A51">
        <w:rPr>
          <w:rStyle w:val="FootnoteReference"/>
          <w:rFonts w:ascii="Times New Roman" w:hAnsi="Times New Roman" w:cs="Times New Roman"/>
          <w:sz w:val="20"/>
          <w:szCs w:val="20"/>
        </w:rPr>
        <w:footnoteRef/>
      </w:r>
      <w:r w:rsidRPr="005D1A51">
        <w:rPr>
          <w:rFonts w:ascii="Times New Roman" w:hAnsi="Times New Roman" w:cs="Times New Roman"/>
          <w:sz w:val="20"/>
          <w:szCs w:val="20"/>
        </w:rPr>
        <w:t xml:space="preserve"> </w:t>
      </w:r>
      <w:r>
        <w:rPr>
          <w:rFonts w:ascii="Times New Roman" w:hAnsi="Times New Roman" w:cs="Times New Roman"/>
          <w:sz w:val="20"/>
          <w:szCs w:val="20"/>
        </w:rPr>
        <w:t>S</w:t>
      </w:r>
      <w:r w:rsidRPr="00A82768">
        <w:rPr>
          <w:rFonts w:ascii="Times New Roman" w:hAnsi="Times New Roman" w:cs="Times New Roman"/>
          <w:sz w:val="20"/>
          <w:szCs w:val="20"/>
        </w:rPr>
        <w:t xml:space="preserve">ome of these results are also in line with a risk premium interpretation, whereby high valuation uncertainty “value” stocks are especially risky and high valuation uncertainty “growth” stocks are particularly low-risk. However, </w:t>
      </w:r>
      <w:r>
        <w:rPr>
          <w:rFonts w:ascii="Times New Roman" w:hAnsi="Times New Roman" w:cs="Times New Roman"/>
          <w:sz w:val="20"/>
          <w:szCs w:val="20"/>
        </w:rPr>
        <w:t>certain</w:t>
      </w:r>
      <w:r w:rsidRPr="00A82768">
        <w:rPr>
          <w:rFonts w:ascii="Times New Roman" w:hAnsi="Times New Roman" w:cs="Times New Roman"/>
          <w:sz w:val="20"/>
          <w:szCs w:val="20"/>
        </w:rPr>
        <w:t xml:space="preserve"> </w:t>
      </w:r>
      <w:r w:rsidR="00B85C46">
        <w:rPr>
          <w:rFonts w:ascii="Times New Roman" w:hAnsi="Times New Roman" w:cs="Times New Roman"/>
          <w:sz w:val="20"/>
          <w:szCs w:val="20"/>
        </w:rPr>
        <w:t>aspects</w:t>
      </w:r>
      <w:r w:rsidRPr="00A82768">
        <w:rPr>
          <w:rFonts w:ascii="Times New Roman" w:hAnsi="Times New Roman" w:cs="Times New Roman"/>
          <w:sz w:val="20"/>
          <w:szCs w:val="20"/>
        </w:rPr>
        <w:t xml:space="preserve"> </w:t>
      </w:r>
      <w:r>
        <w:rPr>
          <w:rFonts w:ascii="Times New Roman" w:hAnsi="Times New Roman" w:cs="Times New Roman"/>
          <w:sz w:val="20"/>
          <w:szCs w:val="20"/>
        </w:rPr>
        <w:t>of our findings</w:t>
      </w:r>
      <w:r w:rsidRPr="00A82768">
        <w:rPr>
          <w:rFonts w:ascii="Times New Roman" w:hAnsi="Times New Roman" w:cs="Times New Roman"/>
          <w:sz w:val="20"/>
          <w:szCs w:val="20"/>
        </w:rPr>
        <w:t xml:space="preserve"> are hard to square with a risk premium view alone. First, the magnitude of the “value” premium </w:t>
      </w:r>
      <w:r>
        <w:rPr>
          <w:rFonts w:ascii="Times New Roman" w:hAnsi="Times New Roman" w:cs="Times New Roman"/>
          <w:sz w:val="20"/>
          <w:szCs w:val="20"/>
        </w:rPr>
        <w:t>among</w:t>
      </w:r>
      <w:r w:rsidRPr="00A82768">
        <w:rPr>
          <w:rFonts w:ascii="Times New Roman" w:hAnsi="Times New Roman" w:cs="Times New Roman"/>
          <w:sz w:val="20"/>
          <w:szCs w:val="20"/>
        </w:rPr>
        <w:t xml:space="preserve"> </w:t>
      </w:r>
      <w:r>
        <w:rPr>
          <w:rFonts w:ascii="Times New Roman" w:hAnsi="Times New Roman" w:cs="Times New Roman"/>
          <w:sz w:val="20"/>
          <w:szCs w:val="20"/>
        </w:rPr>
        <w:t xml:space="preserve">high </w:t>
      </w:r>
      <w:r w:rsidRPr="00A82768">
        <w:rPr>
          <w:rFonts w:ascii="Times New Roman" w:hAnsi="Times New Roman" w:cs="Times New Roman"/>
          <w:sz w:val="20"/>
          <w:szCs w:val="20"/>
        </w:rPr>
        <w:t>valuation uncertainty</w:t>
      </w:r>
      <w:r>
        <w:rPr>
          <w:rFonts w:ascii="Times New Roman" w:hAnsi="Times New Roman" w:cs="Times New Roman"/>
          <w:sz w:val="20"/>
          <w:szCs w:val="20"/>
        </w:rPr>
        <w:t xml:space="preserve"> stocks</w:t>
      </w:r>
      <w:r w:rsidRPr="00A82768">
        <w:rPr>
          <w:rFonts w:ascii="Times New Roman" w:hAnsi="Times New Roman" w:cs="Times New Roman"/>
          <w:sz w:val="20"/>
          <w:szCs w:val="20"/>
        </w:rPr>
        <w:t xml:space="preserve"> appears too large</w:t>
      </w:r>
      <w:r>
        <w:rPr>
          <w:rFonts w:ascii="Times New Roman" w:hAnsi="Times New Roman" w:cs="Times New Roman"/>
          <w:sz w:val="20"/>
          <w:szCs w:val="20"/>
        </w:rPr>
        <w:t xml:space="preserve"> – the </w:t>
      </w:r>
      <w:r w:rsidRPr="00A82768">
        <w:rPr>
          <w:rFonts w:ascii="Times New Roman" w:hAnsi="Times New Roman" w:cs="Times New Roman"/>
          <w:sz w:val="20"/>
          <w:szCs w:val="20"/>
        </w:rPr>
        <w:t xml:space="preserve">Sharpe ratio </w:t>
      </w:r>
      <w:r>
        <w:rPr>
          <w:rFonts w:ascii="Times New Roman" w:hAnsi="Times New Roman" w:cs="Times New Roman"/>
          <w:sz w:val="20"/>
          <w:szCs w:val="20"/>
        </w:rPr>
        <w:t>is double</w:t>
      </w:r>
      <w:r w:rsidRPr="00A82768">
        <w:rPr>
          <w:rFonts w:ascii="Times New Roman" w:hAnsi="Times New Roman" w:cs="Times New Roman"/>
          <w:sz w:val="20"/>
          <w:szCs w:val="20"/>
        </w:rPr>
        <w:t xml:space="preserve"> that of the market portfolio. Second, </w:t>
      </w:r>
      <w:r>
        <w:rPr>
          <w:rFonts w:ascii="Times New Roman" w:hAnsi="Times New Roman" w:cs="Times New Roman"/>
          <w:sz w:val="20"/>
          <w:szCs w:val="20"/>
        </w:rPr>
        <w:t xml:space="preserve">the average return of </w:t>
      </w:r>
      <w:r w:rsidRPr="00A82768">
        <w:rPr>
          <w:rFonts w:ascii="Times New Roman" w:hAnsi="Times New Roman" w:cs="Times New Roman"/>
          <w:sz w:val="20"/>
          <w:szCs w:val="20"/>
        </w:rPr>
        <w:t xml:space="preserve">high valuation uncertainty “growth” </w:t>
      </w:r>
      <w:r>
        <w:rPr>
          <w:rFonts w:ascii="Times New Roman" w:hAnsi="Times New Roman" w:cs="Times New Roman"/>
          <w:sz w:val="20"/>
          <w:szCs w:val="20"/>
        </w:rPr>
        <w:t>stocks matches that of T-bills – as-if it was a risk-free asset.</w:t>
      </w:r>
      <w:r w:rsidRPr="00A82768">
        <w:rPr>
          <w:rFonts w:ascii="Times New Roman" w:hAnsi="Times New Roman" w:cs="Times New Roman"/>
          <w:sz w:val="20"/>
          <w:szCs w:val="20"/>
        </w:rPr>
        <w:t xml:space="preserve"> </w:t>
      </w:r>
      <w:r>
        <w:rPr>
          <w:rFonts w:ascii="Times New Roman" w:hAnsi="Times New Roman" w:cs="Times New Roman"/>
          <w:sz w:val="20"/>
          <w:szCs w:val="20"/>
        </w:rPr>
        <w:t>T</w:t>
      </w:r>
      <w:r w:rsidRPr="00A82768">
        <w:rPr>
          <w:rFonts w:ascii="Times New Roman" w:hAnsi="Times New Roman" w:cs="Times New Roman"/>
          <w:sz w:val="20"/>
          <w:szCs w:val="20"/>
        </w:rPr>
        <w:t xml:space="preserve">his </w:t>
      </w:r>
      <w:r>
        <w:rPr>
          <w:rFonts w:ascii="Times New Roman" w:hAnsi="Times New Roman" w:cs="Times New Roman"/>
          <w:sz w:val="20"/>
          <w:szCs w:val="20"/>
        </w:rPr>
        <w:t>seems</w:t>
      </w:r>
      <w:r w:rsidRPr="00A82768">
        <w:rPr>
          <w:rFonts w:ascii="Times New Roman" w:hAnsi="Times New Roman" w:cs="Times New Roman"/>
          <w:sz w:val="20"/>
          <w:szCs w:val="20"/>
        </w:rPr>
        <w:t xml:space="preserve"> unlikely, </w:t>
      </w:r>
      <w:r>
        <w:rPr>
          <w:rFonts w:ascii="Times New Roman" w:hAnsi="Times New Roman" w:cs="Times New Roman"/>
          <w:sz w:val="20"/>
          <w:szCs w:val="20"/>
        </w:rPr>
        <w:t>given</w:t>
      </w:r>
      <w:r w:rsidRPr="00A82768">
        <w:rPr>
          <w:rFonts w:ascii="Times New Roman" w:hAnsi="Times New Roman" w:cs="Times New Roman"/>
          <w:sz w:val="20"/>
          <w:szCs w:val="20"/>
        </w:rPr>
        <w:t xml:space="preserve"> the </w:t>
      </w:r>
      <w:r w:rsidRPr="002F28CF">
        <w:rPr>
          <w:rFonts w:ascii="Times New Roman" w:hAnsi="Times New Roman" w:cs="Times New Roman"/>
          <w:i/>
          <w:iCs/>
          <w:sz w:val="20"/>
          <w:szCs w:val="20"/>
        </w:rPr>
        <w:t>negative</w:t>
      </w:r>
      <w:r w:rsidRPr="00A82768">
        <w:rPr>
          <w:rFonts w:ascii="Times New Roman" w:hAnsi="Times New Roman" w:cs="Times New Roman"/>
          <w:sz w:val="20"/>
          <w:szCs w:val="20"/>
        </w:rPr>
        <w:t xml:space="preserve"> returns of these stocks following periods of high investor sentiment. </w:t>
      </w:r>
      <w:r>
        <w:rPr>
          <w:rFonts w:ascii="Times New Roman" w:hAnsi="Times New Roman" w:cs="Times New Roman"/>
          <w:sz w:val="20"/>
          <w:szCs w:val="20"/>
        </w:rPr>
        <w:t>Nevertheless</w:t>
      </w:r>
      <w:r w:rsidRPr="00A82768">
        <w:rPr>
          <w:rFonts w:ascii="Times New Roman" w:hAnsi="Times New Roman" w:cs="Times New Roman"/>
          <w:sz w:val="20"/>
          <w:szCs w:val="20"/>
        </w:rPr>
        <w:t xml:space="preserve">, our evidence should be </w:t>
      </w:r>
      <w:r>
        <w:rPr>
          <w:rFonts w:ascii="Times New Roman" w:hAnsi="Times New Roman" w:cs="Times New Roman"/>
          <w:sz w:val="20"/>
          <w:szCs w:val="20"/>
        </w:rPr>
        <w:t>seen</w:t>
      </w:r>
      <w:r w:rsidRPr="00A82768">
        <w:rPr>
          <w:rFonts w:ascii="Times New Roman" w:hAnsi="Times New Roman" w:cs="Times New Roman"/>
          <w:sz w:val="20"/>
          <w:szCs w:val="20"/>
        </w:rPr>
        <w:t xml:space="preserve"> as “consistent” with valuation mistakes, not a proof thereof.</w:t>
      </w:r>
    </w:p>
  </w:footnote>
  <w:footnote w:id="5">
    <w:p w14:paraId="2664F1BC" w14:textId="2F278362" w:rsidR="00D978C6" w:rsidRPr="00427210" w:rsidRDefault="00D978C6" w:rsidP="003D376A">
      <w:pPr>
        <w:pStyle w:val="FootnoteText"/>
        <w:spacing w:line="276" w:lineRule="auto"/>
        <w:jc w:val="both"/>
        <w:rPr>
          <w:rFonts w:ascii="Times New Roman" w:hAnsi="Times New Roman" w:cs="Times New Roman"/>
        </w:rPr>
      </w:pPr>
      <w:r w:rsidRPr="00427210">
        <w:rPr>
          <w:rStyle w:val="FootnoteReference"/>
          <w:rFonts w:ascii="Times New Roman" w:hAnsi="Times New Roman" w:cs="Times New Roman"/>
        </w:rPr>
        <w:footnoteRef/>
      </w:r>
      <w:r w:rsidRPr="00427210">
        <w:rPr>
          <w:rFonts w:ascii="Times New Roman" w:hAnsi="Times New Roman" w:cs="Times New Roman"/>
        </w:rPr>
        <w:t xml:space="preserve"> Note that</w:t>
      </w:r>
      <w:r>
        <w:rPr>
          <w:rFonts w:ascii="Times New Roman" w:hAnsi="Times New Roman" w:cs="Times New Roman"/>
        </w:rPr>
        <w:t>, for risky assets,</w:t>
      </w:r>
      <w:r w:rsidRPr="00427210">
        <w:rPr>
          <w:rFonts w:ascii="Times New Roman" w:hAnsi="Times New Roman" w:cs="Times New Roman"/>
        </w:rPr>
        <w:t xml:space="preserve"> covariances with </w:t>
      </w:r>
      <w:r w:rsidR="001B4CEA">
        <w:rPr>
          <w:rFonts w:ascii="Times New Roman" w:hAnsi="Times New Roman" w:cs="Times New Roman"/>
        </w:rPr>
        <w:t xml:space="preserve">the </w:t>
      </w:r>
      <w:r>
        <w:rPr>
          <w:rFonts w:ascii="Times New Roman" w:hAnsi="Times New Roman" w:cs="Times New Roman"/>
        </w:rPr>
        <w:t>SDF</w:t>
      </w:r>
      <w:r w:rsidRPr="00427210">
        <w:rPr>
          <w:rFonts w:ascii="Times New Roman" w:hAnsi="Times New Roman" w:cs="Times New Roman"/>
        </w:rPr>
        <w:t xml:space="preserve"> </w:t>
      </w:r>
      <w:r>
        <w:rPr>
          <w:rFonts w:ascii="Times New Roman" w:hAnsi="Times New Roman" w:cs="Times New Roman"/>
          <w:lang w:val="en-US"/>
        </w:rPr>
        <w:t>are</w:t>
      </w:r>
      <w:r w:rsidRPr="00427210">
        <w:rPr>
          <w:rFonts w:ascii="Times New Roman" w:hAnsi="Times New Roman" w:cs="Times New Roman"/>
          <w:lang w:val="en-US"/>
        </w:rPr>
        <w:t xml:space="preserve"> negative (i.e. cov(m, x) &lt; 0), with lower values corresponding to higher</w:t>
      </w:r>
      <w:r>
        <w:rPr>
          <w:rFonts w:ascii="Times New Roman" w:hAnsi="Times New Roman" w:cs="Times New Roman"/>
          <w:lang w:val="en-US"/>
        </w:rPr>
        <w:t xml:space="preserve"> procyclicality</w:t>
      </w:r>
      <w:r w:rsidRPr="00427210">
        <w:rPr>
          <w:rFonts w:ascii="Times New Roman" w:hAnsi="Times New Roman" w:cs="Times New Roman"/>
          <w:lang w:val="en-US"/>
        </w:rPr>
        <w:t xml:space="preserve"> </w:t>
      </w:r>
      <w:r>
        <w:rPr>
          <w:rFonts w:ascii="Times New Roman" w:hAnsi="Times New Roman" w:cs="Times New Roman"/>
          <w:lang w:val="en-US"/>
        </w:rPr>
        <w:t xml:space="preserve">(e.g., higher </w:t>
      </w:r>
      <w:r w:rsidRPr="00427210">
        <w:rPr>
          <w:rFonts w:ascii="Times New Roman" w:hAnsi="Times New Roman" w:cs="Times New Roman"/>
          <w:lang w:val="en-US"/>
        </w:rPr>
        <w:t>betas</w:t>
      </w:r>
      <w:r>
        <w:rPr>
          <w:rFonts w:ascii="Times New Roman" w:hAnsi="Times New Roman" w:cs="Times New Roman"/>
          <w:lang w:val="en-US"/>
        </w:rPr>
        <w:t xml:space="preserve"> with the market).</w:t>
      </w:r>
    </w:p>
  </w:footnote>
  <w:footnote w:id="6">
    <w:p w14:paraId="43AD6FB6" w14:textId="089CC89D" w:rsidR="00D978C6" w:rsidRPr="007B7B21" w:rsidRDefault="00D978C6" w:rsidP="007B7B21">
      <w:pPr>
        <w:pStyle w:val="FootnoteText"/>
        <w:spacing w:line="276" w:lineRule="auto"/>
      </w:pPr>
      <w:r w:rsidRPr="008A2592">
        <w:rPr>
          <w:rStyle w:val="FootnoteReference"/>
          <w:rFonts w:ascii="Times New Roman" w:hAnsi="Times New Roman" w:cs="Times New Roman"/>
        </w:rPr>
        <w:footnoteRef/>
      </w:r>
      <w:r w:rsidRPr="008A2592">
        <w:rPr>
          <w:rFonts w:ascii="Times New Roman" w:hAnsi="Times New Roman" w:cs="Times New Roman"/>
        </w:rPr>
        <w:t xml:space="preserve"> </w:t>
      </w:r>
      <w:r w:rsidRPr="007B7B21">
        <w:rPr>
          <w:rFonts w:ascii="Times New Roman" w:hAnsi="Times New Roman" w:cs="Times New Roman"/>
        </w:rPr>
        <w:t>Alternatively</w:t>
      </w:r>
      <w:r w:rsidRPr="008A2592">
        <w:rPr>
          <w:rFonts w:ascii="Times New Roman" w:hAnsi="Times New Roman" w:cs="Times New Roman"/>
        </w:rPr>
        <w:t>, one can assume that</w:t>
      </w:r>
      <w:r w:rsidR="00661A2F">
        <w:rPr>
          <w:rFonts w:ascii="Times New Roman" w:hAnsi="Times New Roman" w:cs="Times New Roman"/>
        </w:rPr>
        <w:t xml:space="preserve"> the time increment i is</w:t>
      </w:r>
      <w:r w:rsidR="00C02251">
        <w:rPr>
          <w:rFonts w:ascii="Times New Roman" w:hAnsi="Times New Roman" w:cs="Times New Roman"/>
        </w:rPr>
        <w:t xml:space="preserve"> more substantial</w:t>
      </w:r>
      <w:r w:rsidR="00661A2F">
        <w:rPr>
          <w:rFonts w:ascii="Times New Roman" w:hAnsi="Times New Roman" w:cs="Times New Roman"/>
        </w:rPr>
        <w:t>, but that the risk-free rate is zero</w:t>
      </w:r>
      <w:r w:rsidRPr="008A2592">
        <w:rPr>
          <w:rFonts w:ascii="Times New Roman" w:hAnsi="Times New Roman" w:cs="Times New Roman"/>
        </w:rPr>
        <w:t>.</w:t>
      </w:r>
    </w:p>
  </w:footnote>
  <w:footnote w:id="7">
    <w:p w14:paraId="01D464E2" w14:textId="617E5D59" w:rsidR="00D978C6" w:rsidRPr="006312C8" w:rsidRDefault="00D978C6" w:rsidP="001A38A9">
      <w:pPr>
        <w:pStyle w:val="FootnoteText"/>
        <w:spacing w:line="276" w:lineRule="auto"/>
        <w:jc w:val="both"/>
        <w:rPr>
          <w:rFonts w:ascii="Times New Roman" w:hAnsi="Times New Roman" w:cs="Times New Roman"/>
        </w:rPr>
      </w:pPr>
      <w:r w:rsidRPr="006312C8">
        <w:rPr>
          <w:rStyle w:val="FootnoteReference"/>
          <w:rFonts w:ascii="Times New Roman" w:hAnsi="Times New Roman" w:cs="Times New Roman"/>
        </w:rPr>
        <w:footnoteRef/>
      </w:r>
      <w:r w:rsidRPr="006312C8">
        <w:rPr>
          <w:rFonts w:ascii="Times New Roman" w:hAnsi="Times New Roman" w:cs="Times New Roman"/>
        </w:rPr>
        <w:t xml:space="preserve"> </w:t>
      </w:r>
      <w:r w:rsidRPr="00427210">
        <w:rPr>
          <w:rFonts w:ascii="Times New Roman" w:hAnsi="Times New Roman" w:cs="Times New Roman"/>
          <w:lang w:val="en-US"/>
        </w:rPr>
        <w:t xml:space="preserve">We </w:t>
      </w:r>
      <w:r>
        <w:rPr>
          <w:rFonts w:ascii="Times New Roman" w:hAnsi="Times New Roman" w:cs="Times New Roman"/>
          <w:lang w:val="en-US"/>
        </w:rPr>
        <w:t xml:space="preserve">require </w:t>
      </w:r>
      <w:r w:rsidRPr="00427210">
        <w:rPr>
          <w:rFonts w:ascii="Times New Roman" w:hAnsi="Times New Roman" w:cs="Times New Roman"/>
          <w:lang w:val="en-US"/>
        </w:rPr>
        <w:t>that P</w:t>
      </w:r>
      <w:r w:rsidRPr="00427210">
        <w:rPr>
          <w:rFonts w:ascii="Times New Roman" w:hAnsi="Times New Roman" w:cs="Times New Roman"/>
          <w:vertAlign w:val="superscript"/>
          <w:lang w:val="en-US"/>
        </w:rPr>
        <w:t xml:space="preserve">H </w:t>
      </w:r>
      <w:r w:rsidRPr="00427210">
        <w:rPr>
          <w:rFonts w:ascii="Times New Roman" w:hAnsi="Times New Roman" w:cs="Times New Roman"/>
          <w:lang w:val="en-US"/>
        </w:rPr>
        <w:t>&gt; P</w:t>
      </w:r>
      <w:r w:rsidRPr="00427210">
        <w:rPr>
          <w:rFonts w:ascii="Times New Roman" w:hAnsi="Times New Roman" w:cs="Times New Roman"/>
          <w:vertAlign w:val="superscript"/>
          <w:lang w:val="en-US"/>
        </w:rPr>
        <w:t>L</w:t>
      </w:r>
      <w:r w:rsidRPr="00427210">
        <w:rPr>
          <w:rFonts w:ascii="Times New Roman" w:hAnsi="Times New Roman" w:cs="Times New Roman"/>
          <w:lang w:val="en-US"/>
        </w:rPr>
        <w:t>, which is equivalent to (E(x</w:t>
      </w:r>
      <w:r w:rsidRPr="00427210">
        <w:rPr>
          <w:rFonts w:ascii="Times New Roman" w:hAnsi="Times New Roman" w:cs="Times New Roman"/>
          <w:vertAlign w:val="superscript"/>
          <w:lang w:val="en-US"/>
        </w:rPr>
        <w:t>H</w:t>
      </w:r>
      <w:r w:rsidRPr="00427210">
        <w:rPr>
          <w:rFonts w:ascii="Times New Roman" w:hAnsi="Times New Roman" w:cs="Times New Roman"/>
          <w:lang w:val="en-US"/>
        </w:rPr>
        <w:t>)/R</w:t>
      </w:r>
      <w:r w:rsidRPr="00427210">
        <w:rPr>
          <w:rFonts w:ascii="Times New Roman" w:hAnsi="Times New Roman" w:cs="Times New Roman"/>
          <w:vertAlign w:val="subscript"/>
          <w:lang w:val="en-US"/>
        </w:rPr>
        <w:t>f</w:t>
      </w:r>
      <w:r w:rsidRPr="00427210">
        <w:rPr>
          <w:rFonts w:ascii="Times New Roman" w:hAnsi="Times New Roman" w:cs="Times New Roman"/>
          <w:lang w:val="en-US"/>
        </w:rPr>
        <w:t xml:space="preserve"> – E(x</w:t>
      </w:r>
      <w:r w:rsidRPr="00427210">
        <w:rPr>
          <w:rFonts w:ascii="Times New Roman" w:hAnsi="Times New Roman" w:cs="Times New Roman"/>
          <w:vertAlign w:val="superscript"/>
          <w:lang w:val="en-US"/>
        </w:rPr>
        <w:t>L</w:t>
      </w:r>
      <w:r w:rsidRPr="00427210">
        <w:rPr>
          <w:rFonts w:ascii="Times New Roman" w:hAnsi="Times New Roman" w:cs="Times New Roman"/>
          <w:lang w:val="en-US"/>
        </w:rPr>
        <w:t>)/(R</w:t>
      </w:r>
      <w:r w:rsidRPr="00427210">
        <w:rPr>
          <w:rFonts w:ascii="Times New Roman" w:hAnsi="Times New Roman" w:cs="Times New Roman"/>
          <w:vertAlign w:val="subscript"/>
          <w:lang w:val="en-US"/>
        </w:rPr>
        <w:t>f</w:t>
      </w:r>
      <w:r w:rsidRPr="00427210">
        <w:rPr>
          <w:rFonts w:ascii="Times New Roman" w:hAnsi="Times New Roman" w:cs="Times New Roman"/>
          <w:lang w:val="en-US"/>
        </w:rPr>
        <w:t>)) &gt; (cov(m,x</w:t>
      </w:r>
      <w:r w:rsidRPr="00427210">
        <w:rPr>
          <w:rFonts w:ascii="Times New Roman" w:hAnsi="Times New Roman" w:cs="Times New Roman"/>
          <w:vertAlign w:val="superscript"/>
          <w:lang w:val="en-US"/>
        </w:rPr>
        <w:t>L</w:t>
      </w:r>
      <w:r w:rsidRPr="00427210">
        <w:rPr>
          <w:rFonts w:ascii="Times New Roman" w:hAnsi="Times New Roman" w:cs="Times New Roman"/>
          <w:lang w:val="en-US"/>
        </w:rPr>
        <w:t>) – cov(m,x</w:t>
      </w:r>
      <w:r w:rsidRPr="00427210">
        <w:rPr>
          <w:rFonts w:ascii="Times New Roman" w:hAnsi="Times New Roman" w:cs="Times New Roman"/>
          <w:vertAlign w:val="superscript"/>
          <w:lang w:val="en-US"/>
        </w:rPr>
        <w:t>H</w:t>
      </w:r>
      <w:r w:rsidRPr="00427210">
        <w:rPr>
          <w:rFonts w:ascii="Times New Roman" w:hAnsi="Times New Roman" w:cs="Times New Roman"/>
          <w:lang w:val="en-US"/>
        </w:rPr>
        <w:t>))</w:t>
      </w:r>
      <w:r>
        <w:rPr>
          <w:rFonts w:ascii="Times New Roman" w:hAnsi="Times New Roman" w:cs="Times New Roman"/>
          <w:lang w:val="en-US"/>
        </w:rPr>
        <w:t>. This is a realistic assumption. For instance, i</w:t>
      </w:r>
      <w:r w:rsidRPr="003D21DF">
        <w:rPr>
          <w:rFonts w:ascii="Times New Roman" w:hAnsi="Times New Roman" w:cs="Times New Roman"/>
        </w:rPr>
        <w:t>f the success state were simply a scaled-up version of the disappointment case, where x</w:t>
      </w:r>
      <w:r w:rsidRPr="003D21DF">
        <w:rPr>
          <w:rFonts w:ascii="Times New Roman" w:hAnsi="Times New Roman" w:cs="Times New Roman"/>
          <w:vertAlign w:val="superscript"/>
        </w:rPr>
        <w:t xml:space="preserve">H </w:t>
      </w:r>
      <w:r w:rsidRPr="003D21DF">
        <w:rPr>
          <w:rFonts w:ascii="Times New Roman" w:hAnsi="Times New Roman" w:cs="Times New Roman"/>
        </w:rPr>
        <w:t>= k*x</w:t>
      </w:r>
      <w:r w:rsidRPr="003D21DF">
        <w:rPr>
          <w:rFonts w:ascii="Times New Roman" w:hAnsi="Times New Roman" w:cs="Times New Roman"/>
          <w:vertAlign w:val="superscript"/>
        </w:rPr>
        <w:t xml:space="preserve">L </w:t>
      </w:r>
      <w:r>
        <w:rPr>
          <w:rFonts w:ascii="Times New Roman" w:hAnsi="Times New Roman" w:cs="Times New Roman"/>
        </w:rPr>
        <w:t>with</w:t>
      </w:r>
      <w:r w:rsidRPr="003D21DF">
        <w:rPr>
          <w:rFonts w:ascii="Times New Roman" w:hAnsi="Times New Roman" w:cs="Times New Roman"/>
        </w:rPr>
        <w:t xml:space="preserve"> k</w:t>
      </w:r>
      <w:r>
        <w:rPr>
          <w:rFonts w:ascii="Times New Roman" w:hAnsi="Times New Roman" w:cs="Times New Roman"/>
        </w:rPr>
        <w:t xml:space="preserve"> </w:t>
      </w:r>
      <w:r w:rsidRPr="003D21DF">
        <w:rPr>
          <w:rFonts w:ascii="Times New Roman" w:hAnsi="Times New Roman" w:cs="Times New Roman"/>
        </w:rPr>
        <w:t>&gt;</w:t>
      </w:r>
      <w:r>
        <w:rPr>
          <w:rFonts w:ascii="Times New Roman" w:hAnsi="Times New Roman" w:cs="Times New Roman"/>
        </w:rPr>
        <w:t xml:space="preserve"> </w:t>
      </w:r>
      <w:r w:rsidRPr="003D21DF">
        <w:rPr>
          <w:rFonts w:ascii="Times New Roman" w:hAnsi="Times New Roman" w:cs="Times New Roman"/>
        </w:rPr>
        <w:t>1, then E(x</w:t>
      </w:r>
      <w:r w:rsidRPr="003D21DF">
        <w:rPr>
          <w:rFonts w:ascii="Times New Roman" w:hAnsi="Times New Roman" w:cs="Times New Roman"/>
          <w:vertAlign w:val="superscript"/>
        </w:rPr>
        <w:t>H</w:t>
      </w:r>
      <w:r w:rsidRPr="003D21DF">
        <w:rPr>
          <w:rFonts w:ascii="Times New Roman" w:hAnsi="Times New Roman" w:cs="Times New Roman"/>
        </w:rPr>
        <w:t>) / E(x</w:t>
      </w:r>
      <w:r w:rsidRPr="003D21DF">
        <w:rPr>
          <w:rFonts w:ascii="Times New Roman" w:hAnsi="Times New Roman" w:cs="Times New Roman"/>
          <w:vertAlign w:val="superscript"/>
        </w:rPr>
        <w:t>L</w:t>
      </w:r>
      <w:r w:rsidRPr="003D21DF">
        <w:rPr>
          <w:rFonts w:ascii="Times New Roman" w:hAnsi="Times New Roman" w:cs="Times New Roman"/>
        </w:rPr>
        <w:t>) = k, cov(m, x</w:t>
      </w:r>
      <w:r w:rsidRPr="003D21DF">
        <w:rPr>
          <w:rFonts w:ascii="Times New Roman" w:hAnsi="Times New Roman" w:cs="Times New Roman"/>
          <w:vertAlign w:val="superscript"/>
        </w:rPr>
        <w:t>H</w:t>
      </w:r>
      <w:r w:rsidRPr="00746A21">
        <w:rPr>
          <w:rFonts w:ascii="Times New Roman" w:hAnsi="Times New Roman" w:cs="Times New Roman"/>
        </w:rPr>
        <w:t>)</w:t>
      </w:r>
      <w:r w:rsidRPr="003D21DF">
        <w:rPr>
          <w:rFonts w:ascii="Times New Roman" w:hAnsi="Times New Roman" w:cs="Times New Roman"/>
        </w:rPr>
        <w:t xml:space="preserve"> / cov(m,x</w:t>
      </w:r>
      <w:r w:rsidRPr="003D21DF">
        <w:rPr>
          <w:rFonts w:ascii="Times New Roman" w:hAnsi="Times New Roman" w:cs="Times New Roman"/>
          <w:vertAlign w:val="superscript"/>
        </w:rPr>
        <w:t>L</w:t>
      </w:r>
      <w:r w:rsidRPr="003D21DF">
        <w:rPr>
          <w:rFonts w:ascii="Times New Roman" w:hAnsi="Times New Roman" w:cs="Times New Roman"/>
        </w:rPr>
        <w:t>) = k</w:t>
      </w:r>
      <w:r>
        <w:rPr>
          <w:rFonts w:ascii="Times New Roman" w:hAnsi="Times New Roman" w:cs="Times New Roman"/>
        </w:rPr>
        <w:t>,</w:t>
      </w:r>
      <w:r w:rsidRPr="003D21DF">
        <w:rPr>
          <w:rFonts w:ascii="Times New Roman" w:hAnsi="Times New Roman" w:cs="Times New Roman"/>
        </w:rPr>
        <w:t xml:space="preserve"> and P</w:t>
      </w:r>
      <w:r w:rsidRPr="003D21DF">
        <w:rPr>
          <w:rFonts w:ascii="Times New Roman" w:hAnsi="Times New Roman" w:cs="Times New Roman"/>
          <w:vertAlign w:val="superscript"/>
        </w:rPr>
        <w:t xml:space="preserve">H </w:t>
      </w:r>
      <w:r w:rsidRPr="003D21DF">
        <w:rPr>
          <w:rFonts w:ascii="Times New Roman" w:hAnsi="Times New Roman" w:cs="Times New Roman"/>
        </w:rPr>
        <w:t>= k*P</w:t>
      </w:r>
      <w:r w:rsidRPr="003D21DF">
        <w:rPr>
          <w:rFonts w:ascii="Times New Roman" w:hAnsi="Times New Roman" w:cs="Times New Roman"/>
          <w:vertAlign w:val="superscript"/>
        </w:rPr>
        <w:t>L</w:t>
      </w:r>
      <w:r>
        <w:rPr>
          <w:rFonts w:ascii="Times New Roman" w:hAnsi="Times New Roman" w:cs="Times New Roman"/>
          <w:vertAlign w:val="superscript"/>
        </w:rPr>
        <w:t xml:space="preserve"> </w:t>
      </w:r>
      <w:r w:rsidRPr="003D21DF">
        <w:rPr>
          <w:rFonts w:ascii="Times New Roman" w:hAnsi="Times New Roman" w:cs="Times New Roman"/>
        </w:rPr>
        <w:t>&gt; P</w:t>
      </w:r>
      <w:r w:rsidRPr="003D21DF">
        <w:rPr>
          <w:rFonts w:ascii="Times New Roman" w:hAnsi="Times New Roman" w:cs="Times New Roman"/>
          <w:vertAlign w:val="superscript"/>
        </w:rPr>
        <w:t>L</w:t>
      </w:r>
      <w:r w:rsidRPr="003D21DF">
        <w:rPr>
          <w:rFonts w:ascii="Times New Roman" w:hAnsi="Times New Roman" w:cs="Times New Roman"/>
        </w:rPr>
        <w:t xml:space="preserve">. </w:t>
      </w:r>
      <w:r>
        <w:rPr>
          <w:rFonts w:ascii="Times New Roman" w:hAnsi="Times New Roman" w:cs="Times New Roman"/>
        </w:rPr>
        <w:t>Here, H and L</w:t>
      </w:r>
      <w:r w:rsidRPr="003D21DF">
        <w:rPr>
          <w:rFonts w:ascii="Times New Roman" w:hAnsi="Times New Roman" w:cs="Times New Roman"/>
        </w:rPr>
        <w:t xml:space="preserve"> </w:t>
      </w:r>
      <w:r>
        <w:rPr>
          <w:rFonts w:ascii="Times New Roman" w:hAnsi="Times New Roman" w:cs="Times New Roman"/>
        </w:rPr>
        <w:t xml:space="preserve">have </w:t>
      </w:r>
      <w:r w:rsidRPr="00746A21">
        <w:rPr>
          <w:rFonts w:ascii="Times New Roman" w:hAnsi="Times New Roman" w:cs="Times New Roman"/>
          <w:i/>
          <w:iCs/>
        </w:rPr>
        <w:t>identical</w:t>
      </w:r>
      <w:r w:rsidRPr="003D21DF">
        <w:rPr>
          <w:rFonts w:ascii="Times New Roman" w:hAnsi="Times New Roman" w:cs="Times New Roman"/>
        </w:rPr>
        <w:t xml:space="preserve"> systematic</w:t>
      </w:r>
      <w:r w:rsidRPr="00E82592">
        <w:rPr>
          <w:rFonts w:ascii="Times New Roman" w:hAnsi="Times New Roman" w:cs="Times New Roman"/>
        </w:rPr>
        <w:t xml:space="preserve"> risk</w:t>
      </w:r>
      <w:r>
        <w:rPr>
          <w:rFonts w:ascii="Times New Roman" w:hAnsi="Times New Roman" w:cs="Times New Roman"/>
        </w:rPr>
        <w:t>, as measured by market beta in the more familiar returns representation (</w:t>
      </w:r>
      <w:r w:rsidRPr="00683B2F">
        <w:rPr>
          <w:rFonts w:ascii="Times New Roman" w:hAnsi="Times New Roman" w:cs="Times New Roman"/>
        </w:rPr>
        <w:t>since scaling the payoff scales the price proportionally</w:t>
      </w:r>
      <w:r>
        <w:rPr>
          <w:rFonts w:ascii="Times New Roman" w:hAnsi="Times New Roman" w:cs="Times New Roman"/>
        </w:rPr>
        <w:t>, producing identical returns)</w:t>
      </w:r>
      <w:r>
        <w:rPr>
          <w:rFonts w:ascii="Times New Roman" w:hAnsi="Times New Roman" w:cs="Times New Roman"/>
          <w:lang w:val="en-US"/>
        </w:rPr>
        <w:t>. More generally, t</w:t>
      </w:r>
      <w:r w:rsidRPr="006B6A03">
        <w:rPr>
          <w:rFonts w:ascii="Times New Roman" w:hAnsi="Times New Roman" w:cs="Times New Roman"/>
        </w:rPr>
        <w:t xml:space="preserve">he success state </w:t>
      </w:r>
      <w:r>
        <w:rPr>
          <w:rFonts w:ascii="Times New Roman" w:hAnsi="Times New Roman" w:cs="Times New Roman"/>
        </w:rPr>
        <w:t xml:space="preserve">may have </w:t>
      </w:r>
      <w:r w:rsidRPr="006B6A03">
        <w:rPr>
          <w:rFonts w:ascii="Times New Roman" w:hAnsi="Times New Roman" w:cs="Times New Roman"/>
          <w:i/>
          <w:iCs/>
        </w:rPr>
        <w:t>lower</w:t>
      </w:r>
      <w:r w:rsidRPr="006B6A03">
        <w:rPr>
          <w:rFonts w:ascii="Times New Roman" w:hAnsi="Times New Roman" w:cs="Times New Roman"/>
        </w:rPr>
        <w:t xml:space="preserve"> systematic risk </w:t>
      </w:r>
      <w:r>
        <w:rPr>
          <w:rFonts w:ascii="Times New Roman" w:hAnsi="Times New Roman" w:cs="Times New Roman"/>
        </w:rPr>
        <w:t xml:space="preserve">than the disappointment state, in addition to higher cash flows. For example, if a firm’s </w:t>
      </w:r>
      <w:r w:rsidRPr="006B6A03">
        <w:rPr>
          <w:rFonts w:ascii="Times New Roman" w:hAnsi="Times New Roman" w:cs="Times New Roman"/>
        </w:rPr>
        <w:t xml:space="preserve">product </w:t>
      </w:r>
      <w:r>
        <w:rPr>
          <w:rFonts w:ascii="Times New Roman" w:hAnsi="Times New Roman" w:cs="Times New Roman"/>
        </w:rPr>
        <w:t>gains necessity status, its</w:t>
      </w:r>
      <w:r w:rsidRPr="006B6A03">
        <w:rPr>
          <w:rFonts w:ascii="Times New Roman" w:hAnsi="Times New Roman" w:cs="Times New Roman"/>
        </w:rPr>
        <w:t xml:space="preserve"> cash flows </w:t>
      </w:r>
      <w:r>
        <w:rPr>
          <w:rFonts w:ascii="Times New Roman" w:hAnsi="Times New Roman" w:cs="Times New Roman"/>
        </w:rPr>
        <w:t xml:space="preserve">become </w:t>
      </w:r>
      <w:r w:rsidRPr="006B6A03">
        <w:rPr>
          <w:rFonts w:ascii="Times New Roman" w:hAnsi="Times New Roman" w:cs="Times New Roman"/>
        </w:rPr>
        <w:t xml:space="preserve">less sensitive to the </w:t>
      </w:r>
      <w:r>
        <w:rPr>
          <w:rFonts w:ascii="Times New Roman" w:hAnsi="Times New Roman" w:cs="Times New Roman"/>
        </w:rPr>
        <w:t xml:space="preserve">state of the economy, and </w:t>
      </w:r>
      <w:r w:rsidRPr="009928AF">
        <w:rPr>
          <w:rFonts w:ascii="Times New Roman" w:hAnsi="Times New Roman" w:cs="Times New Roman"/>
          <w:lang w:val="en-US"/>
        </w:rPr>
        <w:t>cov(m,x</w:t>
      </w:r>
      <w:r w:rsidRPr="009928AF">
        <w:rPr>
          <w:rFonts w:ascii="Times New Roman" w:hAnsi="Times New Roman" w:cs="Times New Roman"/>
          <w:vertAlign w:val="superscript"/>
          <w:lang w:val="en-US"/>
        </w:rPr>
        <w:t>H</w:t>
      </w:r>
      <w:r w:rsidRPr="009928AF">
        <w:rPr>
          <w:rFonts w:ascii="Times New Roman" w:hAnsi="Times New Roman" w:cs="Times New Roman"/>
          <w:lang w:val="en-US"/>
        </w:rPr>
        <w:t>)</w:t>
      </w:r>
      <w:r>
        <w:rPr>
          <w:rFonts w:ascii="Times New Roman" w:hAnsi="Times New Roman" w:cs="Times New Roman"/>
          <w:lang w:val="en-US"/>
        </w:rPr>
        <w:t xml:space="preserve"> is less negative than </w:t>
      </w:r>
      <w:r w:rsidRPr="009928AF">
        <w:rPr>
          <w:rFonts w:ascii="Times New Roman" w:hAnsi="Times New Roman" w:cs="Times New Roman"/>
          <w:lang w:val="en-US"/>
        </w:rPr>
        <w:t>cov(m,x</w:t>
      </w:r>
      <w:r w:rsidRPr="009928AF">
        <w:rPr>
          <w:rFonts w:ascii="Times New Roman" w:hAnsi="Times New Roman" w:cs="Times New Roman"/>
          <w:vertAlign w:val="superscript"/>
          <w:lang w:val="en-US"/>
        </w:rPr>
        <w:t>L</w:t>
      </w:r>
      <w:r w:rsidRPr="009928AF">
        <w:rPr>
          <w:rFonts w:ascii="Times New Roman" w:hAnsi="Times New Roman" w:cs="Times New Roman"/>
          <w:lang w:val="en-US"/>
        </w:rPr>
        <w:t>)</w:t>
      </w:r>
      <w:r>
        <w:rPr>
          <w:rFonts w:ascii="Times New Roman" w:hAnsi="Times New Roman" w:cs="Times New Roman"/>
          <w:lang w:val="en-US"/>
        </w:rPr>
        <w:t>, all else equal</w:t>
      </w:r>
      <w:r w:rsidRPr="006B6A03">
        <w:rPr>
          <w:rFonts w:ascii="Times New Roman" w:hAnsi="Times New Roman" w:cs="Times New Roman"/>
        </w:rPr>
        <w:t xml:space="preserve">. </w:t>
      </w:r>
      <w:r>
        <w:rPr>
          <w:rFonts w:ascii="Times New Roman" w:hAnsi="Times New Roman" w:cs="Times New Roman"/>
        </w:rPr>
        <w:t>T</w:t>
      </w:r>
      <w:r w:rsidRPr="006B6A03">
        <w:rPr>
          <w:rFonts w:ascii="Times New Roman" w:hAnsi="Times New Roman" w:cs="Times New Roman"/>
        </w:rPr>
        <w:t xml:space="preserve">his reduces the right-hand side of the </w:t>
      </w:r>
      <w:r w:rsidRPr="005F054B">
        <w:rPr>
          <w:rFonts w:ascii="Times New Roman" w:hAnsi="Times New Roman" w:cs="Times New Roman"/>
        </w:rPr>
        <w:t>inequality (</w:t>
      </w:r>
      <w:r w:rsidRPr="00746A21">
        <w:rPr>
          <w:rFonts w:ascii="Times New Roman" w:hAnsi="Times New Roman" w:cs="Times New Roman"/>
          <w:lang w:val="en-US"/>
        </w:rPr>
        <w:t>cov(m,x</w:t>
      </w:r>
      <w:r w:rsidRPr="00746A21">
        <w:rPr>
          <w:rFonts w:ascii="Times New Roman" w:hAnsi="Times New Roman" w:cs="Times New Roman"/>
          <w:vertAlign w:val="superscript"/>
          <w:lang w:val="en-US"/>
        </w:rPr>
        <w:t>L</w:t>
      </w:r>
      <w:r w:rsidRPr="00746A21">
        <w:rPr>
          <w:rFonts w:ascii="Times New Roman" w:hAnsi="Times New Roman" w:cs="Times New Roman"/>
          <w:lang w:val="en-US"/>
        </w:rPr>
        <w:t>) – cov(m,x</w:t>
      </w:r>
      <w:r w:rsidRPr="00746A21">
        <w:rPr>
          <w:rFonts w:ascii="Times New Roman" w:hAnsi="Times New Roman" w:cs="Times New Roman"/>
          <w:vertAlign w:val="superscript"/>
          <w:lang w:val="en-US"/>
        </w:rPr>
        <w:t>H</w:t>
      </w:r>
      <w:r w:rsidRPr="00746A21">
        <w:rPr>
          <w:rFonts w:ascii="Times New Roman" w:hAnsi="Times New Roman" w:cs="Times New Roman"/>
          <w:lang w:val="en-US"/>
        </w:rPr>
        <w:t>))</w:t>
      </w:r>
      <w:r w:rsidRPr="005F054B">
        <w:rPr>
          <w:rFonts w:ascii="Times New Roman" w:hAnsi="Times New Roman" w:cs="Times New Roman"/>
        </w:rPr>
        <w:t>, reinforcing</w:t>
      </w:r>
      <w:r w:rsidRPr="006B6A03">
        <w:rPr>
          <w:rFonts w:ascii="Times New Roman" w:hAnsi="Times New Roman" w:cs="Times New Roman"/>
        </w:rPr>
        <w:t xml:space="preserve"> that </w:t>
      </w:r>
      <w:r>
        <w:rPr>
          <w:rFonts w:ascii="Times New Roman" w:hAnsi="Times New Roman" w:cs="Times New Roman"/>
        </w:rPr>
        <w:t>P</w:t>
      </w:r>
      <w:r w:rsidRPr="00F074C3">
        <w:rPr>
          <w:rFonts w:ascii="Times New Roman" w:hAnsi="Times New Roman" w:cs="Times New Roman"/>
          <w:vertAlign w:val="superscript"/>
        </w:rPr>
        <w:t>H</w:t>
      </w:r>
      <w:r>
        <w:rPr>
          <w:rFonts w:ascii="Times New Roman" w:hAnsi="Times New Roman" w:cs="Times New Roman"/>
          <w:vertAlign w:val="superscript"/>
        </w:rPr>
        <w:t xml:space="preserve"> </w:t>
      </w:r>
      <w:r>
        <w:rPr>
          <w:rFonts w:ascii="Times New Roman" w:hAnsi="Times New Roman" w:cs="Times New Roman"/>
        </w:rPr>
        <w:t>&gt; P</w:t>
      </w:r>
      <w:r w:rsidRPr="00F074C3">
        <w:rPr>
          <w:rFonts w:ascii="Times New Roman" w:hAnsi="Times New Roman" w:cs="Times New Roman"/>
          <w:vertAlign w:val="superscript"/>
        </w:rPr>
        <w:t>L</w:t>
      </w:r>
      <w:r w:rsidRPr="006B6A03">
        <w:rPr>
          <w:rFonts w:ascii="Times New Roman" w:hAnsi="Times New Roman" w:cs="Times New Roman"/>
        </w:rPr>
        <w:t xml:space="preserve">. While </w:t>
      </w:r>
      <w:r w:rsidRPr="006652B4">
        <w:rPr>
          <w:rFonts w:ascii="Times New Roman" w:hAnsi="Times New Roman" w:cs="Times New Roman"/>
        </w:rPr>
        <w:t>it is possible for the success state to have higher systematic risk</w:t>
      </w:r>
      <w:r>
        <w:rPr>
          <w:rFonts w:ascii="Times New Roman" w:hAnsi="Times New Roman" w:cs="Times New Roman"/>
        </w:rPr>
        <w:t>,</w:t>
      </w:r>
      <w:r w:rsidRPr="006B6A03">
        <w:rPr>
          <w:rFonts w:ascii="Times New Roman" w:hAnsi="Times New Roman" w:cs="Times New Roman"/>
        </w:rPr>
        <w:t xml:space="preserve"> </w:t>
      </w:r>
      <w:r>
        <w:rPr>
          <w:rFonts w:ascii="Times New Roman" w:hAnsi="Times New Roman" w:cs="Times New Roman"/>
        </w:rPr>
        <w:t xml:space="preserve">it is rarely </w:t>
      </w:r>
      <w:r w:rsidRPr="006B6A03">
        <w:rPr>
          <w:rFonts w:ascii="Times New Roman" w:hAnsi="Times New Roman" w:cs="Times New Roman"/>
        </w:rPr>
        <w:t>enough to overturn the ordering P</w:t>
      </w:r>
      <w:r w:rsidRPr="006B6A03">
        <w:rPr>
          <w:rFonts w:ascii="Times New Roman" w:hAnsi="Times New Roman" w:cs="Times New Roman"/>
          <w:vertAlign w:val="superscript"/>
        </w:rPr>
        <w:t>H</w:t>
      </w:r>
      <w:r>
        <w:rPr>
          <w:rFonts w:ascii="Times New Roman" w:hAnsi="Times New Roman" w:cs="Times New Roman"/>
          <w:vertAlign w:val="superscript"/>
        </w:rPr>
        <w:t xml:space="preserve"> </w:t>
      </w:r>
      <w:r w:rsidRPr="006B6A03">
        <w:rPr>
          <w:rFonts w:ascii="Times New Roman" w:hAnsi="Times New Roman" w:cs="Times New Roman"/>
        </w:rPr>
        <w:t>&gt;</w:t>
      </w:r>
      <w:r>
        <w:rPr>
          <w:rFonts w:ascii="Times New Roman" w:hAnsi="Times New Roman" w:cs="Times New Roman"/>
        </w:rPr>
        <w:t xml:space="preserve"> </w:t>
      </w:r>
      <w:r w:rsidRPr="006B6A03">
        <w:rPr>
          <w:rFonts w:ascii="Times New Roman" w:hAnsi="Times New Roman" w:cs="Times New Roman"/>
        </w:rPr>
        <w:t>P</w:t>
      </w:r>
      <w:r w:rsidRPr="006B6A03">
        <w:rPr>
          <w:rFonts w:ascii="Times New Roman" w:hAnsi="Times New Roman" w:cs="Times New Roman"/>
          <w:vertAlign w:val="superscript"/>
        </w:rPr>
        <w:t>L</w:t>
      </w:r>
      <w:r w:rsidRPr="006B6A03">
        <w:rPr>
          <w:rFonts w:ascii="Times New Roman" w:hAnsi="Times New Roman" w:cs="Times New Roman"/>
        </w:rPr>
        <w:t xml:space="preserve"> since the</w:t>
      </w:r>
      <w:r>
        <w:rPr>
          <w:rFonts w:ascii="Times New Roman" w:hAnsi="Times New Roman" w:cs="Times New Roman"/>
        </w:rPr>
        <w:t xml:space="preserve"> magnitude of the </w:t>
      </w:r>
      <w:r w:rsidRPr="006B6A03">
        <w:rPr>
          <w:rFonts w:ascii="Times New Roman" w:hAnsi="Times New Roman" w:cs="Times New Roman"/>
        </w:rPr>
        <w:t>expected payoff E</w:t>
      </w:r>
      <w:r>
        <w:rPr>
          <w:rFonts w:ascii="Times New Roman" w:hAnsi="Times New Roman" w:cs="Times New Roman"/>
        </w:rPr>
        <w:t>(</w:t>
      </w:r>
      <w:r w:rsidRPr="006B6A03">
        <w:rPr>
          <w:rFonts w:ascii="Times New Roman" w:hAnsi="Times New Roman" w:cs="Times New Roman"/>
        </w:rPr>
        <w:t>x</w:t>
      </w:r>
      <w:r>
        <w:rPr>
          <w:rFonts w:ascii="Times New Roman" w:hAnsi="Times New Roman" w:cs="Times New Roman"/>
        </w:rPr>
        <w:t>)</w:t>
      </w:r>
      <w:r w:rsidRPr="006B6A03">
        <w:rPr>
          <w:rFonts w:ascii="Times New Roman" w:hAnsi="Times New Roman" w:cs="Times New Roman"/>
        </w:rPr>
        <w:t>/R</w:t>
      </w:r>
      <w:r w:rsidRPr="00B270ED">
        <w:rPr>
          <w:rFonts w:ascii="Times New Roman" w:hAnsi="Times New Roman" w:cs="Times New Roman"/>
          <w:vertAlign w:val="subscript"/>
        </w:rPr>
        <w:t>f</w:t>
      </w:r>
      <w:r w:rsidRPr="006B6A03">
        <w:rPr>
          <w:rFonts w:ascii="Times New Roman" w:hAnsi="Times New Roman" w:cs="Times New Roman"/>
        </w:rPr>
        <w:t xml:space="preserve"> tends to dominate</w:t>
      </w:r>
      <w:r>
        <w:rPr>
          <w:rFonts w:ascii="Times New Roman" w:hAnsi="Times New Roman" w:cs="Times New Roman"/>
        </w:rPr>
        <w:t xml:space="preserve"> that of</w:t>
      </w:r>
      <w:r w:rsidRPr="006B6A03">
        <w:rPr>
          <w:rFonts w:ascii="Times New Roman" w:hAnsi="Times New Roman" w:cs="Times New Roman"/>
        </w:rPr>
        <w:t xml:space="preserve"> </w:t>
      </w:r>
      <w:r>
        <w:rPr>
          <w:rFonts w:ascii="Times New Roman" w:hAnsi="Times New Roman" w:cs="Times New Roman"/>
        </w:rPr>
        <w:t>the risk adjustment cov(m,x).</w:t>
      </w:r>
    </w:p>
  </w:footnote>
  <w:footnote w:id="8">
    <w:p w14:paraId="5495C3A8" w14:textId="77777777" w:rsidR="00D978C6" w:rsidRPr="00203012" w:rsidRDefault="00D978C6" w:rsidP="00A84266">
      <w:pPr>
        <w:pStyle w:val="FootnoteText"/>
        <w:spacing w:line="276" w:lineRule="auto"/>
        <w:jc w:val="both"/>
        <w:rPr>
          <w:rFonts w:ascii="Times New Roman" w:hAnsi="Times New Roman" w:cs="Times New Roman"/>
        </w:rPr>
      </w:pPr>
      <w:r w:rsidRPr="00203012">
        <w:rPr>
          <w:rStyle w:val="FootnoteReference"/>
          <w:rFonts w:ascii="Times New Roman" w:hAnsi="Times New Roman" w:cs="Times New Roman"/>
        </w:rPr>
        <w:footnoteRef/>
      </w:r>
      <w:r w:rsidRPr="00203012">
        <w:rPr>
          <w:rFonts w:ascii="Times New Roman" w:hAnsi="Times New Roman" w:cs="Times New Roman"/>
        </w:rPr>
        <w:t xml:space="preserve"> The residual income model is </w:t>
      </w:r>
      <w:r>
        <w:rPr>
          <w:rFonts w:ascii="Times New Roman" w:hAnsi="Times New Roman" w:cs="Times New Roman"/>
        </w:rPr>
        <w:t>equivalent to the</w:t>
      </w:r>
      <w:r w:rsidRPr="00203012">
        <w:rPr>
          <w:rFonts w:ascii="Times New Roman" w:hAnsi="Times New Roman" w:cs="Times New Roman"/>
        </w:rPr>
        <w:t xml:space="preserve"> </w:t>
      </w:r>
      <w:r>
        <w:rPr>
          <w:rFonts w:ascii="Times New Roman" w:hAnsi="Times New Roman" w:cs="Times New Roman"/>
        </w:rPr>
        <w:t>dividend discount</w:t>
      </w:r>
      <w:r w:rsidRPr="00203012">
        <w:rPr>
          <w:rFonts w:ascii="Times New Roman" w:hAnsi="Times New Roman" w:cs="Times New Roman"/>
        </w:rPr>
        <w:t xml:space="preserve"> model under clean-surplus accounting.</w:t>
      </w:r>
    </w:p>
  </w:footnote>
  <w:footnote w:id="9">
    <w:p w14:paraId="03F56603" w14:textId="09F24908" w:rsidR="00D978C6" w:rsidRPr="00681D57" w:rsidRDefault="00D978C6" w:rsidP="00B64078">
      <w:pPr>
        <w:pStyle w:val="FootnoteText"/>
        <w:spacing w:line="276" w:lineRule="auto"/>
        <w:jc w:val="both"/>
        <w:rPr>
          <w:rFonts w:ascii="Times New Roman" w:hAnsi="Times New Roman" w:cs="Times New Roman"/>
        </w:rPr>
      </w:pPr>
      <w:r w:rsidRPr="00681D57">
        <w:rPr>
          <w:rStyle w:val="FootnoteReference"/>
          <w:rFonts w:ascii="Times New Roman" w:hAnsi="Times New Roman" w:cs="Times New Roman"/>
        </w:rPr>
        <w:footnoteRef/>
      </w:r>
      <w:r w:rsidRPr="00681D57">
        <w:rPr>
          <w:rFonts w:ascii="Times New Roman" w:hAnsi="Times New Roman" w:cs="Times New Roman"/>
        </w:rPr>
        <w:t xml:space="preserve"> </w:t>
      </w:r>
      <w:r>
        <w:rPr>
          <w:rFonts w:ascii="Times New Roman" w:hAnsi="Times New Roman" w:cs="Times New Roman"/>
        </w:rPr>
        <w:t>T</w:t>
      </w:r>
      <w:r w:rsidRPr="00681D57">
        <w:rPr>
          <w:rFonts w:ascii="Times New Roman" w:hAnsi="Times New Roman" w:cs="Times New Roman"/>
        </w:rPr>
        <w:t xml:space="preserve">he canonical </w:t>
      </w:r>
      <w:hyperlink w:anchor="_ENREF_58" w:tooltip="Ohlson, 1995 #1799"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AuthorYear="1"&gt;&lt;Author&gt;Ohlson&lt;/Author&gt;&lt;Year&gt;1995&lt;/Year&gt;&lt;RecNum&gt;1799&lt;/RecNum&gt;&lt;DisplayText&gt;Ohlson (1995)&lt;/DisplayText&gt;&lt;record&gt;&lt;rec-number&gt;1799&lt;/rec-number&gt;&lt;foreign-keys&gt;&lt;key app="EN" db-id="a00ppf5vbz2zw4efraqp9recxrvdwwtasszf" timestamp="1687442359"&gt;1799&lt;/key&gt;&lt;/foreign-keys&gt;&lt;ref-type name="Journal Article"&gt;17&lt;/ref-type&gt;&lt;contributors&gt;&lt;authors&gt;&lt;author&gt;Ohlson, James A.&lt;/author&gt;&lt;/authors&gt;&lt;/contributors&gt;&lt;titles&gt;&lt;title&gt;Earnings, Book Values, and Dividends in Equity Valuation&lt;/title&gt;&lt;secondary-title&gt;Contemporary Accounting Research&lt;/secondary-title&gt;&lt;/titles&gt;&lt;periodical&gt;&lt;full-title&gt;Contemporary Accounting Research&lt;/full-title&gt;&lt;/periodical&gt;&lt;pages&gt;661-687&lt;/pages&gt;&lt;volume&gt;11&lt;/volume&gt;&lt;number&gt;2&lt;/number&gt;&lt;dates&gt;&lt;year&gt;1995&lt;/year&gt;&lt;/dates&gt;&lt;isbn&gt;0823-9150&lt;/isbn&gt;&lt;urls&gt;&lt;related-urls&gt;&lt;url&gt;https://onlinelibrary.wiley.com/doi/abs/10.1111/j.1911-3846.1995.tb00461.x&lt;/url&gt;&lt;/related-urls&gt;&lt;/urls&gt;&lt;electronic-resource-num&gt;https://doi.org/10.1111/j.1911-3846.1995.tb00461.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Ohlson (1995)</w:t>
        </w:r>
        <w:r>
          <w:rPr>
            <w:rFonts w:ascii="Times New Roman" w:hAnsi="Times New Roman" w:cs="Times New Roman"/>
          </w:rPr>
          <w:fldChar w:fldCharType="end"/>
        </w:r>
      </w:hyperlink>
      <w:r w:rsidRPr="00681D57">
        <w:rPr>
          <w:rFonts w:ascii="Times New Roman" w:hAnsi="Times New Roman" w:cs="Times New Roman"/>
        </w:rPr>
        <w:t xml:space="preserve"> model implies</w:t>
      </w:r>
      <w:r>
        <w:rPr>
          <w:rFonts w:ascii="Times New Roman" w:hAnsi="Times New Roman" w:cs="Times New Roman"/>
        </w:rPr>
        <w:t xml:space="preserve"> </w:t>
      </w:r>
      <w:r w:rsidRPr="00681D57">
        <w:rPr>
          <w:rFonts w:ascii="Times New Roman" w:hAnsi="Times New Roman" w:cs="Times New Roman"/>
        </w:rPr>
        <w:t>no intercept</w:t>
      </w:r>
      <w:r>
        <w:rPr>
          <w:rFonts w:ascii="Times New Roman" w:hAnsi="Times New Roman" w:cs="Times New Roman"/>
        </w:rPr>
        <w:t xml:space="preserve"> and</w:t>
      </w:r>
      <w:r w:rsidRPr="00681D57">
        <w:rPr>
          <w:rFonts w:ascii="Times New Roman" w:hAnsi="Times New Roman" w:cs="Times New Roman"/>
        </w:rPr>
        <w:t xml:space="preserve"> </w:t>
      </w:r>
      <w:r>
        <w:rPr>
          <w:rFonts w:ascii="Times New Roman" w:hAnsi="Times New Roman" w:cs="Times New Roman"/>
        </w:rPr>
        <w:t>a</w:t>
      </w:r>
      <w:r w:rsidRPr="00681D57">
        <w:rPr>
          <w:rFonts w:ascii="Times New Roman" w:hAnsi="Times New Roman" w:cs="Times New Roman"/>
        </w:rPr>
        <w:t xml:space="preserve"> coefficient on book equity </w:t>
      </w:r>
      <w:r>
        <w:rPr>
          <w:rFonts w:ascii="Times New Roman" w:hAnsi="Times New Roman" w:cs="Times New Roman"/>
        </w:rPr>
        <w:t>equal to</w:t>
      </w:r>
      <w:r w:rsidRPr="00681D57">
        <w:rPr>
          <w:rFonts w:ascii="Times New Roman" w:hAnsi="Times New Roman" w:cs="Times New Roman"/>
        </w:rPr>
        <w:t xml:space="preserve"> unity.</w:t>
      </w:r>
      <w:r>
        <w:rPr>
          <w:rFonts w:ascii="Times New Roman" w:hAnsi="Times New Roman" w:cs="Times New Roman"/>
        </w:rPr>
        <w:t xml:space="preserve"> We do not impose these constraints in our estimation for three reasons. First, these constraints pertain to the model estimated in raw dollars, whereas we estimate a log specification. Second, even in the canonical raw dollar specification, conservative accounting can cause the coefficient on book equity to be greater than one. Third, differences in accounting conservatism across industries can result in different book equity coefficients across industries. For example, </w:t>
      </w:r>
      <w:hyperlink w:anchor="_ENREF_9" w:tooltip="Barth, 1999 #1821"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AuthorYear="1"&gt;&lt;Author&gt;Barth&lt;/Author&gt;&lt;Year&gt;1999&lt;/Year&gt;&lt;RecNum&gt;1821&lt;/RecNum&gt;&lt;DisplayText&gt;Barth et al. (1999)&lt;/DisplayText&gt;&lt;record&gt;&lt;rec-number&gt;1821&lt;/rec-number&gt;&lt;foreign-keys&gt;&lt;key app="EN" db-id="a00ppf5vbz2zw4efraqp9recxrvdwwtasszf" timestamp="1689674902"&gt;1821&lt;/key&gt;&lt;/foreign-keys&gt;&lt;ref-type name="Journal Article"&gt;17&lt;/ref-type&gt;&lt;contributors&gt;&lt;authors&gt;&lt;author&gt;Barth, Mary E.&lt;/author&gt;&lt;author&gt;Beaver, William H.&lt;/author&gt;&lt;author&gt;Hand, John R. M.&lt;/author&gt;&lt;author&gt;Landsman, Wayne R.&lt;/author&gt;&lt;/authors&gt;&lt;/contributors&gt;&lt;titles&gt;&lt;title&gt;Accruals, Cash Flows, and Equity Values&lt;/title&gt;&lt;secondary-title&gt;Review of Accounting Studies&lt;/secondary-title&gt;&lt;/titles&gt;&lt;pages&gt;205-229&lt;/pages&gt;&lt;volume&gt;4&lt;/volume&gt;&lt;number&gt;3&lt;/number&gt;&lt;dates&gt;&lt;year&gt;1999&lt;/year&gt;&lt;pub-dates&gt;&lt;date&gt;1999/12/01&lt;/date&gt;&lt;/pub-dates&gt;&lt;/dates&gt;&lt;isbn&gt;1573-7136&lt;/isbn&gt;&lt;urls&gt;&lt;related-urls&gt;&lt;url&gt;https://doi.org/10.1023/A:1009630100586&lt;/url&gt;&lt;/related-urls&gt;&lt;/urls&gt;&lt;electronic-resource-num&gt;10.1023/A:1009630100586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Barth et al. (1999)</w:t>
        </w:r>
        <w:r>
          <w:rPr>
            <w:rFonts w:ascii="Times New Roman" w:hAnsi="Times New Roman" w:cs="Times New Roman"/>
          </w:rPr>
          <w:fldChar w:fldCharType="end"/>
        </w:r>
      </w:hyperlink>
      <w:r>
        <w:rPr>
          <w:rFonts w:ascii="Times New Roman" w:hAnsi="Times New Roman" w:cs="Times New Roman"/>
        </w:rPr>
        <w:t xml:space="preserve"> find book equity coefficients to range from 0.99 to 2.91.</w:t>
      </w:r>
    </w:p>
  </w:footnote>
  <w:footnote w:id="10">
    <w:p w14:paraId="4C205331" w14:textId="680693F7" w:rsidR="00D978C6" w:rsidRPr="003465CE" w:rsidRDefault="00D978C6" w:rsidP="00B64078">
      <w:pPr>
        <w:pStyle w:val="FootnoteText"/>
        <w:spacing w:line="276" w:lineRule="auto"/>
        <w:jc w:val="both"/>
        <w:rPr>
          <w:rFonts w:ascii="Times New Roman" w:hAnsi="Times New Roman" w:cs="Times New Roman"/>
        </w:rPr>
      </w:pPr>
      <w:r w:rsidRPr="003465CE">
        <w:rPr>
          <w:rStyle w:val="FootnoteReference"/>
          <w:rFonts w:ascii="Times New Roman" w:hAnsi="Times New Roman" w:cs="Times New Roman"/>
        </w:rPr>
        <w:footnoteRef/>
      </w:r>
      <w:r w:rsidRPr="003465CE">
        <w:rPr>
          <w:rFonts w:ascii="Times New Roman" w:hAnsi="Times New Roman" w:cs="Times New Roman"/>
        </w:rPr>
        <w:t xml:space="preserve"> Note that our ultimate use of the valuation model </w:t>
      </w:r>
      <w:r>
        <w:rPr>
          <w:rFonts w:ascii="Times New Roman" w:hAnsi="Times New Roman" w:cs="Times New Roman"/>
        </w:rPr>
        <w:t>is</w:t>
      </w:r>
      <w:r w:rsidRPr="003465CE">
        <w:rPr>
          <w:rFonts w:ascii="Times New Roman" w:hAnsi="Times New Roman" w:cs="Times New Roman"/>
        </w:rPr>
        <w:t xml:space="preserve"> to </w:t>
      </w:r>
      <w:r>
        <w:rPr>
          <w:rFonts w:ascii="Times New Roman" w:hAnsi="Times New Roman" w:cs="Times New Roman"/>
        </w:rPr>
        <w:t>estimate</w:t>
      </w:r>
      <w:r w:rsidRPr="003465CE">
        <w:rPr>
          <w:rFonts w:ascii="Times New Roman" w:hAnsi="Times New Roman" w:cs="Times New Roman"/>
        </w:rPr>
        <w:t xml:space="preserve"> uncertainty about fundamental value rather than fundamental value per se.</w:t>
      </w:r>
      <w:r>
        <w:rPr>
          <w:rFonts w:ascii="Times New Roman" w:hAnsi="Times New Roman" w:cs="Times New Roman"/>
        </w:rPr>
        <w:t xml:space="preserve"> </w:t>
      </w:r>
      <w:hyperlink w:anchor="_ENREF_50" w:tooltip="Kothari, 2002 #1802"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AuthorYear="1"&gt;&lt;Author&gt;Kothari&lt;/Author&gt;&lt;Year&gt;2002&lt;/Year&gt;&lt;RecNum&gt;1802&lt;/RecNum&gt;&lt;DisplayText&gt;Kothari, Laguerre, and Leone (2002)&lt;/DisplayText&gt;&lt;record&gt;&lt;rec-number&gt;1802&lt;/rec-number&gt;&lt;foreign-keys&gt;&lt;key app="EN" db-id="a00ppf5vbz2zw4efraqp9recxrvdwwtasszf" timestamp="1687528462"&gt;1802&lt;/key&gt;&lt;/foreign-keys&gt;&lt;ref-type name="Journal Article"&gt;17&lt;/ref-type&gt;&lt;contributors&gt;&lt;authors&gt;&lt;author&gt;Kothari, S. P.&lt;/author&gt;&lt;author&gt;Laguerre, Ted E.&lt;/author&gt;&lt;author&gt;Leone, Andrew J.&lt;/author&gt;&lt;/authors&gt;&lt;/contributors&gt;&lt;titles&gt;&lt;title&gt;Capitalization versus Expensing: Evidence on the Uncertainty of Future Earnings from Capital Expenditures versus R&amp;amp;D Outlays&lt;/title&gt;&lt;secondary-title&gt;Review of Accounting Studies&lt;/secondary-title&gt;&lt;/titles&gt;&lt;pages&gt;355-382&lt;/pages&gt;&lt;volume&gt;7&lt;/volume&gt;&lt;number&gt;4&lt;/number&gt;&lt;keywords&gt;&lt;keyword&gt;CAPITAL investments&lt;/keyword&gt;&lt;keyword&gt;ACCOUNTING methods&lt;/keyword&gt;&lt;keyword&gt;RESEARCH &amp;amp; development&lt;/keyword&gt;&lt;keyword&gt;EXPECTED returns&lt;/keyword&gt;&lt;keyword&gt;INVESTMENTS&lt;/keyword&gt;&lt;keyword&gt;PROFIT&lt;/keyword&gt;&lt;keyword&gt;capitalization&lt;/keyword&gt;&lt;keyword&gt;earnings reliability&lt;/keyword&gt;&lt;keyword&gt;R&amp;amp;D&lt;/keyword&gt;&lt;/keywords&gt;&lt;dates&gt;&lt;year&gt;2002&lt;/year&gt;&lt;/dates&gt;&lt;isbn&gt;13806653&lt;/isbn&gt;&lt;accession-num&gt;9964695&lt;/accession-num&gt;&lt;work-type&gt;Article&lt;/work-type&gt;&lt;urls&gt;&lt;related-urls&gt;&lt;url&gt;https://search.ebscohost.com/login.aspx?direct=true&amp;amp;db=buh&amp;amp;AN=9964695&amp;amp;site=ehost-live&lt;/url&gt;&lt;/related-urls&gt;&lt;/urls&gt;&lt;electronic-resource-num&gt;10.1023/A:1020764227390&lt;/electronic-resource-num&gt;&lt;remote-database-name&gt;Business Source Premier&lt;/remote-database-name&gt;&lt;remote-database-provider&gt;EBSCOhost&lt;/remote-database-provider&gt;&lt;/record&gt;&lt;/Cite&gt;&lt;/EndNote&gt;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Kothari, Laguerre, and Leone (2002)</w:t>
        </w:r>
        <w:r>
          <w:rPr>
            <w:rFonts w:ascii="Times New Roman" w:hAnsi="Times New Roman" w:cs="Times New Roman"/>
          </w:rPr>
          <w:fldChar w:fldCharType="end"/>
        </w:r>
      </w:hyperlink>
      <w:r>
        <w:rPr>
          <w:rFonts w:ascii="Times New Roman" w:hAnsi="Times New Roman" w:cs="Times New Roman"/>
        </w:rPr>
        <w:t xml:space="preserve"> find</w:t>
      </w:r>
      <w:r w:rsidRPr="003465CE">
        <w:rPr>
          <w:rFonts w:ascii="Times New Roman" w:hAnsi="Times New Roman" w:cs="Times New Roman"/>
        </w:rPr>
        <w:t xml:space="preserve"> that R&amp;D investments contribut</w:t>
      </w:r>
      <w:r>
        <w:rPr>
          <w:rFonts w:ascii="Times New Roman" w:hAnsi="Times New Roman" w:cs="Times New Roman"/>
        </w:rPr>
        <w:t>e</w:t>
      </w:r>
      <w:r w:rsidRPr="003465CE">
        <w:rPr>
          <w:rFonts w:ascii="Times New Roman" w:hAnsi="Times New Roman" w:cs="Times New Roman"/>
        </w:rPr>
        <w:t xml:space="preserve"> to uncertainty</w:t>
      </w:r>
      <w:r>
        <w:rPr>
          <w:rFonts w:ascii="Times New Roman" w:hAnsi="Times New Roman" w:cs="Times New Roman"/>
        </w:rPr>
        <w:t xml:space="preserve">. In contrast, </w:t>
      </w:r>
      <w:r w:rsidRPr="003465CE">
        <w:rPr>
          <w:rFonts w:ascii="Times New Roman" w:hAnsi="Times New Roman" w:cs="Times New Roman"/>
        </w:rPr>
        <w:t xml:space="preserve">book equity </w:t>
      </w:r>
      <w:r>
        <w:rPr>
          <w:rFonts w:ascii="Times New Roman" w:hAnsi="Times New Roman" w:cs="Times New Roman"/>
        </w:rPr>
        <w:t>acts as a measure of size and we expect large firms to have less uncertain valuations.</w:t>
      </w:r>
    </w:p>
  </w:footnote>
  <w:footnote w:id="11">
    <w:p w14:paraId="3E355DB1" w14:textId="08E11D50" w:rsidR="00D978C6" w:rsidRPr="00AB32A7" w:rsidRDefault="00D978C6" w:rsidP="00AB32A7">
      <w:pPr>
        <w:pStyle w:val="FootnoteText"/>
        <w:spacing w:line="276" w:lineRule="auto"/>
        <w:jc w:val="both"/>
        <w:rPr>
          <w:rFonts w:ascii="Times New Roman" w:hAnsi="Times New Roman" w:cs="Times New Roman"/>
        </w:rPr>
      </w:pPr>
      <w:r w:rsidRPr="004E380B">
        <w:rPr>
          <w:rStyle w:val="FootnoteReference"/>
          <w:rFonts w:ascii="Times New Roman" w:hAnsi="Times New Roman" w:cs="Times New Roman"/>
        </w:rPr>
        <w:footnoteRef/>
      </w:r>
      <w:r w:rsidRPr="004E380B">
        <w:rPr>
          <w:rFonts w:ascii="Times New Roman" w:hAnsi="Times New Roman" w:cs="Times New Roman"/>
        </w:rPr>
        <w:t xml:space="preserve"> </w:t>
      </w:r>
      <w:r>
        <w:rPr>
          <w:rFonts w:ascii="Times New Roman" w:hAnsi="Times New Roman" w:cs="Times New Roman"/>
        </w:rPr>
        <w:t xml:space="preserve">Our R&amp;D capitalization approach requires five years worth of observations on R&amp;D expenses. When such history is available, any missing values are set to zero. For newly listed firms without such history, we impute their R&amp;D capital (and corresponding amortization) using industry multiples: we use all firms in an industry-year with sufficient prior data to compute R&amp;D capital and express it as a multiple of current year R&amp;D expense. We then apply this multiple to the current R&amp;D expense </w:t>
      </w:r>
      <w:r w:rsidRPr="00AB32A7">
        <w:rPr>
          <w:rFonts w:ascii="Times New Roman" w:hAnsi="Times New Roman" w:cs="Times New Roman"/>
        </w:rPr>
        <w:t>of firms lack</w:t>
      </w:r>
      <w:r>
        <w:rPr>
          <w:rFonts w:ascii="Times New Roman" w:hAnsi="Times New Roman" w:cs="Times New Roman"/>
        </w:rPr>
        <w:t>ing</w:t>
      </w:r>
      <w:r w:rsidRPr="00AB32A7">
        <w:rPr>
          <w:rFonts w:ascii="Times New Roman" w:hAnsi="Times New Roman" w:cs="Times New Roman"/>
        </w:rPr>
        <w:t xml:space="preserve"> the history of R&amp;D expenses. </w:t>
      </w:r>
      <w:r>
        <w:rPr>
          <w:rFonts w:ascii="Times New Roman" w:hAnsi="Times New Roman" w:cs="Times New Roman"/>
        </w:rPr>
        <w:t>Amortization is imputed similarly</w:t>
      </w:r>
      <w:r w:rsidRPr="00AB32A7">
        <w:rPr>
          <w:rFonts w:ascii="Times New Roman" w:hAnsi="Times New Roman" w:cs="Times New Roman"/>
        </w:rPr>
        <w:t>.</w:t>
      </w:r>
    </w:p>
  </w:footnote>
  <w:footnote w:id="12">
    <w:p w14:paraId="6C2C760F" w14:textId="53FFC3EC" w:rsidR="00D978C6" w:rsidRPr="00864632" w:rsidRDefault="00D978C6" w:rsidP="003D64C0">
      <w:pPr>
        <w:pStyle w:val="FootnoteText"/>
        <w:spacing w:line="276" w:lineRule="auto"/>
        <w:jc w:val="both"/>
        <w:rPr>
          <w:rFonts w:ascii="Times New Roman" w:hAnsi="Times New Roman" w:cs="Times New Roman"/>
        </w:rPr>
      </w:pPr>
      <w:r w:rsidRPr="00864632">
        <w:rPr>
          <w:rStyle w:val="FootnoteReference"/>
          <w:rFonts w:ascii="Times New Roman" w:hAnsi="Times New Roman" w:cs="Times New Roman"/>
        </w:rPr>
        <w:footnoteRef/>
      </w:r>
      <w:r w:rsidRPr="00864632">
        <w:rPr>
          <w:rFonts w:ascii="Times New Roman" w:hAnsi="Times New Roman" w:cs="Times New Roman"/>
        </w:rPr>
        <w:t xml:space="preserve"> </w:t>
      </w:r>
      <w:r>
        <w:rPr>
          <w:rFonts w:ascii="Times New Roman" w:hAnsi="Times New Roman" w:cs="Times New Roman"/>
        </w:rPr>
        <w:t>We note that t</w:t>
      </w:r>
      <w:r w:rsidRPr="00864632">
        <w:rPr>
          <w:rFonts w:ascii="Times New Roman" w:hAnsi="Times New Roman" w:cs="Times New Roman"/>
        </w:rPr>
        <w:t>he R&amp;D adjustment is not critical for our</w:t>
      </w:r>
      <w:r>
        <w:rPr>
          <w:rFonts w:ascii="Times New Roman" w:hAnsi="Times New Roman" w:cs="Times New Roman"/>
        </w:rPr>
        <w:t xml:space="preserve"> analysis and our</w:t>
      </w:r>
      <w:r w:rsidRPr="00864632">
        <w:rPr>
          <w:rFonts w:ascii="Times New Roman" w:hAnsi="Times New Roman" w:cs="Times New Roman"/>
        </w:rPr>
        <w:t xml:space="preserve"> conclusions. </w:t>
      </w:r>
      <w:r>
        <w:rPr>
          <w:rFonts w:ascii="Times New Roman" w:hAnsi="Times New Roman" w:cs="Times New Roman"/>
        </w:rPr>
        <w:t>The</w:t>
      </w:r>
      <w:r w:rsidRPr="00864632">
        <w:rPr>
          <w:rFonts w:ascii="Times New Roman" w:hAnsi="Times New Roman" w:cs="Times New Roman"/>
        </w:rPr>
        <w:t xml:space="preserve"> valuation uncertainty</w:t>
      </w:r>
      <w:r>
        <w:rPr>
          <w:rFonts w:ascii="Times New Roman" w:hAnsi="Times New Roman" w:cs="Times New Roman"/>
        </w:rPr>
        <w:t xml:space="preserve"> measures</w:t>
      </w:r>
      <w:r w:rsidRPr="00864632">
        <w:rPr>
          <w:rFonts w:ascii="Times New Roman" w:hAnsi="Times New Roman" w:cs="Times New Roman"/>
        </w:rPr>
        <w:t xml:space="preserve"> estimated with and without adjustment for R&amp;D have a correlation of 0.93.</w:t>
      </w:r>
    </w:p>
  </w:footnote>
  <w:footnote w:id="13">
    <w:p w14:paraId="4131245F" w14:textId="4701BA9E" w:rsidR="00D978C6" w:rsidRPr="002E763B" w:rsidRDefault="00D978C6" w:rsidP="00050FE3">
      <w:pPr>
        <w:pStyle w:val="FootnoteText"/>
        <w:spacing w:line="276" w:lineRule="auto"/>
        <w:jc w:val="both"/>
        <w:rPr>
          <w:rFonts w:ascii="Times New Roman" w:hAnsi="Times New Roman" w:cs="Times New Roman"/>
        </w:rPr>
      </w:pPr>
      <w:r w:rsidRPr="002E763B">
        <w:rPr>
          <w:rStyle w:val="FootnoteReference"/>
          <w:rFonts w:ascii="Times New Roman" w:hAnsi="Times New Roman" w:cs="Times New Roman"/>
        </w:rPr>
        <w:footnoteRef/>
      </w:r>
      <w:r w:rsidRPr="002E763B">
        <w:rPr>
          <w:rFonts w:ascii="Times New Roman" w:hAnsi="Times New Roman" w:cs="Times New Roman"/>
        </w:rPr>
        <w:t xml:space="preserve"> </w:t>
      </w:r>
      <w:r w:rsidRPr="002E763B">
        <w:rPr>
          <w:rFonts w:ascii="Times New Roman" w:hAnsi="Times New Roman" w:cs="Times New Roman"/>
          <w:lang w:val="en-US"/>
        </w:rPr>
        <w:t xml:space="preserve">If </w:t>
      </w:r>
      <w:r>
        <w:rPr>
          <w:rFonts w:ascii="Times New Roman" w:hAnsi="Times New Roman" w:cs="Times New Roman"/>
          <w:lang w:val="en-US"/>
        </w:rPr>
        <w:t>prices of industry peers</w:t>
      </w:r>
      <w:r w:rsidRPr="002E763B">
        <w:rPr>
          <w:rFonts w:ascii="Times New Roman" w:hAnsi="Times New Roman" w:cs="Times New Roman"/>
          <w:lang w:val="en-US"/>
        </w:rPr>
        <w:t xml:space="preserve"> </w:t>
      </w:r>
      <w:r>
        <w:rPr>
          <w:rFonts w:ascii="Times New Roman" w:hAnsi="Times New Roman" w:cs="Times New Roman"/>
          <w:lang w:val="en-US"/>
        </w:rPr>
        <w:t>vary for non-fundamental reasons</w:t>
      </w:r>
      <w:r w:rsidR="00896879">
        <w:rPr>
          <w:rFonts w:ascii="Times New Roman" w:hAnsi="Times New Roman" w:cs="Times New Roman"/>
          <w:lang w:val="en-US"/>
        </w:rPr>
        <w:t xml:space="preserve">, namely, </w:t>
      </w:r>
      <w:r w:rsidRPr="002E763B">
        <w:rPr>
          <w:rFonts w:ascii="Times New Roman" w:hAnsi="Times New Roman" w:cs="Times New Roman"/>
          <w:lang w:val="en-US"/>
        </w:rPr>
        <w:t>expectation errors</w:t>
      </w:r>
      <w:r w:rsidR="00896879">
        <w:rPr>
          <w:rFonts w:ascii="Times New Roman" w:hAnsi="Times New Roman" w:cs="Times New Roman"/>
          <w:lang w:val="en-US"/>
        </w:rPr>
        <w:t xml:space="preserve">, </w:t>
      </w:r>
      <w:r w:rsidRPr="002E763B">
        <w:rPr>
          <w:rFonts w:ascii="Times New Roman" w:hAnsi="Times New Roman" w:cs="Times New Roman"/>
          <w:lang w:val="en-US"/>
        </w:rPr>
        <w:t xml:space="preserve">then the degree of dispersion </w:t>
      </w:r>
      <w:r>
        <w:rPr>
          <w:rFonts w:ascii="Times New Roman" w:hAnsi="Times New Roman" w:cs="Times New Roman"/>
          <w:lang w:val="en-US"/>
        </w:rPr>
        <w:t xml:space="preserve">in </w:t>
      </w:r>
      <w:r w:rsidRPr="002E763B">
        <w:rPr>
          <w:rFonts w:ascii="Times New Roman" w:hAnsi="Times New Roman" w:cs="Times New Roman"/>
          <w:lang w:val="en-US"/>
        </w:rPr>
        <w:t>valuations within industry reflects not only plausible range</w:t>
      </w:r>
      <w:r>
        <w:rPr>
          <w:rFonts w:ascii="Times New Roman" w:hAnsi="Times New Roman" w:cs="Times New Roman"/>
          <w:lang w:val="en-US"/>
        </w:rPr>
        <w:t>s</w:t>
      </w:r>
      <w:r w:rsidRPr="002E763B">
        <w:rPr>
          <w:rFonts w:ascii="Times New Roman" w:hAnsi="Times New Roman" w:cs="Times New Roman"/>
          <w:lang w:val="en-US"/>
        </w:rPr>
        <w:t xml:space="preserve"> of expected growth rates and discount rates, but also the severity of expectation errors. To the extent that expectation errors occur when uncertainty is high – a common </w:t>
      </w:r>
      <w:r>
        <w:rPr>
          <w:rFonts w:ascii="Times New Roman" w:hAnsi="Times New Roman" w:cs="Times New Roman"/>
          <w:lang w:val="en-US"/>
        </w:rPr>
        <w:t>prediction of several</w:t>
      </w:r>
      <w:r w:rsidRPr="002E763B">
        <w:rPr>
          <w:rFonts w:ascii="Times New Roman" w:hAnsi="Times New Roman" w:cs="Times New Roman"/>
          <w:lang w:val="en-US"/>
        </w:rPr>
        <w:t xml:space="preserve"> theoretical setups discuss</w:t>
      </w:r>
      <w:r>
        <w:rPr>
          <w:rFonts w:ascii="Times New Roman" w:hAnsi="Times New Roman" w:cs="Times New Roman"/>
          <w:lang w:val="en-US"/>
        </w:rPr>
        <w:t>ed below</w:t>
      </w:r>
      <w:r w:rsidRPr="002E763B">
        <w:rPr>
          <w:rFonts w:ascii="Times New Roman" w:hAnsi="Times New Roman" w:cs="Times New Roman"/>
          <w:lang w:val="en-US"/>
        </w:rPr>
        <w:t xml:space="preserve"> </w:t>
      </w:r>
      <w:r w:rsidRPr="002E763B">
        <w:rPr>
          <w:rFonts w:ascii="Times New Roman" w:hAnsi="Times New Roman" w:cs="Times New Roman"/>
          <w:lang w:val="en-US"/>
        </w:rPr>
        <w:softHyphen/>
        <w:t xml:space="preserve">– the variation in industry </w:t>
      </w:r>
      <w:r>
        <w:rPr>
          <w:rFonts w:ascii="Times New Roman" w:hAnsi="Times New Roman" w:cs="Times New Roman"/>
          <w:lang w:val="en-US"/>
        </w:rPr>
        <w:t>multiples</w:t>
      </w:r>
      <w:r w:rsidRPr="002E763B">
        <w:rPr>
          <w:rFonts w:ascii="Times New Roman" w:hAnsi="Times New Roman" w:cs="Times New Roman"/>
          <w:lang w:val="en-US"/>
        </w:rPr>
        <w:t xml:space="preserve"> is</w:t>
      </w:r>
      <w:r>
        <w:rPr>
          <w:rFonts w:ascii="Times New Roman" w:hAnsi="Times New Roman" w:cs="Times New Roman"/>
          <w:lang w:val="en-US"/>
        </w:rPr>
        <w:t xml:space="preserve"> once again</w:t>
      </w:r>
      <w:r w:rsidRPr="002E763B">
        <w:rPr>
          <w:rFonts w:ascii="Times New Roman" w:hAnsi="Times New Roman" w:cs="Times New Roman"/>
          <w:lang w:val="en-US"/>
        </w:rPr>
        <w:t xml:space="preserve"> indicative of valuation uncertainty. Therefore, our approach to extracting valuation uncertainty from the distribution of valuations of industry peers is valid under both i) efficient pricing and ii) pricing subject to expectation errors.</w:t>
      </w:r>
    </w:p>
  </w:footnote>
  <w:footnote w:id="14">
    <w:p w14:paraId="5753A885" w14:textId="77777777" w:rsidR="00D978C6" w:rsidRPr="00473233" w:rsidRDefault="00D978C6" w:rsidP="00050FE3">
      <w:pPr>
        <w:pStyle w:val="FootnoteText"/>
        <w:spacing w:line="276" w:lineRule="auto"/>
        <w:jc w:val="both"/>
        <w:rPr>
          <w:rFonts w:ascii="Times New Roman" w:hAnsi="Times New Roman" w:cs="Times New Roman"/>
        </w:rPr>
      </w:pPr>
      <w:r w:rsidRPr="00473233">
        <w:rPr>
          <w:rStyle w:val="FootnoteReference"/>
          <w:rFonts w:ascii="Times New Roman" w:hAnsi="Times New Roman" w:cs="Times New Roman"/>
        </w:rPr>
        <w:footnoteRef/>
      </w:r>
      <w:r w:rsidRPr="00473233">
        <w:rPr>
          <w:rFonts w:ascii="Times New Roman" w:hAnsi="Times New Roman" w:cs="Times New Roman"/>
        </w:rPr>
        <w:t xml:space="preserve"> </w:t>
      </w:r>
      <w:r w:rsidRPr="00427210">
        <w:rPr>
          <w:rFonts w:ascii="Times New Roman" w:hAnsi="Times New Roman" w:cs="Times New Roman"/>
        </w:rPr>
        <w:t>Linear quantile regressions aim to best explain a particular quantile of the dependent variable’s distribution</w:t>
      </w:r>
      <w:r>
        <w:rPr>
          <w:rFonts w:ascii="Times New Roman" w:hAnsi="Times New Roman" w:cs="Times New Roman"/>
        </w:rPr>
        <w:t>.</w:t>
      </w:r>
      <w:r w:rsidRPr="00427210">
        <w:rPr>
          <w:rFonts w:ascii="Times New Roman" w:hAnsi="Times New Roman" w:cs="Times New Roman"/>
        </w:rPr>
        <w:t xml:space="preserve"> </w:t>
      </w:r>
      <w:r w:rsidRPr="00473233">
        <w:rPr>
          <w:rFonts w:ascii="Times New Roman" w:hAnsi="Times New Roman" w:cs="Times New Roman"/>
        </w:rPr>
        <w:t>Some notable applications of quantile regressions</w:t>
      </w:r>
      <w:r>
        <w:rPr>
          <w:rFonts w:ascii="Times New Roman" w:hAnsi="Times New Roman" w:cs="Times New Roman"/>
        </w:rPr>
        <w:t xml:space="preserve"> in accounting</w:t>
      </w:r>
      <w:r w:rsidRPr="00473233">
        <w:rPr>
          <w:rFonts w:ascii="Times New Roman" w:hAnsi="Times New Roman" w:cs="Times New Roman"/>
        </w:rPr>
        <w:t xml:space="preserve"> include</w:t>
      </w:r>
      <w:r>
        <w:rPr>
          <w:rFonts w:ascii="Times New Roman" w:hAnsi="Times New Roman" w:cs="Times New Roman"/>
          <w:noProof/>
        </w:rPr>
        <w:t>,</w:t>
      </w:r>
      <w:r w:rsidRPr="00473233">
        <w:rPr>
          <w:rFonts w:ascii="Times New Roman" w:hAnsi="Times New Roman" w:cs="Times New Roman"/>
        </w:rPr>
        <w:t xml:space="preserve"> </w:t>
      </w:r>
      <w:hyperlink w:anchor="_ENREF_49" w:tooltip="Konstantinidi, 2016 #1131" w:history="1">
        <w:r w:rsidRPr="00473233">
          <w:rPr>
            <w:rFonts w:ascii="Times New Roman" w:hAnsi="Times New Roman" w:cs="Times New Roman"/>
          </w:rPr>
          <w:fldChar w:fldCharType="begin"/>
        </w:r>
        <w:r>
          <w:rPr>
            <w:rFonts w:ascii="Times New Roman" w:hAnsi="Times New Roman" w:cs="Times New Roman"/>
          </w:rPr>
          <w:instrText xml:space="preserve"> ADDIN EN.CITE &lt;EndNote&gt;&lt;Cite AuthorYear="1"&gt;&lt;Author&gt;Konstantinidi&lt;/Author&gt;&lt;Year&gt;2016&lt;/Year&gt;&lt;RecNum&gt;1131&lt;/RecNum&gt;&lt;DisplayText&gt;Konstantinidi and Pope (2016)&lt;/DisplayText&gt;&lt;record&gt;&lt;rec-number&gt;1131&lt;/rec-number&gt;&lt;foreign-keys&gt;&lt;key app="EN" db-id="a00ppf5vbz2zw4efraqp9recxrvdwwtasszf" timestamp="1636055775"&gt;1131&lt;/key&gt;&lt;/foreign-keys&gt;&lt;ref-type name="Journal Article"&gt;17&lt;/ref-type&gt;&lt;contributors&gt;&lt;authors&gt;&lt;author&gt;Konstantinidi, Theodosia&lt;/author&gt;&lt;author&gt;Pope, Peter F.&lt;/author&gt;&lt;/authors&gt;&lt;/contributors&gt;&lt;titles&gt;&lt;title&gt;Forecasting Risk in Earnings&lt;/title&gt;&lt;secondary-title&gt;Contemporary Accounting Research&lt;/secondary-title&gt;&lt;/titles&gt;&lt;periodical&gt;&lt;full-title&gt;Contemporary Accounting Research&lt;/full-title&gt;&lt;/periodical&gt;&lt;pages&gt;487-525&lt;/pages&gt;&lt;volume&gt;33&lt;/volume&gt;&lt;number&gt;2&lt;/number&gt;&lt;keywords&gt;&lt;keyword&gt;EARNINGS forecasting&lt;/keyword&gt;&lt;keyword&gt;HIERARCHICAL Bayes model&lt;/keyword&gt;&lt;keyword&gt;FINANCIAL economics&lt;/keyword&gt;&lt;keyword&gt;INVESTMENT analysis&lt;/keyword&gt;&lt;keyword&gt;HAIRCUT (Finance)&lt;/keyword&gt;&lt;keyword&gt;OPPORTUNITY costs&lt;/keyword&gt;&lt;keyword&gt;MARKET value&lt;/keyword&gt;&lt;keyword&gt;PREDICTION models&lt;/keyword&gt;&lt;/keywords&gt;&lt;dates&gt;&lt;year&gt;2016&lt;/year&gt;&lt;pub-dates&gt;&lt;date&gt;Summer2016&lt;/date&gt;&lt;/pub-dates&gt;&lt;/dates&gt;&lt;isbn&gt;08239150&lt;/isbn&gt;&lt;accession-num&gt;115813092&lt;/accession-num&gt;&lt;work-type&gt;Article&lt;/work-type&gt;&lt;urls&gt;&lt;related-urls&gt;&lt;url&gt;http://search.ebscohost.com/login.aspx?direct=true&amp;amp;db=buh&amp;amp;AN=115813092&amp;amp;site=ehost-live&lt;/url&gt;&lt;/related-urls&gt;&lt;/urls&gt;&lt;electronic-resource-num&gt;10.1111/1911-3846.12158&lt;/electronic-resource-num&gt;&lt;remote-database-name&gt;Business Source Premier&lt;/remote-database-name&gt;&lt;remote-database-provider&gt;EBSCOhost&lt;/remote-database-provider&gt;&lt;/record&gt;&lt;/Cite&gt;&lt;/EndNote&gt;</w:instrText>
        </w:r>
        <w:r w:rsidRPr="00473233">
          <w:rPr>
            <w:rFonts w:ascii="Times New Roman" w:hAnsi="Times New Roman" w:cs="Times New Roman"/>
          </w:rPr>
          <w:fldChar w:fldCharType="separate"/>
        </w:r>
        <w:r>
          <w:rPr>
            <w:rFonts w:ascii="Times New Roman" w:hAnsi="Times New Roman" w:cs="Times New Roman"/>
            <w:noProof/>
          </w:rPr>
          <w:t>Konstantinidi and Pope (2016)</w:t>
        </w:r>
        <w:r w:rsidRPr="00473233">
          <w:rPr>
            <w:rFonts w:ascii="Times New Roman" w:hAnsi="Times New Roman" w:cs="Times New Roman"/>
          </w:rPr>
          <w:fldChar w:fldCharType="end"/>
        </w:r>
      </w:hyperlink>
      <w:r w:rsidRPr="00473233">
        <w:rPr>
          <w:rFonts w:ascii="Times New Roman" w:hAnsi="Times New Roman" w:cs="Times New Roman"/>
        </w:rPr>
        <w:t xml:space="preserve">, </w:t>
      </w:r>
      <w:hyperlink w:anchor="_ENREF_24" w:tooltip="Correia, 2018 #500" w:history="1">
        <w:r w:rsidRPr="00473233">
          <w:rPr>
            <w:rFonts w:ascii="Times New Roman" w:hAnsi="Times New Roman" w:cs="Times New Roman"/>
          </w:rPr>
          <w:fldChar w:fldCharType="begin"/>
        </w:r>
        <w:r>
          <w:rPr>
            <w:rFonts w:ascii="Times New Roman" w:hAnsi="Times New Roman" w:cs="Times New Roman"/>
          </w:rPr>
          <w:instrText xml:space="preserve"> ADDIN EN.CITE &lt;EndNote&gt;&lt;Cite AuthorYear="1"&gt;&lt;Author&gt;Correia&lt;/Author&gt;&lt;Year&gt;2018&lt;/Year&gt;&lt;RecNum&gt;500&lt;/RecNum&gt;&lt;DisplayText&gt;Correia, Kang, and Richardson (2018)&lt;/DisplayText&gt;&lt;record&gt;&lt;rec-number&gt;500&lt;/rec-number&gt;&lt;foreign-keys&gt;&lt;key app="EN" db-id="a00ppf5vbz2zw4efraqp9recxrvdwwtasszf" timestamp="1636055769"&gt;500&lt;/key&gt;&lt;/foreign-keys&gt;&lt;ref-type name="Journal Article"&gt;17&lt;/ref-type&gt;&lt;contributors&gt;&lt;authors&gt;&lt;author&gt;Correia, Maria&lt;/author&gt;&lt;author&gt;Kang, Johnny&lt;/author&gt;&lt;author&gt;Richardson, Scott&lt;/author&gt;&lt;/authors&gt;&lt;/contributors&gt;&lt;titles&gt;&lt;title&gt;Asset volatility&lt;/title&gt;&lt;secondary-title&gt;Review of Accounting Studies&lt;/secondary-title&gt;&lt;/titles&gt;&lt;pages&gt;37-94&lt;/pages&gt;&lt;volume&gt;23&lt;/volume&gt;&lt;number&gt;1&lt;/number&gt;&lt;dates&gt;&lt;year&gt;2018&lt;/year&gt;&lt;pub-dates&gt;&lt;date&gt;2018/03/01&lt;/date&gt;&lt;/pub-dates&gt;&lt;/dates&gt;&lt;isbn&gt;1573-7136&lt;/isbn&gt;&lt;urls&gt;&lt;related-urls&gt;&lt;url&gt;https://doi.org/10.1007/s11142-017-9431-1&lt;/url&gt;&lt;/related-urls&gt;&lt;/urls&gt;&lt;electronic-resource-num&gt;10.1007/s11142-017-9431-1&lt;/electronic-resource-num&gt;&lt;/record&gt;&lt;/Cite&gt;&lt;/EndNote&gt;</w:instrText>
        </w:r>
        <w:r w:rsidRPr="00473233">
          <w:rPr>
            <w:rFonts w:ascii="Times New Roman" w:hAnsi="Times New Roman" w:cs="Times New Roman"/>
          </w:rPr>
          <w:fldChar w:fldCharType="separate"/>
        </w:r>
        <w:r>
          <w:rPr>
            <w:rFonts w:ascii="Times New Roman" w:hAnsi="Times New Roman" w:cs="Times New Roman"/>
            <w:noProof/>
          </w:rPr>
          <w:t>Correia, Kang, and Richardson (2018)</w:t>
        </w:r>
        <w:r w:rsidRPr="00473233">
          <w:rPr>
            <w:rFonts w:ascii="Times New Roman" w:hAnsi="Times New Roman" w:cs="Times New Roman"/>
          </w:rPr>
          <w:fldChar w:fldCharType="end"/>
        </w:r>
      </w:hyperlink>
      <w:r w:rsidRPr="00473233">
        <w:rPr>
          <w:rFonts w:ascii="Times New Roman" w:hAnsi="Times New Roman" w:cs="Times New Roman"/>
        </w:rPr>
        <w:t>,</w:t>
      </w:r>
      <w:r>
        <w:rPr>
          <w:rFonts w:ascii="Times New Roman" w:hAnsi="Times New Roman" w:cs="Times New Roman"/>
        </w:rPr>
        <w:t xml:space="preserve"> and </w:t>
      </w:r>
      <w:hyperlink w:anchor="_ENREF_21" w:tooltip="Chang, 2021 #416"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AuthorYear="1"&gt;&lt;Author&gt;Chang&lt;/Author&gt;&lt;Year&gt;2021&lt;/Year&gt;&lt;RecNum&gt;416&lt;/RecNum&gt;&lt;DisplayText&gt;Chang, Monahan, Ouazad, and Vasvari (2021)&lt;/DisplayText&gt;&lt;record&gt;&lt;rec-number&gt;416&lt;/rec-number&gt;&lt;foreign-keys&gt;&lt;key app="EN" db-id="a00ppf5vbz2zw4efraqp9recxrvdwwtasszf" timestamp="1636055769"&gt;416&lt;/key&gt;&lt;/foreign-keys&gt;&lt;ref-type name="Journal Article"&gt;17&lt;/ref-type&gt;&lt;contributors&gt;&lt;authors&gt;&lt;author&gt;Chang, Woo-Jin&lt;/author&gt;&lt;author&gt;Monahan, Steven J.&lt;/author&gt;&lt;author&gt;Ouazad, Amine&lt;/author&gt;&lt;author&gt;Vasvari, Florin P.&lt;/author&gt;&lt;/authors&gt;&lt;/contributors&gt;&lt;titles&gt;&lt;title&gt;The Higher Moments of Future Earnings&lt;/title&gt;&lt;secondary-title&gt;The Accounting Review&lt;/secondary-title&gt;&lt;/titles&gt;&lt;periodical&gt;&lt;full-title&gt;The Accounting Review&lt;/full-title&gt;&lt;/periodical&gt;&lt;pages&gt;91-116&lt;/pages&gt;&lt;volume&gt;96&lt;/volume&gt;&lt;number&gt;1&lt;/number&gt;&lt;keywords&gt;&lt;keyword&gt;EARNINGS forecasting&lt;/keyword&gt;&lt;keyword&gt;BUSINESS cycle accounting&lt;/keyword&gt;&lt;keyword&gt;EQUITY stake&lt;/keyword&gt;&lt;keyword&gt;FINANCIAL statements&lt;/keyword&gt;&lt;keyword&gt;UNCERTAINTY&lt;/keyword&gt;&lt;keyword&gt;credit spreads&lt;/keyword&gt;&lt;keyword&gt;earnings uncertainty&lt;/keyword&gt;&lt;keyword&gt;equity prices&lt;/keyword&gt;&lt;keyword&gt;forecasting&lt;/keyword&gt;&lt;keyword&gt;higher moments&lt;/keyword&gt;&lt;/keywords&gt;&lt;dates&gt;&lt;year&gt;2021&lt;/year&gt;&lt;/dates&gt;&lt;publisher&gt;American Accounting Association&lt;/publisher&gt;&lt;isbn&gt;00014826&lt;/isbn&gt;&lt;accession-num&gt;148493598&lt;/accession-num&gt;&lt;work-type&gt;Article&lt;/work-type&gt;&lt;urls&gt;&lt;related-urls&gt;&lt;url&gt;https://search.ebscohost.com/login.aspx?direct=true&amp;amp;db=buh&amp;amp;AN=148493598&amp;amp;site=ehost-live&lt;/url&gt;&lt;/related-urls&gt;&lt;/urls&gt;&lt;electronic-resource-num&gt;10.2308/tar-2015-0413&lt;/electronic-resource-num&gt;&lt;remote-database-name&gt;Business Source Premier&lt;/remote-database-name&gt;&lt;remote-database-provider&gt;EBSCOhost&lt;/remote-database-provider&gt;&lt;/record&gt;&lt;/Cite&gt;&lt;/EndNote&gt;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Chang, Monahan, Ouazad, and Vasvari (2021)</w:t>
        </w:r>
        <w:r>
          <w:rPr>
            <w:rFonts w:ascii="Times New Roman" w:hAnsi="Times New Roman" w:cs="Times New Roman"/>
          </w:rPr>
          <w:fldChar w:fldCharType="end"/>
        </w:r>
      </w:hyperlink>
      <w:r w:rsidRPr="00473233">
        <w:rPr>
          <w:rFonts w:ascii="Times New Roman" w:hAnsi="Times New Roman" w:cs="Times New Roman"/>
        </w:rPr>
        <w:t>.</w:t>
      </w:r>
    </w:p>
  </w:footnote>
  <w:footnote w:id="15">
    <w:p w14:paraId="7D8BB9BA" w14:textId="7D7540E6" w:rsidR="00D978C6" w:rsidRPr="00C12013" w:rsidRDefault="00D978C6" w:rsidP="00950EFC">
      <w:pPr>
        <w:pStyle w:val="FootnoteText"/>
        <w:spacing w:line="276" w:lineRule="auto"/>
        <w:jc w:val="both"/>
        <w:rPr>
          <w:rFonts w:ascii="Times New Roman" w:hAnsi="Times New Roman" w:cs="Times New Roman"/>
        </w:rPr>
      </w:pPr>
      <w:r w:rsidRPr="00950EFC">
        <w:rPr>
          <w:rStyle w:val="FootnoteReference"/>
          <w:rFonts w:ascii="Times New Roman" w:hAnsi="Times New Roman" w:cs="Times New Roman"/>
        </w:rPr>
        <w:footnoteRef/>
      </w:r>
      <w:r w:rsidRPr="00950EFC">
        <w:rPr>
          <w:rFonts w:ascii="Times New Roman" w:hAnsi="Times New Roman" w:cs="Times New Roman"/>
        </w:rPr>
        <w:t xml:space="preserve"> First, we eliminate all firms listed as dual class according to RiskMetrics (formerly IRRC); this screen is targeted at large and established firms. Second, we eliminate all firms that went public with a dual class structure since 1975 according to the IPO dataset from Jay Ritter’s website; this screen is targeted at smaller and more recent firms. Third, we eliminate firms whose Compustat GVKEYs are associated with more than one CRSP PERMNO. And fourth, we eliminate all firms for which the number of shares outstanding as of the fiscal year-end differs between CRSP and Compustat by more than 20%.</w:t>
      </w:r>
    </w:p>
  </w:footnote>
  <w:footnote w:id="16">
    <w:p w14:paraId="115E6BD0" w14:textId="2B0A68CC" w:rsidR="00D978C6" w:rsidRPr="006D5DD7" w:rsidRDefault="00D978C6" w:rsidP="00782F8D">
      <w:pPr>
        <w:pStyle w:val="FootnoteText"/>
        <w:spacing w:line="276" w:lineRule="auto"/>
        <w:jc w:val="both"/>
        <w:rPr>
          <w:rFonts w:ascii="Times New Roman" w:hAnsi="Times New Roman" w:cs="Times New Roman"/>
        </w:rPr>
      </w:pPr>
      <w:r w:rsidRPr="006D5DD7">
        <w:rPr>
          <w:rStyle w:val="FootnoteReference"/>
          <w:rFonts w:ascii="Times New Roman" w:hAnsi="Times New Roman" w:cs="Times New Roman"/>
        </w:rPr>
        <w:footnoteRef/>
      </w:r>
      <w:r w:rsidRPr="006D5DD7">
        <w:rPr>
          <w:rFonts w:ascii="Times New Roman" w:hAnsi="Times New Roman" w:cs="Times New Roman"/>
        </w:rPr>
        <w:t xml:space="preserve"> </w:t>
      </w:r>
      <w:r>
        <w:rPr>
          <w:rFonts w:ascii="Times New Roman" w:hAnsi="Times New Roman" w:cs="Times New Roman"/>
        </w:rPr>
        <w:t xml:space="preserve">This ensures that market values and book values are both “cum-dividend”. </w:t>
      </w:r>
      <w:r w:rsidRPr="006D5DD7">
        <w:rPr>
          <w:rFonts w:ascii="Times New Roman" w:hAnsi="Times New Roman" w:cs="Times New Roman"/>
        </w:rPr>
        <w:t>In principle, one may also want to account for other post-balance sheet date events that can create a mismatch between observed book values and market values, such as stock buybacks and issuance. We choose not to do so, because measuring the associated impacts is challenging and may add noise (e.g., we cannot accurately infer prices at which shares are issued or repurchased).</w:t>
      </w:r>
    </w:p>
  </w:footnote>
  <w:footnote w:id="17">
    <w:p w14:paraId="570C91A5" w14:textId="2E6A17DE" w:rsidR="00D978C6" w:rsidRPr="00274C89" w:rsidRDefault="00D978C6" w:rsidP="00274C89">
      <w:pPr>
        <w:spacing w:line="276" w:lineRule="auto"/>
        <w:jc w:val="both"/>
        <w:rPr>
          <w:rFonts w:ascii="Times New Roman" w:hAnsi="Times New Roman" w:cs="Times New Roman"/>
          <w:sz w:val="20"/>
          <w:szCs w:val="20"/>
          <w:lang w:val="en-US"/>
        </w:rPr>
      </w:pPr>
      <w:r w:rsidRPr="00274C89">
        <w:rPr>
          <w:rStyle w:val="FootnoteReference"/>
          <w:rFonts w:ascii="Times New Roman" w:hAnsi="Times New Roman" w:cs="Times New Roman"/>
          <w:sz w:val="20"/>
          <w:szCs w:val="20"/>
        </w:rPr>
        <w:footnoteRef/>
      </w:r>
      <w:r w:rsidRPr="00274C89">
        <w:rPr>
          <w:rFonts w:ascii="Times New Roman" w:hAnsi="Times New Roman" w:cs="Times New Roman"/>
          <w:sz w:val="20"/>
          <w:szCs w:val="20"/>
        </w:rPr>
        <w:t xml:space="preserve"> To illustrate th</w:t>
      </w:r>
      <w:r>
        <w:rPr>
          <w:rFonts w:ascii="Times New Roman" w:hAnsi="Times New Roman" w:cs="Times New Roman"/>
          <w:sz w:val="20"/>
          <w:szCs w:val="20"/>
        </w:rPr>
        <w:t>e distortions arising from dilutive securities</w:t>
      </w:r>
      <w:r w:rsidRPr="00274C89">
        <w:rPr>
          <w:rFonts w:ascii="Times New Roman" w:hAnsi="Times New Roman" w:cs="Times New Roman"/>
          <w:sz w:val="20"/>
          <w:szCs w:val="20"/>
        </w:rPr>
        <w:t xml:space="preserve">, consider two firms, A and B, with the same accounting fundamentals (book value, earnings, etc.) and the same number of shares outstanding trading at the same prices. Consider also that firm A has no dilutive securities outstanding (e.g., employee stock options, securities convertible into common stock), whereas firm B does. The fact that B’s shareholders are willing to pay the same price per share – despite expecting dilution of their claims to the firm’s net assets and earnings – implies a higher per-share valuation multiple of the fully-diluted fundamentals. That is, despite the same observed stock prices, firm B is trading at a higher effective valuation multiple. </w:t>
      </w:r>
      <w:r>
        <w:rPr>
          <w:rFonts w:ascii="Times New Roman" w:hAnsi="Times New Roman" w:cs="Times New Roman"/>
          <w:sz w:val="20"/>
          <w:szCs w:val="20"/>
        </w:rPr>
        <w:t>Using fully diluted shares outstanding to compute market capitalizations captures this difference</w:t>
      </w:r>
      <w:r w:rsidRPr="00274C89">
        <w:rPr>
          <w:rFonts w:ascii="Times New Roman" w:hAnsi="Times New Roman" w:cs="Times New Roman"/>
          <w:sz w:val="20"/>
          <w:szCs w:val="20"/>
        </w:rPr>
        <w:t>.</w:t>
      </w:r>
      <w:r>
        <w:rPr>
          <w:rFonts w:ascii="Times New Roman" w:hAnsi="Times New Roman" w:cs="Times New Roman"/>
          <w:sz w:val="20"/>
          <w:szCs w:val="20"/>
        </w:rPr>
        <w:t xml:space="preserve"> </w:t>
      </w:r>
      <w:r w:rsidRPr="00CD7396">
        <w:rPr>
          <w:rFonts w:ascii="Times New Roman" w:hAnsi="Times New Roman" w:cs="Times New Roman"/>
          <w:sz w:val="20"/>
          <w:szCs w:val="20"/>
        </w:rPr>
        <w:t xml:space="preserve">Our </w:t>
      </w:r>
      <w:r>
        <w:rPr>
          <w:rFonts w:ascii="Times New Roman" w:hAnsi="Times New Roman" w:cs="Times New Roman"/>
          <w:sz w:val="20"/>
          <w:szCs w:val="20"/>
        </w:rPr>
        <w:t xml:space="preserve">adjustment is consistent with </w:t>
      </w:r>
      <w:hyperlink w:anchor="_ENREF_10" w:tooltip="Barth, 2013 #1819" w:history="1">
        <w:r w:rsidRPr="00CD7396">
          <w:rPr>
            <w:rFonts w:ascii="Times New Roman" w:hAnsi="Times New Roman" w:cs="Times New Roman"/>
            <w:sz w:val="20"/>
            <w:szCs w:val="20"/>
          </w:rPr>
          <w:fldChar w:fldCharType="begin"/>
        </w:r>
        <w:r w:rsidRPr="00CD7396">
          <w:rPr>
            <w:rFonts w:ascii="Times New Roman" w:hAnsi="Times New Roman" w:cs="Times New Roman"/>
            <w:sz w:val="20"/>
            <w:szCs w:val="20"/>
          </w:rPr>
          <w:instrText xml:space="preserve"> ADDIN EN.CITE &lt;EndNote&gt;&lt;Cite AuthorYear="1"&gt;&lt;Author&gt;Barth&lt;/Author&gt;&lt;Year&gt;2013&lt;/Year&gt;&lt;RecNum&gt;1819&lt;/RecNum&gt;&lt;DisplayText&gt;Barth, Hodder, and Stubben (2013)&lt;/DisplayText&gt;&lt;record&gt;&lt;rec-number&gt;1819&lt;/rec-number&gt;&lt;foreign-keys&gt;&lt;key app="EN" db-id="a00ppf5vbz2zw4efraqp9recxrvdwwtasszf" timestamp="1688136294"&gt;1819&lt;/key&gt;&lt;/foreign-keys&gt;&lt;ref-type name="Journal Article"&gt;17&lt;/ref-type&gt;&lt;contributors&gt;&lt;authors&gt;&lt;author&gt;Barth, Mary E.&lt;/author&gt;&lt;author&gt;Hodder, Leslie D.&lt;/author&gt;&lt;author&gt;Stubben, Stephen R.&lt;/author&gt;&lt;/authors&gt;&lt;/contributors&gt;&lt;titles&gt;&lt;title&gt;Financial reporting for employee stock options: liabilities or equity?&lt;/title&gt;&lt;secondary-title&gt;Review of Accounting Studies&lt;/secondary-title&gt;&lt;/titles&gt;&lt;pages&gt;642-682&lt;/pages&gt;&lt;volume&gt;18&lt;/volume&gt;&lt;number&gt;3&lt;/number&gt;&lt;dates&gt;&lt;year&gt;2013&lt;/year&gt;&lt;pub-dates&gt;&lt;date&gt;2013/09/01&lt;/date&gt;&lt;/pub-dates&gt;&lt;/dates&gt;&lt;isbn&gt;1573-7136&lt;/isbn&gt;&lt;urls&gt;&lt;related-urls&gt;&lt;url&gt;https://doi.org/10.1007/s11142-013-9230-2&lt;/url&gt;&lt;/related-urls&gt;&lt;/urls&gt;&lt;electronic-resource-num&gt;10.1007/s11142-013-9230-2&lt;/electronic-resource-num&gt;&lt;/record&gt;&lt;/Cite&gt;&lt;/EndNote&gt;</w:instrText>
        </w:r>
        <w:r w:rsidRPr="00CD7396">
          <w:rPr>
            <w:rFonts w:ascii="Times New Roman" w:hAnsi="Times New Roman" w:cs="Times New Roman"/>
            <w:sz w:val="20"/>
            <w:szCs w:val="20"/>
          </w:rPr>
          <w:fldChar w:fldCharType="separate"/>
        </w:r>
        <w:r w:rsidRPr="00CD7396">
          <w:rPr>
            <w:rFonts w:ascii="Times New Roman" w:hAnsi="Times New Roman" w:cs="Times New Roman"/>
            <w:noProof/>
            <w:sz w:val="20"/>
            <w:szCs w:val="20"/>
          </w:rPr>
          <w:t>Barth, Hodder, and Stubben (2013)</w:t>
        </w:r>
        <w:r w:rsidRPr="00CD7396">
          <w:rPr>
            <w:rFonts w:ascii="Times New Roman" w:hAnsi="Times New Roman" w:cs="Times New Roman"/>
            <w:sz w:val="20"/>
            <w:szCs w:val="20"/>
          </w:rPr>
          <w:fldChar w:fldCharType="end"/>
        </w:r>
      </w:hyperlink>
      <w:r w:rsidRPr="00CD7396">
        <w:rPr>
          <w:rFonts w:ascii="Times New Roman" w:hAnsi="Times New Roman" w:cs="Times New Roman"/>
          <w:sz w:val="20"/>
          <w:szCs w:val="20"/>
        </w:rPr>
        <w:t>, who argue that stock options – the most common type of dilutive securities – should be viewed as a type of equity.</w:t>
      </w:r>
      <w:r w:rsidRPr="00274C89">
        <w:rPr>
          <w:rFonts w:ascii="Times New Roman" w:hAnsi="Times New Roman" w:cs="Times New Roman"/>
          <w:sz w:val="20"/>
          <w:szCs w:val="20"/>
        </w:rPr>
        <w:t xml:space="preserve"> </w:t>
      </w:r>
    </w:p>
    <w:p w14:paraId="0C1031E9" w14:textId="183C46DA" w:rsidR="00D978C6" w:rsidRPr="00E609AB" w:rsidRDefault="00D978C6" w:rsidP="00E609AB">
      <w:pPr>
        <w:pStyle w:val="FootnoteText"/>
        <w:spacing w:line="276" w:lineRule="auto"/>
        <w:jc w:val="both"/>
        <w:rPr>
          <w:rFonts w:ascii="Times New Roman" w:hAnsi="Times New Roman" w:cs="Times New Roman"/>
          <w:lang w:val="en-US"/>
        </w:rPr>
      </w:pPr>
    </w:p>
  </w:footnote>
  <w:footnote w:id="18">
    <w:p w14:paraId="235DC91F" w14:textId="33144D0D" w:rsidR="00D978C6" w:rsidRPr="003552CD" w:rsidRDefault="00D978C6" w:rsidP="003552CD">
      <w:pPr>
        <w:pStyle w:val="FootnoteText"/>
        <w:spacing w:line="276" w:lineRule="auto"/>
        <w:jc w:val="both"/>
        <w:rPr>
          <w:rFonts w:ascii="Times New Roman" w:hAnsi="Times New Roman" w:cs="Times New Roman"/>
        </w:rPr>
      </w:pPr>
      <w:r w:rsidRPr="003552CD">
        <w:rPr>
          <w:rStyle w:val="FootnoteReference"/>
          <w:rFonts w:ascii="Times New Roman" w:hAnsi="Times New Roman" w:cs="Times New Roman"/>
        </w:rPr>
        <w:footnoteRef/>
      </w:r>
      <w:r w:rsidRPr="003552CD">
        <w:rPr>
          <w:rFonts w:ascii="Times New Roman" w:hAnsi="Times New Roman" w:cs="Times New Roman"/>
        </w:rPr>
        <w:t xml:space="preserve"> </w:t>
      </w:r>
      <w:r>
        <w:rPr>
          <w:rFonts w:ascii="Times New Roman" w:hAnsi="Times New Roman" w:cs="Times New Roman"/>
        </w:rPr>
        <w:t xml:space="preserve">The finding of </w:t>
      </w:r>
      <w:r w:rsidRPr="003552CD">
        <w:rPr>
          <w:rFonts w:ascii="Times New Roman" w:hAnsi="Times New Roman" w:cs="Times New Roman"/>
        </w:rPr>
        <w:t xml:space="preserve">R&amp;D contributing to uncertainty is consistent with the </w:t>
      </w:r>
      <w:r>
        <w:rPr>
          <w:rFonts w:ascii="Times New Roman" w:hAnsi="Times New Roman" w:cs="Times New Roman"/>
        </w:rPr>
        <w:t xml:space="preserve">results in </w:t>
      </w:r>
      <w:hyperlink w:anchor="_ENREF_50" w:tooltip="Kothari, 2002 #1802" w:history="1">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AuthorYear="1"&gt;&lt;Author&gt;Kothari&lt;/Author&gt;&lt;Year&gt;2002&lt;/Year&gt;&lt;RecNum&gt;1802&lt;/RecNum&gt;&lt;DisplayText&gt;Kothari et al. (2002)&lt;/DisplayText&gt;&lt;record&gt;&lt;rec-number&gt;1802&lt;/rec-number&gt;&lt;foreign-keys&gt;&lt;key app="EN" db-id="a00ppf5vbz2zw4efraqp9recxrvdwwtasszf" timestamp="1687528462"&gt;1802&lt;/key&gt;&lt;/foreign-keys&gt;&lt;ref-type name="Journal Article"&gt;17&lt;/ref-type&gt;&lt;contributors&gt;&lt;authors&gt;&lt;author&gt;Kothari, S. P.&lt;/author&gt;&lt;author&gt;Laguerre, Ted E.&lt;/author&gt;&lt;author&gt;Leone, Andrew J.&lt;/author&gt;&lt;/authors&gt;&lt;/contributors&gt;&lt;titles&gt;&lt;title&gt;Capitalization versus Expensing: Evidence on the Uncertainty of Future Earnings from Capital Expenditures versus R&amp;amp;D Outlays&lt;/title&gt;&lt;secondary-title&gt;Review of Accounting Studies&lt;/secondary-title&gt;&lt;/titles&gt;&lt;pages&gt;355-382&lt;/pages&gt;&lt;volume&gt;7&lt;/volume&gt;&lt;number&gt;4&lt;/number&gt;&lt;keywords&gt;&lt;keyword&gt;CAPITAL investments&lt;/keyword&gt;&lt;keyword&gt;ACCOUNTING methods&lt;/keyword&gt;&lt;keyword&gt;RESEARCH &amp;amp; development&lt;/keyword&gt;&lt;keyword&gt;EXPECTED returns&lt;/keyword&gt;&lt;keyword&gt;INVESTMENTS&lt;/keyword&gt;&lt;keyword&gt;PROFIT&lt;/keyword&gt;&lt;keyword&gt;capitalization&lt;/keyword&gt;&lt;keyword&gt;earnings reliability&lt;/keyword&gt;&lt;keyword&gt;R&amp;amp;D&lt;/keyword&gt;&lt;/keywords&gt;&lt;dates&gt;&lt;year&gt;2002&lt;/year&gt;&lt;/dates&gt;&lt;isbn&gt;13806653&lt;/isbn&gt;&lt;accession-num&gt;9964695&lt;/accession-num&gt;&lt;work-type&gt;Article&lt;/work-type&gt;&lt;urls&gt;&lt;related-urls&gt;&lt;url&gt;https://search.ebscohost.com/login.aspx?direct=true&amp;amp;db=buh&amp;amp;AN=9964695&amp;amp;site=ehost-live&lt;/url&gt;&lt;/related-urls&gt;&lt;/urls&gt;&lt;electronic-resource-num&gt;10.1023/A:1020764227390&lt;/electronic-resource-num&gt;&lt;remote-database-name&gt;Business Source Premier&lt;/remote-database-name&gt;&lt;remote-database-provider&gt;EBSCOhost&lt;/remote-database-provider&gt;&lt;/record&gt;&lt;/Cite&gt;&lt;/EndNote&gt;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Kothari et al. (2002)</w:t>
        </w:r>
        <w:r>
          <w:rPr>
            <w:rFonts w:ascii="Times New Roman" w:hAnsi="Times New Roman" w:cs="Times New Roman"/>
          </w:rPr>
          <w:fldChar w:fldCharType="end"/>
        </w:r>
      </w:hyperlink>
      <w:r w:rsidRPr="003552CD">
        <w:rPr>
          <w:rFonts w:ascii="Times New Roman" w:hAnsi="Times New Roman" w:cs="Times New Roman"/>
        </w:rPr>
        <w:t>.</w:t>
      </w:r>
    </w:p>
  </w:footnote>
  <w:footnote w:id="19">
    <w:p w14:paraId="662C6F1F" w14:textId="77777777" w:rsidR="00D978C6" w:rsidRPr="00EC6336" w:rsidRDefault="00D978C6" w:rsidP="00D66905">
      <w:pPr>
        <w:pStyle w:val="FootnoteText"/>
        <w:spacing w:line="276" w:lineRule="auto"/>
        <w:jc w:val="both"/>
      </w:pPr>
      <w:r w:rsidRPr="00063581">
        <w:rPr>
          <w:rStyle w:val="FootnoteReference"/>
          <w:rFonts w:ascii="Times New Roman" w:hAnsi="Times New Roman" w:cs="Times New Roman"/>
        </w:rPr>
        <w:footnoteRef/>
      </w:r>
      <w:r>
        <w:t xml:space="preserve"> </w:t>
      </w:r>
      <w:r>
        <w:rPr>
          <w:rFonts w:ascii="Times New Roman" w:hAnsi="Times New Roman" w:cs="Times New Roman"/>
        </w:rPr>
        <w:t>H</w:t>
      </w:r>
      <w:r w:rsidRPr="00063581">
        <w:rPr>
          <w:rFonts w:ascii="Times New Roman" w:hAnsi="Times New Roman" w:cs="Times New Roman"/>
        </w:rPr>
        <w:t xml:space="preserve">aving obtained the necessary coefficients, </w:t>
      </w:r>
      <w:r>
        <w:rPr>
          <w:rFonts w:ascii="Times New Roman" w:hAnsi="Times New Roman" w:cs="Times New Roman"/>
        </w:rPr>
        <w:t>one</w:t>
      </w:r>
      <w:r w:rsidRPr="00063581">
        <w:rPr>
          <w:rFonts w:ascii="Times New Roman" w:hAnsi="Times New Roman" w:cs="Times New Roman"/>
        </w:rPr>
        <w:t xml:space="preserve"> can </w:t>
      </w:r>
      <w:r>
        <w:rPr>
          <w:rFonts w:ascii="Times New Roman" w:hAnsi="Times New Roman" w:cs="Times New Roman"/>
        </w:rPr>
        <w:t>generate our measure of valuation uncertainty for</w:t>
      </w:r>
      <w:r w:rsidRPr="00063581">
        <w:rPr>
          <w:rFonts w:ascii="Times New Roman" w:hAnsi="Times New Roman" w:cs="Times New Roman"/>
        </w:rPr>
        <w:t xml:space="preserve"> firms that are not part of the estimation</w:t>
      </w:r>
      <w:r>
        <w:rPr>
          <w:rFonts w:ascii="Times New Roman" w:hAnsi="Times New Roman" w:cs="Times New Roman"/>
        </w:rPr>
        <w:t xml:space="preserve"> –</w:t>
      </w:r>
      <w:r w:rsidRPr="00063581">
        <w:rPr>
          <w:rFonts w:ascii="Times New Roman" w:hAnsi="Times New Roman" w:cs="Times New Roman"/>
        </w:rPr>
        <w:t xml:space="preserve"> by means of out-of-sample prediction. </w:t>
      </w:r>
      <w:r>
        <w:rPr>
          <w:rFonts w:ascii="Times New Roman" w:hAnsi="Times New Roman" w:cs="Times New Roman"/>
        </w:rPr>
        <w:t xml:space="preserve">It is even possible to do this for private firms, which </w:t>
      </w:r>
      <w:r w:rsidRPr="005656BD">
        <w:rPr>
          <w:rFonts w:ascii="Times New Roman" w:hAnsi="Times New Roman" w:cs="Times New Roman"/>
        </w:rPr>
        <w:t>may be of interest</w:t>
      </w:r>
      <w:r>
        <w:rPr>
          <w:rFonts w:ascii="Times New Roman" w:hAnsi="Times New Roman" w:cs="Times New Roman"/>
        </w:rPr>
        <w:t xml:space="preserve"> </w:t>
      </w:r>
      <w:r w:rsidRPr="005656BD">
        <w:rPr>
          <w:rFonts w:ascii="Times New Roman" w:hAnsi="Times New Roman" w:cs="Times New Roman"/>
        </w:rPr>
        <w:t>in studies of IPO underpricing</w:t>
      </w:r>
      <w:r>
        <w:rPr>
          <w:rFonts w:ascii="Times New Roman" w:hAnsi="Times New Roman" w:cs="Times New Roman"/>
        </w:rPr>
        <w:t xml:space="preserve">, among others </w:t>
      </w:r>
      <w:r w:rsidRPr="005656BD">
        <w:rPr>
          <w:rFonts w:ascii="Times New Roman" w:hAnsi="Times New Roman" w:cs="Times New Roman"/>
        </w:rPr>
        <w:t>(</w:t>
      </w:r>
      <w:r>
        <w:rPr>
          <w:rFonts w:ascii="Times New Roman" w:hAnsi="Times New Roman" w:cs="Times New Roman"/>
        </w:rPr>
        <w:t xml:space="preserve">e.g., </w:t>
      </w:r>
      <w:hyperlink w:anchor="_ENREF_11" w:tooltip="Barth, 2017 #1818" w:history="1">
        <w:r w:rsidRPr="005656BD">
          <w:rPr>
            <w:rFonts w:ascii="Times New Roman" w:hAnsi="Times New Roman" w:cs="Times New Roman"/>
          </w:rPr>
          <w:fldChar w:fldCharType="begin"/>
        </w:r>
        <w:r w:rsidRPr="005656BD">
          <w:rPr>
            <w:rFonts w:ascii="Times New Roman" w:hAnsi="Times New Roman" w:cs="Times New Roman"/>
          </w:rPr>
          <w:instrText xml:space="preserve"> ADDIN EN.CITE &lt;EndNote&gt;&lt;Cite AuthorYear="1"&gt;&lt;Author&gt;Barth&lt;/Author&gt;&lt;Year&gt;2017&lt;/Year&gt;&lt;RecNum&gt;1818&lt;/RecNum&gt;&lt;DisplayText&gt;Barth, Landsman, and Taylor (2017)&lt;/DisplayText&gt;&lt;record&gt;&lt;rec-number&gt;1818&lt;/rec-number&gt;&lt;foreign-keys&gt;&lt;key app="EN" db-id="a00ppf5vbz2zw4efraqp9recxrvdwwtasszf" timestamp="1688135678"&gt;1818&lt;/key&gt;&lt;/foreign-keys&gt;&lt;ref-type name="Journal Article"&gt;17&lt;/ref-type&gt;&lt;contributors&gt;&lt;authors&gt;&lt;author&gt;Barth, Mary E.&lt;/author&gt;&lt;author&gt;Landsman, Wayne R.&lt;/author&gt;&lt;author&gt;Taylor, Daniel J.&lt;/author&gt;&lt;/authors&gt;&lt;/contributors&gt;&lt;titles&gt;&lt;title&gt;The JOBS Act and Information Uncertainty in IPO Firms&lt;/title&gt;&lt;secondary-title&gt;The Accounting Review&lt;/secondary-title&gt;&lt;/titles&gt;&lt;periodical&gt;&lt;full-title&gt;The Accounting Review&lt;/full-title&gt;&lt;/periodical&gt;&lt;pages&gt;25-47&lt;/pages&gt;&lt;volume&gt;92&lt;/volume&gt;&lt;number&gt;6&lt;/number&gt;&lt;keywords&gt;&lt;keyword&gt;UNCERTAINTY (Information theory)&lt;/keyword&gt;&lt;keyword&gt;GOING public (Securities)&lt;/keyword&gt;&lt;keyword&gt;FINANCIAL disclosure&lt;/keyword&gt;&lt;keyword&gt;DISCLOSURE&lt;/keyword&gt;&lt;keyword&gt;MARKET volatility&lt;/keyword&gt;&lt;keyword&gt;ACTIONS &amp;amp; defenses (Law)&lt;/keyword&gt;&lt;keyword&gt;UNITED States. Jumpstart Our Business Startups Act&lt;/keyword&gt;&lt;keyword&gt;FINANCIAL disclosure laws&lt;/keyword&gt;&lt;keyword&gt;information uncertainty&lt;/keyword&gt;&lt;keyword&gt;JOBS Act&lt;/keyword&gt;&lt;keyword&gt;mandatory disclosure&lt;/keyword&gt;&lt;keyword&gt;proprietary costs&lt;/keyword&gt;&lt;keyword&gt;underpricing&lt;/keyword&gt;&lt;keyword&gt;volatility&lt;/keyword&gt;&lt;keyword&gt;voluntary disclosure&lt;/keyword&gt;&lt;/keywords&gt;&lt;dates&gt;&lt;year&gt;2017&lt;/year&gt;&lt;/dates&gt;&lt;publisher&gt;American Accounting Association&lt;/publisher&gt;&lt;isbn&gt;00014826&lt;/isbn&gt;&lt;accession-num&gt;126118341&lt;/accession-num&gt;&lt;work-type&gt;Article&lt;/work-type&gt;&lt;urls&gt;&lt;related-urls&gt;&lt;url&gt;https://search.ebscohost.com/login.aspx?direct=true&amp;amp;db=buh&amp;amp;AN=126118341&amp;amp;site=ehost-live&lt;/url&gt;&lt;/related-urls&gt;&lt;/urls&gt;&lt;electronic-resource-num&gt;10.2308/accr-51721&lt;/electronic-resource-num&gt;&lt;remote-database-name&gt;Business Source Premier&lt;/remote-database-name&gt;&lt;remote-database-provider&gt;EBSCOhost&lt;/remote-database-provider&gt;&lt;/record&gt;&lt;/Cite&gt;&lt;/EndNote&gt;</w:instrText>
        </w:r>
        <w:r w:rsidRPr="005656BD">
          <w:rPr>
            <w:rFonts w:ascii="Times New Roman" w:hAnsi="Times New Roman" w:cs="Times New Roman"/>
          </w:rPr>
          <w:fldChar w:fldCharType="separate"/>
        </w:r>
        <w:r w:rsidRPr="005656BD">
          <w:rPr>
            <w:rFonts w:ascii="Times New Roman" w:hAnsi="Times New Roman" w:cs="Times New Roman"/>
            <w:noProof/>
          </w:rPr>
          <w:t>Barth, Landsman, and Taylor (2017)</w:t>
        </w:r>
        <w:r w:rsidRPr="005656BD">
          <w:rPr>
            <w:rFonts w:ascii="Times New Roman" w:hAnsi="Times New Roman" w:cs="Times New Roman"/>
          </w:rPr>
          <w:fldChar w:fldCharType="end"/>
        </w:r>
      </w:hyperlink>
      <w:r w:rsidRPr="005656BD">
        <w:rPr>
          <w:rFonts w:ascii="Times New Roman" w:hAnsi="Times New Roman" w:cs="Times New Roman"/>
        </w:rPr>
        <w:t>).</w:t>
      </w:r>
    </w:p>
  </w:footnote>
  <w:footnote w:id="20">
    <w:p w14:paraId="5F1DF98C" w14:textId="23C6FCCA" w:rsidR="00D978C6" w:rsidRPr="00C62611" w:rsidRDefault="00D978C6" w:rsidP="009832CD">
      <w:pPr>
        <w:pStyle w:val="FootnoteText"/>
        <w:spacing w:line="276" w:lineRule="auto"/>
        <w:jc w:val="both"/>
        <w:rPr>
          <w:rFonts w:ascii="Times New Roman" w:hAnsi="Times New Roman" w:cs="Times New Roman"/>
          <w:lang w:val="en-US"/>
        </w:rPr>
      </w:pPr>
      <w:r w:rsidRPr="00C62611">
        <w:rPr>
          <w:rStyle w:val="FootnoteReference"/>
          <w:rFonts w:ascii="Times New Roman" w:hAnsi="Times New Roman" w:cs="Times New Roman"/>
        </w:rPr>
        <w:footnoteRef/>
      </w:r>
      <w:r w:rsidRPr="00C62611">
        <w:rPr>
          <w:rFonts w:ascii="Times New Roman" w:hAnsi="Times New Roman" w:cs="Times New Roman"/>
        </w:rPr>
        <w:t xml:space="preserve"> Because earnings persistence and earnings predictability are almost collinear, we keep only the latter in the joint regression</w:t>
      </w:r>
      <w:r>
        <w:rPr>
          <w:rFonts w:ascii="Times New Roman" w:hAnsi="Times New Roman" w:cs="Times New Roman"/>
        </w:rPr>
        <w:t>. Our inferences are unchanged if we pick the former. Interestingly,</w:t>
      </w:r>
      <w:r w:rsidRPr="009832CD">
        <w:rPr>
          <w:rFonts w:ascii="Times New Roman" w:hAnsi="Times New Roman" w:cs="Times New Roman"/>
        </w:rPr>
        <w:t xml:space="preserve"> the coefficient on earnings predictability</w:t>
      </w:r>
      <w:r>
        <w:rPr>
          <w:rFonts w:ascii="Times New Roman" w:hAnsi="Times New Roman" w:cs="Times New Roman"/>
        </w:rPr>
        <w:t xml:space="preserve"> in the multivariate regression</w:t>
      </w:r>
      <w:r w:rsidRPr="009832CD">
        <w:rPr>
          <w:rFonts w:ascii="Times New Roman" w:hAnsi="Times New Roman" w:cs="Times New Roman"/>
        </w:rPr>
        <w:t xml:space="preserve"> becomes positive as opposed to negative in the univariate regression.</w:t>
      </w:r>
      <w:r>
        <w:rPr>
          <w:rFonts w:ascii="Times New Roman" w:hAnsi="Times New Roman" w:cs="Times New Roman"/>
        </w:rPr>
        <w:t xml:space="preserve"> </w:t>
      </w:r>
    </w:p>
  </w:footnote>
  <w:footnote w:id="21">
    <w:p w14:paraId="667F9CCC" w14:textId="6572496D" w:rsidR="00D978C6" w:rsidRPr="00691374" w:rsidRDefault="00D978C6" w:rsidP="00823666">
      <w:pPr>
        <w:pStyle w:val="FootnoteText"/>
        <w:spacing w:line="276" w:lineRule="auto"/>
        <w:jc w:val="both"/>
        <w:rPr>
          <w:rFonts w:ascii="Times New Roman" w:hAnsi="Times New Roman" w:cs="Times New Roman"/>
        </w:rPr>
      </w:pPr>
      <w:r w:rsidRPr="00691374">
        <w:rPr>
          <w:rStyle w:val="FootnoteReference"/>
          <w:rFonts w:ascii="Times New Roman" w:hAnsi="Times New Roman" w:cs="Times New Roman"/>
        </w:rPr>
        <w:footnoteRef/>
      </w:r>
      <w:r>
        <w:rPr>
          <w:rFonts w:ascii="Times New Roman" w:hAnsi="Times New Roman" w:cs="Times New Roman"/>
        </w:rPr>
        <w:t xml:space="preserve"> The multivariate nature of our approach allows for more than one source of value and controls f</w:t>
      </w:r>
      <w:r w:rsidRPr="00691374">
        <w:rPr>
          <w:rFonts w:ascii="Times New Roman" w:hAnsi="Times New Roman" w:cs="Times New Roman"/>
        </w:rPr>
        <w:t>or some of the</w:t>
      </w:r>
      <w:r>
        <w:rPr>
          <w:rFonts w:ascii="Times New Roman" w:hAnsi="Times New Roman" w:cs="Times New Roman"/>
        </w:rPr>
        <w:t xml:space="preserve"> “normal”</w:t>
      </w:r>
      <w:r w:rsidRPr="00691374">
        <w:rPr>
          <w:rFonts w:ascii="Times New Roman" w:hAnsi="Times New Roman" w:cs="Times New Roman"/>
        </w:rPr>
        <w:t xml:space="preserve"> dispersion in multiples</w:t>
      </w:r>
      <w:r>
        <w:rPr>
          <w:rFonts w:ascii="Times New Roman" w:hAnsi="Times New Roman" w:cs="Times New Roman"/>
        </w:rPr>
        <w:t xml:space="preserve">. For example, </w:t>
      </w:r>
      <w:r w:rsidRPr="00691374">
        <w:rPr>
          <w:rFonts w:ascii="Times New Roman" w:hAnsi="Times New Roman" w:cs="Times New Roman"/>
        </w:rPr>
        <w:t xml:space="preserve">a given industry-year </w:t>
      </w:r>
      <w:r>
        <w:rPr>
          <w:rFonts w:ascii="Times New Roman" w:hAnsi="Times New Roman" w:cs="Times New Roman"/>
        </w:rPr>
        <w:t>could</w:t>
      </w:r>
      <w:r w:rsidRPr="00691374">
        <w:rPr>
          <w:rFonts w:ascii="Times New Roman" w:hAnsi="Times New Roman" w:cs="Times New Roman"/>
        </w:rPr>
        <w:t xml:space="preserve"> </w:t>
      </w:r>
      <w:r>
        <w:rPr>
          <w:rFonts w:ascii="Times New Roman" w:hAnsi="Times New Roman" w:cs="Times New Roman"/>
        </w:rPr>
        <w:t>be characterized by high</w:t>
      </w:r>
      <w:r w:rsidRPr="00691374">
        <w:rPr>
          <w:rFonts w:ascii="Times New Roman" w:hAnsi="Times New Roman" w:cs="Times New Roman"/>
        </w:rPr>
        <w:t xml:space="preserve"> dispersion in P/B, but </w:t>
      </w:r>
      <w:r>
        <w:rPr>
          <w:rFonts w:ascii="Times New Roman" w:hAnsi="Times New Roman" w:cs="Times New Roman"/>
        </w:rPr>
        <w:t>this</w:t>
      </w:r>
      <w:r w:rsidRPr="00691374">
        <w:rPr>
          <w:rFonts w:ascii="Times New Roman" w:hAnsi="Times New Roman" w:cs="Times New Roman"/>
        </w:rPr>
        <w:t xml:space="preserve"> does not necessarily </w:t>
      </w:r>
      <w:r>
        <w:rPr>
          <w:rFonts w:ascii="Times New Roman" w:hAnsi="Times New Roman" w:cs="Times New Roman"/>
        </w:rPr>
        <w:t>imply</w:t>
      </w:r>
      <w:r w:rsidRPr="00691374">
        <w:rPr>
          <w:rFonts w:ascii="Times New Roman" w:hAnsi="Times New Roman" w:cs="Times New Roman"/>
        </w:rPr>
        <w:t xml:space="preserve"> </w:t>
      </w:r>
      <w:r>
        <w:rPr>
          <w:rFonts w:ascii="Times New Roman" w:hAnsi="Times New Roman" w:cs="Times New Roman"/>
        </w:rPr>
        <w:t xml:space="preserve">high levels </w:t>
      </w:r>
      <w:r w:rsidRPr="00691374">
        <w:rPr>
          <w:rFonts w:ascii="Times New Roman" w:hAnsi="Times New Roman" w:cs="Times New Roman"/>
        </w:rPr>
        <w:t>of uncertainty</w:t>
      </w:r>
      <w:r>
        <w:rPr>
          <w:rFonts w:ascii="Times New Roman" w:hAnsi="Times New Roman" w:cs="Times New Roman"/>
        </w:rPr>
        <w:t xml:space="preserve"> –</w:t>
      </w:r>
      <w:r w:rsidRPr="00691374">
        <w:rPr>
          <w:rFonts w:ascii="Times New Roman" w:hAnsi="Times New Roman" w:cs="Times New Roman"/>
        </w:rPr>
        <w:t xml:space="preserve"> some of that dispersion could be </w:t>
      </w:r>
      <w:r>
        <w:rPr>
          <w:rFonts w:ascii="Times New Roman" w:hAnsi="Times New Roman" w:cs="Times New Roman"/>
        </w:rPr>
        <w:t>due to</w:t>
      </w:r>
      <w:r w:rsidRPr="00691374">
        <w:rPr>
          <w:rFonts w:ascii="Times New Roman" w:hAnsi="Times New Roman" w:cs="Times New Roman"/>
        </w:rPr>
        <w:t xml:space="preserve"> differ</w:t>
      </w:r>
      <w:r>
        <w:rPr>
          <w:rFonts w:ascii="Times New Roman" w:hAnsi="Times New Roman" w:cs="Times New Roman"/>
        </w:rPr>
        <w:t>ences</w:t>
      </w:r>
      <w:r w:rsidRPr="00691374">
        <w:rPr>
          <w:rFonts w:ascii="Times New Roman" w:hAnsi="Times New Roman" w:cs="Times New Roman"/>
        </w:rPr>
        <w:t xml:space="preserve"> profitability</w:t>
      </w:r>
      <w:r>
        <w:rPr>
          <w:rFonts w:ascii="Times New Roman" w:hAnsi="Times New Roman" w:cs="Times New Roman"/>
        </w:rPr>
        <w:t xml:space="preserve"> across firms</w:t>
      </w:r>
      <w:r w:rsidRPr="00691374">
        <w:rPr>
          <w:rFonts w:ascii="Times New Roman" w:hAnsi="Times New Roman" w:cs="Times New Roman"/>
        </w:rPr>
        <w:t xml:space="preserve">. </w:t>
      </w:r>
      <w:r>
        <w:rPr>
          <w:rFonts w:ascii="Times New Roman" w:hAnsi="Times New Roman" w:cs="Times New Roman"/>
        </w:rPr>
        <w:t>Our measure accounts for that.</w:t>
      </w:r>
    </w:p>
  </w:footnote>
  <w:footnote w:id="22">
    <w:p w14:paraId="4C089078" w14:textId="77777777" w:rsidR="00D978C6" w:rsidRPr="00A56459" w:rsidRDefault="00D978C6" w:rsidP="00823666">
      <w:pPr>
        <w:pStyle w:val="FootnoteText"/>
        <w:spacing w:line="276" w:lineRule="auto"/>
        <w:jc w:val="both"/>
        <w:rPr>
          <w:rFonts w:ascii="Times New Roman" w:hAnsi="Times New Roman" w:cs="Times New Roman"/>
          <w:lang w:val="en-US"/>
        </w:rPr>
      </w:pPr>
      <w:r w:rsidRPr="00A56459">
        <w:rPr>
          <w:rStyle w:val="FootnoteReference"/>
          <w:rFonts w:ascii="Times New Roman" w:hAnsi="Times New Roman" w:cs="Times New Roman"/>
        </w:rPr>
        <w:footnoteRef/>
      </w:r>
      <w:r w:rsidRPr="00A56459">
        <w:rPr>
          <w:rFonts w:ascii="Times New Roman" w:hAnsi="Times New Roman" w:cs="Times New Roman"/>
        </w:rPr>
        <w:t xml:space="preserve"> S</w:t>
      </w:r>
      <w:r w:rsidRPr="00A56459">
        <w:rPr>
          <w:rFonts w:ascii="Times New Roman" w:hAnsi="Times New Roman" w:cs="Times New Roman"/>
          <w:lang w:val="en-US"/>
        </w:rPr>
        <w:t xml:space="preserve">ince the four industry-year multiples </w:t>
      </w:r>
      <w:r>
        <w:rPr>
          <w:rFonts w:ascii="Times New Roman" w:hAnsi="Times New Roman" w:cs="Times New Roman"/>
          <w:lang w:val="en-US"/>
        </w:rPr>
        <w:t xml:space="preserve">that we consider </w:t>
      </w:r>
      <w:r w:rsidRPr="00A56459">
        <w:rPr>
          <w:rFonts w:ascii="Times New Roman" w:hAnsi="Times New Roman" w:cs="Times New Roman"/>
          <w:lang w:val="en-US"/>
        </w:rPr>
        <w:t>are highly correlated</w:t>
      </w:r>
      <w:r>
        <w:rPr>
          <w:rFonts w:ascii="Times New Roman" w:hAnsi="Times New Roman" w:cs="Times New Roman"/>
          <w:lang w:val="en-US"/>
        </w:rPr>
        <w:t>,</w:t>
      </w:r>
      <w:r w:rsidRPr="00A56459">
        <w:rPr>
          <w:rFonts w:ascii="Times New Roman" w:hAnsi="Times New Roman" w:cs="Times New Roman"/>
          <w:lang w:val="en-US"/>
        </w:rPr>
        <w:t xml:space="preserve"> with correlation coefficients as high as 0.8-0.9, we pick EV/EBITDA as our go-to benchmark</w:t>
      </w:r>
      <w:r>
        <w:rPr>
          <w:rFonts w:ascii="Times New Roman" w:hAnsi="Times New Roman" w:cs="Times New Roman"/>
          <w:lang w:val="en-US"/>
        </w:rPr>
        <w:t>.</w:t>
      </w:r>
    </w:p>
  </w:footnote>
  <w:footnote w:id="23">
    <w:p w14:paraId="611AC3E4" w14:textId="36A94E4C" w:rsidR="00D978C6" w:rsidRPr="0076278D" w:rsidRDefault="00D978C6" w:rsidP="0076278D">
      <w:pPr>
        <w:pStyle w:val="FootnoteText"/>
        <w:spacing w:line="276" w:lineRule="auto"/>
        <w:jc w:val="both"/>
        <w:rPr>
          <w:rFonts w:ascii="Times New Roman" w:hAnsi="Times New Roman" w:cs="Times New Roman"/>
        </w:rPr>
      </w:pPr>
      <w:r w:rsidRPr="0076278D">
        <w:rPr>
          <w:rStyle w:val="FootnoteReference"/>
          <w:rFonts w:ascii="Times New Roman" w:hAnsi="Times New Roman" w:cs="Times New Roman"/>
        </w:rPr>
        <w:footnoteRef/>
      </w:r>
      <w:r w:rsidRPr="0076278D">
        <w:rPr>
          <w:rFonts w:ascii="Times New Roman" w:hAnsi="Times New Roman" w:cs="Times New Roman"/>
        </w:rPr>
        <w:t xml:space="preserve"> In a </w:t>
      </w:r>
      <w:r>
        <w:rPr>
          <w:rFonts w:ascii="Times New Roman" w:hAnsi="Times New Roman" w:cs="Times New Roman"/>
        </w:rPr>
        <w:t>handful of cases</w:t>
      </w:r>
      <w:r w:rsidRPr="0076278D">
        <w:rPr>
          <w:rFonts w:ascii="Times New Roman" w:hAnsi="Times New Roman" w:cs="Times New Roman"/>
        </w:rPr>
        <w:t xml:space="preserve">, </w:t>
      </w:r>
      <w:r>
        <w:rPr>
          <w:rFonts w:ascii="Times New Roman" w:hAnsi="Times New Roman" w:cs="Times New Roman"/>
        </w:rPr>
        <w:t>Refinitiv reports a</w:t>
      </w:r>
      <w:r w:rsidRPr="0076278D">
        <w:rPr>
          <w:rFonts w:ascii="Times New Roman" w:hAnsi="Times New Roman" w:cs="Times New Roman"/>
        </w:rPr>
        <w:t xml:space="preserve"> “high” price</w:t>
      </w:r>
      <w:r>
        <w:rPr>
          <w:rFonts w:ascii="Times New Roman" w:hAnsi="Times New Roman" w:cs="Times New Roman"/>
        </w:rPr>
        <w:t xml:space="preserve"> that</w:t>
      </w:r>
      <w:r w:rsidRPr="0076278D">
        <w:rPr>
          <w:rFonts w:ascii="Times New Roman" w:hAnsi="Times New Roman" w:cs="Times New Roman"/>
        </w:rPr>
        <w:t xml:space="preserve"> is lower than the “low” price. We investigate each instance by reading the original fairness opinion on EDGAR.</w:t>
      </w:r>
      <w:r>
        <w:rPr>
          <w:rFonts w:ascii="Times New Roman" w:hAnsi="Times New Roman" w:cs="Times New Roman"/>
        </w:rPr>
        <w:t xml:space="preserve"> All of these cases represent data-entry errors (e.g., mixing up the “high” and “low” or misplacing the decimal point). We manually correct them.</w:t>
      </w:r>
    </w:p>
  </w:footnote>
  <w:footnote w:id="24">
    <w:p w14:paraId="501A9436" w14:textId="77777777" w:rsidR="00D978C6" w:rsidRPr="009F2C7D" w:rsidRDefault="00D978C6" w:rsidP="009F2C7D">
      <w:pPr>
        <w:pStyle w:val="FootnoteText"/>
        <w:spacing w:line="276" w:lineRule="auto"/>
        <w:jc w:val="both"/>
        <w:rPr>
          <w:rFonts w:ascii="Times New Roman" w:hAnsi="Times New Roman" w:cs="Times New Roman"/>
        </w:rPr>
      </w:pPr>
      <w:r w:rsidRPr="009F2C7D">
        <w:rPr>
          <w:rStyle w:val="FootnoteReference"/>
          <w:rFonts w:ascii="Times New Roman" w:hAnsi="Times New Roman" w:cs="Times New Roman"/>
        </w:rPr>
        <w:footnoteRef/>
      </w:r>
      <w:r>
        <w:rPr>
          <w:rFonts w:ascii="Times New Roman" w:hAnsi="Times New Roman" w:cs="Times New Roman"/>
        </w:rPr>
        <w:t xml:space="preserve"> In the case where</w:t>
      </w:r>
      <w:r w:rsidRPr="009F2C7D">
        <w:rPr>
          <w:rFonts w:ascii="Times New Roman" w:hAnsi="Times New Roman" w:cs="Times New Roman"/>
        </w:rPr>
        <w:t xml:space="preserve"> prior </w:t>
      </w:r>
      <w:r>
        <w:rPr>
          <w:rFonts w:ascii="Times New Roman" w:hAnsi="Times New Roman" w:cs="Times New Roman"/>
        </w:rPr>
        <w:t>belief is away from the true value but</w:t>
      </w:r>
      <w:r w:rsidRPr="009F2C7D">
        <w:rPr>
          <w:rFonts w:ascii="Times New Roman" w:hAnsi="Times New Roman" w:cs="Times New Roman"/>
        </w:rPr>
        <w:t xml:space="preserve"> the signal</w:t>
      </w:r>
      <w:r>
        <w:rPr>
          <w:rFonts w:ascii="Times New Roman" w:hAnsi="Times New Roman" w:cs="Times New Roman"/>
        </w:rPr>
        <w:t xml:space="preserve"> moves investors’ perceptions towards it, pricing mistakes moderate – and more so when uncertainty is high.</w:t>
      </w:r>
    </w:p>
  </w:footnote>
  <w:footnote w:id="25">
    <w:p w14:paraId="2AF2E852" w14:textId="05BA8EF3" w:rsidR="00D978C6" w:rsidRPr="0097275A" w:rsidRDefault="00D978C6" w:rsidP="0097275A">
      <w:pPr>
        <w:pStyle w:val="FootnoteText"/>
        <w:spacing w:line="276" w:lineRule="auto"/>
        <w:jc w:val="both"/>
        <w:rPr>
          <w:rFonts w:ascii="Times New Roman" w:hAnsi="Times New Roman" w:cs="Times New Roman"/>
        </w:rPr>
      </w:pPr>
      <w:r w:rsidRPr="0097275A">
        <w:rPr>
          <w:rStyle w:val="FootnoteReference"/>
          <w:rFonts w:ascii="Times New Roman" w:hAnsi="Times New Roman" w:cs="Times New Roman"/>
        </w:rPr>
        <w:footnoteRef/>
      </w:r>
      <w:r w:rsidRPr="0097275A">
        <w:rPr>
          <w:rFonts w:ascii="Times New Roman" w:hAnsi="Times New Roman" w:cs="Times New Roman"/>
        </w:rPr>
        <w:t xml:space="preserve"> If investors applied the same valuation model as we do, there would be no differences between prices and expected fundamental value</w:t>
      </w:r>
      <w:r>
        <w:rPr>
          <w:rFonts w:ascii="Times New Roman" w:hAnsi="Times New Roman" w:cs="Times New Roman"/>
        </w:rPr>
        <w:t>s</w:t>
      </w:r>
      <w:r w:rsidRPr="0097275A">
        <w:rPr>
          <w:rFonts w:ascii="Times New Roman" w:hAnsi="Times New Roman" w:cs="Times New Roman"/>
        </w:rPr>
        <w:t>.</w:t>
      </w:r>
      <w:r>
        <w:rPr>
          <w:rFonts w:ascii="Times New Roman" w:hAnsi="Times New Roman" w:cs="Times New Roman"/>
        </w:rPr>
        <w:t xml:space="preserve"> Thus, our implicit assumption is that investors do not necessarily apply the same model –</w:t>
      </w:r>
      <w:r w:rsidRPr="0097275A">
        <w:rPr>
          <w:rFonts w:ascii="Times New Roman" w:hAnsi="Times New Roman" w:cs="Times New Roman"/>
        </w:rPr>
        <w:t xml:space="preserve"> </w:t>
      </w:r>
      <w:r>
        <w:rPr>
          <w:rFonts w:ascii="Times New Roman" w:hAnsi="Times New Roman" w:cs="Times New Roman"/>
        </w:rPr>
        <w:t xml:space="preserve">or if they do, </w:t>
      </w:r>
      <w:r w:rsidRPr="0097275A">
        <w:rPr>
          <w:rFonts w:ascii="Times New Roman" w:hAnsi="Times New Roman" w:cs="Times New Roman"/>
        </w:rPr>
        <w:t>various market frictions create room for deviations of prices from fundamental value</w:t>
      </w:r>
      <w:r>
        <w:rPr>
          <w:rFonts w:ascii="Times New Roman" w:hAnsi="Times New Roman" w:cs="Times New Roman"/>
        </w:rPr>
        <w:t>s.</w:t>
      </w:r>
    </w:p>
  </w:footnote>
  <w:footnote w:id="26">
    <w:p w14:paraId="7F2629B7" w14:textId="4B1FDB55" w:rsidR="00D978C6" w:rsidRPr="00AF1C9D" w:rsidRDefault="00D978C6" w:rsidP="00AF1C9D">
      <w:pPr>
        <w:pStyle w:val="FootnoteText"/>
        <w:spacing w:line="276" w:lineRule="auto"/>
        <w:jc w:val="both"/>
        <w:rPr>
          <w:rFonts w:ascii="Times New Roman" w:hAnsi="Times New Roman" w:cs="Times New Roman"/>
        </w:rPr>
      </w:pPr>
      <w:r w:rsidRPr="00AF1C9D">
        <w:rPr>
          <w:rStyle w:val="FootnoteReference"/>
          <w:rFonts w:ascii="Times New Roman" w:hAnsi="Times New Roman" w:cs="Times New Roman"/>
        </w:rPr>
        <w:footnoteRef/>
      </w:r>
      <w:r w:rsidRPr="00AF1C9D">
        <w:rPr>
          <w:rFonts w:ascii="Times New Roman" w:hAnsi="Times New Roman" w:cs="Times New Roman"/>
        </w:rPr>
        <w:t xml:space="preserve"> </w:t>
      </w:r>
      <w:r>
        <w:rPr>
          <w:rFonts w:ascii="Times New Roman" w:hAnsi="Times New Roman" w:cs="Times New Roman"/>
        </w:rPr>
        <w:t>U</w:t>
      </w:r>
      <w:r w:rsidRPr="00AF1C9D">
        <w:rPr>
          <w:rFonts w:ascii="Times New Roman" w:hAnsi="Times New Roman" w:cs="Times New Roman"/>
        </w:rPr>
        <w:t xml:space="preserve">nlike </w:t>
      </w:r>
      <w:r w:rsidRPr="00340473">
        <w:rPr>
          <w:rFonts w:ascii="Times New Roman" w:hAnsi="Times New Roman" w:cs="Times New Roman"/>
          <w:i/>
          <w:iCs/>
        </w:rPr>
        <w:t>H1</w:t>
      </w:r>
      <w:r>
        <w:rPr>
          <w:rFonts w:ascii="Times New Roman" w:hAnsi="Times New Roman" w:cs="Times New Roman"/>
        </w:rPr>
        <w:t>, prediction</w:t>
      </w:r>
      <w:r w:rsidRPr="00AF1C9D">
        <w:rPr>
          <w:rFonts w:ascii="Times New Roman" w:hAnsi="Times New Roman" w:cs="Times New Roman"/>
        </w:rPr>
        <w:t xml:space="preserve"> </w:t>
      </w:r>
      <w:r w:rsidRPr="00DA7C6D">
        <w:rPr>
          <w:rFonts w:ascii="Times New Roman" w:hAnsi="Times New Roman" w:cs="Times New Roman"/>
          <w:i/>
          <w:iCs/>
        </w:rPr>
        <w:t>H</w:t>
      </w:r>
      <w:r>
        <w:rPr>
          <w:rFonts w:ascii="Times New Roman" w:hAnsi="Times New Roman" w:cs="Times New Roman"/>
          <w:i/>
          <w:iCs/>
        </w:rPr>
        <w:t>2</w:t>
      </w:r>
      <w:r w:rsidRPr="00AF1C9D">
        <w:rPr>
          <w:rFonts w:ascii="Times New Roman" w:hAnsi="Times New Roman" w:cs="Times New Roman"/>
        </w:rPr>
        <w:t xml:space="preserve"> </w:t>
      </w:r>
      <w:r>
        <w:rPr>
          <w:rFonts w:ascii="Times New Roman" w:hAnsi="Times New Roman" w:cs="Times New Roman"/>
        </w:rPr>
        <w:t>is uniquely associated with models of sentiment traders (i.e. biased investor beliefs).</w:t>
      </w:r>
    </w:p>
  </w:footnote>
  <w:footnote w:id="27">
    <w:p w14:paraId="685D059E" w14:textId="6E05DB31" w:rsidR="00D978C6" w:rsidRPr="00ED0E66" w:rsidRDefault="00D978C6" w:rsidP="00ED0E66">
      <w:pPr>
        <w:spacing w:after="0" w:line="276" w:lineRule="auto"/>
        <w:jc w:val="both"/>
        <w:rPr>
          <w:rFonts w:ascii="Times New Roman" w:hAnsi="Times New Roman" w:cs="Times New Roman"/>
          <w:sz w:val="20"/>
          <w:szCs w:val="20"/>
        </w:rPr>
      </w:pPr>
      <w:r w:rsidRPr="00ED0E66">
        <w:rPr>
          <w:rStyle w:val="FootnoteReference"/>
          <w:rFonts w:ascii="Times New Roman" w:hAnsi="Times New Roman" w:cs="Times New Roman"/>
          <w:sz w:val="20"/>
          <w:szCs w:val="20"/>
        </w:rPr>
        <w:footnoteRef/>
      </w:r>
      <w:r w:rsidRPr="00ED0E66">
        <w:rPr>
          <w:rFonts w:ascii="Times New Roman" w:hAnsi="Times New Roman" w:cs="Times New Roman"/>
          <w:sz w:val="20"/>
          <w:szCs w:val="20"/>
        </w:rPr>
        <w:t xml:space="preserve"> To ensure that our tests do not simply pick up the well-known fact that value-like strategies are stronger among small stocks, we repeat the analysis below after orthogonalizing VU with respect to size. All our inferences hold.</w:t>
      </w:r>
    </w:p>
  </w:footnote>
  <w:footnote w:id="28">
    <w:p w14:paraId="0E257A43" w14:textId="6E238D65" w:rsidR="00D978C6" w:rsidRPr="00BC47F6" w:rsidRDefault="00D978C6" w:rsidP="00BC47F6">
      <w:pPr>
        <w:pStyle w:val="FootnoteText"/>
        <w:spacing w:line="276" w:lineRule="auto"/>
        <w:jc w:val="both"/>
        <w:rPr>
          <w:rFonts w:ascii="Times New Roman" w:hAnsi="Times New Roman" w:cs="Times New Roman"/>
        </w:rPr>
      </w:pPr>
      <w:r w:rsidRPr="00BC47F6">
        <w:rPr>
          <w:rStyle w:val="FootnoteReference"/>
          <w:rFonts w:ascii="Times New Roman" w:hAnsi="Times New Roman" w:cs="Times New Roman"/>
        </w:rPr>
        <w:footnoteRef/>
      </w:r>
      <w:r w:rsidRPr="00BC47F6">
        <w:rPr>
          <w:rFonts w:ascii="Times New Roman" w:hAnsi="Times New Roman" w:cs="Times New Roman"/>
        </w:rPr>
        <w:t xml:space="preserve"> </w:t>
      </w:r>
      <w:r>
        <w:rPr>
          <w:rFonts w:ascii="Times New Roman" w:hAnsi="Times New Roman" w:cs="Times New Roman"/>
        </w:rPr>
        <w:t>Towards the same goal of well-populated portfolios</w:t>
      </w:r>
      <w:r w:rsidRPr="00BC47F6">
        <w:rPr>
          <w:rFonts w:ascii="Times New Roman" w:hAnsi="Times New Roman" w:cs="Times New Roman"/>
        </w:rPr>
        <w:t xml:space="preserve">, </w:t>
      </w:r>
      <w:r>
        <w:rPr>
          <w:rFonts w:ascii="Times New Roman" w:hAnsi="Times New Roman" w:cs="Times New Roman"/>
        </w:rPr>
        <w:t>we compute the</w:t>
      </w:r>
      <w:r w:rsidRPr="00BC47F6">
        <w:rPr>
          <w:rFonts w:ascii="Times New Roman" w:hAnsi="Times New Roman" w:cs="Times New Roman"/>
        </w:rPr>
        <w:t xml:space="preserve"> breakpoints </w:t>
      </w:r>
      <w:r>
        <w:rPr>
          <w:rFonts w:ascii="Times New Roman" w:hAnsi="Times New Roman" w:cs="Times New Roman"/>
        </w:rPr>
        <w:t>of</w:t>
      </w:r>
      <w:r w:rsidRPr="00BC47F6">
        <w:rPr>
          <w:rFonts w:ascii="Times New Roman" w:hAnsi="Times New Roman" w:cs="Times New Roman"/>
        </w:rPr>
        <w:t xml:space="preserve"> valuation uncertainty and price-to-val</w:t>
      </w:r>
      <w:r>
        <w:rPr>
          <w:rFonts w:ascii="Times New Roman" w:hAnsi="Times New Roman" w:cs="Times New Roman"/>
        </w:rPr>
        <w:t>ue</w:t>
      </w:r>
      <w:r w:rsidRPr="00BC47F6">
        <w:rPr>
          <w:rFonts w:ascii="Times New Roman" w:hAnsi="Times New Roman" w:cs="Times New Roman"/>
        </w:rPr>
        <w:t xml:space="preserve"> over the whole sample and not over NYSE-listed stocks</w:t>
      </w:r>
      <w:r>
        <w:rPr>
          <w:rFonts w:ascii="Times New Roman" w:hAnsi="Times New Roman" w:cs="Times New Roman"/>
        </w:rPr>
        <w:t xml:space="preserve"> only. O</w:t>
      </w:r>
      <w:r w:rsidRPr="00BC47F6">
        <w:rPr>
          <w:rFonts w:ascii="Times New Roman" w:hAnsi="Times New Roman" w:cs="Times New Roman"/>
        </w:rPr>
        <w:t xml:space="preserve">ur </w:t>
      </w:r>
      <w:r>
        <w:rPr>
          <w:rFonts w:ascii="Times New Roman" w:hAnsi="Times New Roman" w:cs="Times New Roman"/>
        </w:rPr>
        <w:t>conclusions</w:t>
      </w:r>
      <w:r w:rsidRPr="00BC47F6">
        <w:rPr>
          <w:rFonts w:ascii="Times New Roman" w:hAnsi="Times New Roman" w:cs="Times New Roman"/>
        </w:rPr>
        <w:t xml:space="preserve"> ar</w:t>
      </w:r>
      <w:r>
        <w:rPr>
          <w:rFonts w:ascii="Times New Roman" w:hAnsi="Times New Roman" w:cs="Times New Roman"/>
        </w:rPr>
        <w:t>e not sensitive to this choice.</w:t>
      </w:r>
    </w:p>
  </w:footnote>
  <w:footnote w:id="29">
    <w:p w14:paraId="4ED0191B" w14:textId="11C94CDD" w:rsidR="00D978C6" w:rsidRPr="00024938" w:rsidRDefault="00D978C6" w:rsidP="00E80560">
      <w:pPr>
        <w:pStyle w:val="FootnoteText"/>
        <w:spacing w:line="276" w:lineRule="auto"/>
        <w:jc w:val="both"/>
        <w:rPr>
          <w:rFonts w:ascii="Times New Roman" w:hAnsi="Times New Roman" w:cs="Times New Roman"/>
        </w:rPr>
      </w:pPr>
      <w:r w:rsidRPr="00024938">
        <w:rPr>
          <w:rStyle w:val="FootnoteReference"/>
          <w:rFonts w:ascii="Times New Roman" w:hAnsi="Times New Roman" w:cs="Times New Roman"/>
        </w:rPr>
        <w:footnoteRef/>
      </w:r>
      <w:r w:rsidRPr="00024938">
        <w:rPr>
          <w:rFonts w:ascii="Times New Roman" w:hAnsi="Times New Roman" w:cs="Times New Roman"/>
        </w:rPr>
        <w:t xml:space="preserve"> </w:t>
      </w:r>
      <w:r>
        <w:rPr>
          <w:rFonts w:ascii="Times New Roman" w:hAnsi="Times New Roman" w:cs="Times New Roman"/>
        </w:rPr>
        <w:t>Another reason to focus on portfolios that put roughly equal weight on all stocks is the fact that our estimation of the valuation model in eq. (</w:t>
      </w:r>
      <w:r w:rsidR="0086412F">
        <w:rPr>
          <w:rFonts w:ascii="Times New Roman" w:hAnsi="Times New Roman" w:cs="Times New Roman"/>
        </w:rPr>
        <w:t>6</w:t>
      </w:r>
      <w:r>
        <w:rPr>
          <w:rFonts w:ascii="Times New Roman" w:hAnsi="Times New Roman" w:cs="Times New Roman"/>
        </w:rPr>
        <w:t>) places equal weight on each stock-level observation within an industry-year.</w:t>
      </w:r>
    </w:p>
  </w:footnote>
  <w:footnote w:id="30">
    <w:p w14:paraId="1EE88F6B" w14:textId="77777777" w:rsidR="00D978C6" w:rsidRPr="005B7900" w:rsidRDefault="00D978C6" w:rsidP="005B7900">
      <w:pPr>
        <w:pStyle w:val="FootnoteText"/>
        <w:spacing w:line="276" w:lineRule="auto"/>
        <w:jc w:val="both"/>
        <w:rPr>
          <w:rFonts w:ascii="Times New Roman" w:hAnsi="Times New Roman" w:cs="Times New Roman"/>
        </w:rPr>
      </w:pPr>
      <w:r w:rsidRPr="005B7900">
        <w:rPr>
          <w:rStyle w:val="FootnoteReference"/>
          <w:rFonts w:ascii="Times New Roman" w:hAnsi="Times New Roman" w:cs="Times New Roman"/>
        </w:rPr>
        <w:footnoteRef/>
      </w:r>
      <w:r w:rsidRPr="005B7900">
        <w:rPr>
          <w:rFonts w:ascii="Times New Roman" w:hAnsi="Times New Roman" w:cs="Times New Roman"/>
        </w:rPr>
        <w:t xml:space="preserve"> Data from Kenneth French’s website: </w:t>
      </w:r>
      <w:hyperlink r:id="rId1" w:history="1">
        <w:r w:rsidRPr="00436A9C">
          <w:rPr>
            <w:rStyle w:val="Hyperlink"/>
            <w:rFonts w:ascii="Times New Roman" w:hAnsi="Times New Roman" w:cs="Times New Roman"/>
          </w:rPr>
          <w:t>http://mba.tuck.dartmouth.edu/pages/faculty/ken.french/data_library.html</w:t>
        </w:r>
      </w:hyperlink>
      <w:r>
        <w:rPr>
          <w:rFonts w:ascii="Times New Roman" w:hAnsi="Times New Roman" w:cs="Times New Roman"/>
        </w:rPr>
        <w:t xml:space="preserve">. </w:t>
      </w:r>
    </w:p>
  </w:footnote>
  <w:footnote w:id="31">
    <w:p w14:paraId="5AD2ABD3" w14:textId="77777777" w:rsidR="00D978C6" w:rsidRPr="00B05480" w:rsidRDefault="00D978C6" w:rsidP="00E80560">
      <w:pPr>
        <w:pStyle w:val="FootnoteText"/>
        <w:spacing w:line="276" w:lineRule="auto"/>
        <w:jc w:val="both"/>
        <w:rPr>
          <w:rFonts w:ascii="Times New Roman" w:hAnsi="Times New Roman" w:cs="Times New Roman"/>
        </w:rPr>
      </w:pPr>
      <w:r w:rsidRPr="00B05480">
        <w:rPr>
          <w:rStyle w:val="FootnoteReference"/>
          <w:rFonts w:ascii="Times New Roman" w:hAnsi="Times New Roman" w:cs="Times New Roman"/>
        </w:rPr>
        <w:footnoteRef/>
      </w:r>
      <w:r w:rsidRPr="00B05480">
        <w:rPr>
          <w:rFonts w:ascii="Times New Roman" w:hAnsi="Times New Roman" w:cs="Times New Roman"/>
        </w:rPr>
        <w:t xml:space="preserve"> </w:t>
      </w:r>
      <w:r>
        <w:rPr>
          <w:rFonts w:ascii="Times New Roman" w:hAnsi="Times New Roman" w:cs="Times New Roman"/>
        </w:rPr>
        <w:t xml:space="preserve">We thank Jeffrey Wurgler for making these data available on his website: </w:t>
      </w:r>
      <w:hyperlink r:id="rId2" w:history="1">
        <w:r w:rsidRPr="00625712">
          <w:rPr>
            <w:rStyle w:val="Hyperlink"/>
            <w:rFonts w:ascii="Times New Roman" w:hAnsi="Times New Roman" w:cs="Times New Roman"/>
          </w:rPr>
          <w:t>http://people.stern.nyu.edu/jwurgler/</w:t>
        </w:r>
      </w:hyperlink>
      <w:r>
        <w:rPr>
          <w:rFonts w:ascii="Times New Roman" w:hAnsi="Times New Roman" w:cs="Times New Roman"/>
        </w:rPr>
        <w:t xml:space="preserve">.  </w:t>
      </w:r>
    </w:p>
  </w:footnote>
  <w:footnote w:id="32">
    <w:p w14:paraId="311A682D" w14:textId="4131BC4D" w:rsidR="00764D56" w:rsidRPr="00764D56" w:rsidRDefault="00764D56" w:rsidP="00764D56">
      <w:pPr>
        <w:pStyle w:val="FootnoteText"/>
        <w:spacing w:line="276" w:lineRule="auto"/>
        <w:jc w:val="both"/>
        <w:rPr>
          <w:rFonts w:ascii="Times New Roman" w:hAnsi="Times New Roman" w:cs="Times New Roman"/>
        </w:rPr>
      </w:pPr>
      <w:r w:rsidRPr="00764D56">
        <w:rPr>
          <w:rStyle w:val="FootnoteReference"/>
          <w:rFonts w:ascii="Times New Roman" w:hAnsi="Times New Roman" w:cs="Times New Roman"/>
        </w:rPr>
        <w:footnoteRef/>
      </w:r>
      <w:r w:rsidRPr="00764D56">
        <w:rPr>
          <w:rFonts w:ascii="Times New Roman" w:hAnsi="Times New Roman" w:cs="Times New Roman"/>
        </w:rPr>
        <w:t xml:space="preserve"> </w:t>
      </w:r>
      <w:r w:rsidRPr="00764D56">
        <w:rPr>
          <w:rFonts w:ascii="Times New Roman" w:hAnsi="Times New Roman" w:cs="Times New Roman"/>
          <w:lang w:val="en-US"/>
        </w:rPr>
        <w:t>To substantiate th</w:t>
      </w:r>
      <w:r>
        <w:rPr>
          <w:rFonts w:ascii="Times New Roman" w:hAnsi="Times New Roman" w:cs="Times New Roman"/>
          <w:lang w:val="en-US"/>
        </w:rPr>
        <w:t>e</w:t>
      </w:r>
      <w:r w:rsidRPr="00732D75">
        <w:rPr>
          <w:rFonts w:ascii="Times New Roman" w:hAnsi="Times New Roman" w:cs="Times New Roman"/>
          <w:lang w:val="en-US"/>
        </w:rPr>
        <w:t xml:space="preserve"> visual evidence, we regress an indicator variable taking the value of one for medium</w:t>
      </w:r>
      <w:r>
        <w:rPr>
          <w:rFonts w:ascii="Times New Roman" w:hAnsi="Times New Roman" w:cs="Times New Roman"/>
          <w:lang w:val="en-US"/>
        </w:rPr>
        <w:t xml:space="preserve"> </w:t>
      </w:r>
      <w:r w:rsidRPr="00732D75">
        <w:rPr>
          <w:rFonts w:ascii="Times New Roman" w:hAnsi="Times New Roman" w:cs="Times New Roman"/>
          <w:lang w:val="en-US"/>
        </w:rPr>
        <w:t xml:space="preserve">sentiment </w:t>
      </w:r>
      <w:r w:rsidRPr="003310D2">
        <w:rPr>
          <w:rFonts w:ascii="Times New Roman" w:hAnsi="Times New Roman" w:cs="Times New Roman"/>
          <w:lang w:val="en-US"/>
        </w:rPr>
        <w:t xml:space="preserve">and zero otherwise on a year-counter variable that increments by one every year. The year-counter obtains a positive coefficient with a </w:t>
      </w:r>
      <w:r w:rsidRPr="003310D2">
        <w:rPr>
          <w:rFonts w:ascii="Times New Roman" w:hAnsi="Times New Roman" w:cs="Times New Roman"/>
          <w:i/>
          <w:iCs/>
          <w:lang w:val="en-US"/>
        </w:rPr>
        <w:t>t</w:t>
      </w:r>
      <w:r w:rsidRPr="003310D2">
        <w:rPr>
          <w:rFonts w:ascii="Times New Roman" w:hAnsi="Times New Roman" w:cs="Times New Roman"/>
          <w:lang w:val="en-US"/>
        </w:rPr>
        <w:t>-stat of 6.54.</w:t>
      </w:r>
    </w:p>
  </w:footnote>
  <w:footnote w:id="33">
    <w:p w14:paraId="17E0F5CE" w14:textId="5837EB5D" w:rsidR="00D978C6" w:rsidRPr="00036292" w:rsidRDefault="00D978C6" w:rsidP="00036292">
      <w:pPr>
        <w:pStyle w:val="FootnoteText"/>
        <w:spacing w:line="276" w:lineRule="auto"/>
        <w:jc w:val="both"/>
        <w:rPr>
          <w:rFonts w:ascii="Times New Roman" w:hAnsi="Times New Roman" w:cs="Times New Roman"/>
          <w:lang w:val="en-US"/>
        </w:rPr>
      </w:pPr>
      <w:r w:rsidRPr="00036292">
        <w:rPr>
          <w:rStyle w:val="FootnoteReference"/>
          <w:rFonts w:ascii="Times New Roman" w:hAnsi="Times New Roman" w:cs="Times New Roman"/>
        </w:rPr>
        <w:footnoteRef/>
      </w:r>
      <w:r w:rsidRPr="00036292">
        <w:rPr>
          <w:rFonts w:ascii="Times New Roman" w:hAnsi="Times New Roman" w:cs="Times New Roman"/>
        </w:rPr>
        <w:t xml:space="preserve"> In logs,</w:t>
      </w:r>
      <w:r>
        <w:rPr>
          <w:rFonts w:ascii="Times New Roman" w:hAnsi="Times New Roman" w:cs="Times New Roman"/>
        </w:rPr>
        <w:t xml:space="preserve"> the </w:t>
      </w:r>
      <w:r w:rsidRPr="00036292">
        <w:rPr>
          <w:rFonts w:ascii="Times New Roman" w:hAnsi="Times New Roman" w:cs="Times New Roman"/>
        </w:rPr>
        <w:t>price-to-book ratio is</w:t>
      </w:r>
      <w:r>
        <w:rPr>
          <w:rFonts w:ascii="Times New Roman" w:hAnsi="Times New Roman" w:cs="Times New Roman"/>
        </w:rPr>
        <w:t xml:space="preserve"> just</w:t>
      </w:r>
      <w:r w:rsidRPr="00036292">
        <w:rPr>
          <w:rFonts w:ascii="Times New Roman" w:hAnsi="Times New Roman" w:cs="Times New Roman"/>
        </w:rPr>
        <w:t xml:space="preserve"> the sum of price-to-value and value-to-book ratios.</w:t>
      </w:r>
    </w:p>
  </w:footnote>
  <w:footnote w:id="34">
    <w:p w14:paraId="4410780D" w14:textId="77777777" w:rsidR="004D5D50" w:rsidRPr="00005902" w:rsidRDefault="004D5D50" w:rsidP="004D5D50">
      <w:pPr>
        <w:jc w:val="both"/>
      </w:pPr>
      <w:r w:rsidRPr="00005902">
        <w:rPr>
          <w:rStyle w:val="FootnoteReference"/>
          <w:rFonts w:ascii="Times New Roman" w:hAnsi="Times New Roman" w:cs="Times New Roman"/>
          <w:sz w:val="20"/>
          <w:szCs w:val="20"/>
        </w:rPr>
        <w:footnoteRef/>
      </w:r>
      <w:r w:rsidRPr="00005902">
        <w:rPr>
          <w:rFonts w:ascii="Times New Roman" w:hAnsi="Times New Roman" w:cs="Times New Roman"/>
          <w:sz w:val="20"/>
          <w:szCs w:val="20"/>
        </w:rPr>
        <w:t xml:space="preserve"> </w:t>
      </w:r>
      <w:r>
        <w:rPr>
          <w:rFonts w:ascii="Times New Roman" w:hAnsi="Times New Roman" w:cs="Times New Roman"/>
          <w:sz w:val="20"/>
          <w:szCs w:val="20"/>
        </w:rPr>
        <w:t>Most directly</w:t>
      </w:r>
      <w:r w:rsidRPr="00005902">
        <w:rPr>
          <w:rFonts w:ascii="Times New Roman" w:hAnsi="Times New Roman" w:cs="Times New Roman"/>
          <w:sz w:val="20"/>
          <w:szCs w:val="20"/>
        </w:rPr>
        <w:t>,</w:t>
      </w:r>
      <w:r>
        <w:rPr>
          <w:rFonts w:ascii="Times New Roman" w:hAnsi="Times New Roman" w:cs="Times New Roman"/>
          <w:sz w:val="20"/>
          <w:szCs w:val="20"/>
        </w:rPr>
        <w:t xml:space="preserve"> under clean surplus accounting, </w:t>
      </w:r>
      <w:r w:rsidRPr="00005902">
        <w:rPr>
          <w:rFonts w:ascii="Times New Roman" w:hAnsi="Times New Roman" w:cs="Times New Roman"/>
          <w:sz w:val="20"/>
          <w:szCs w:val="20"/>
        </w:rPr>
        <w:t xml:space="preserve">the book value multiple </w:t>
      </w:r>
      <w:r>
        <w:rPr>
          <w:rFonts w:ascii="Times New Roman" w:hAnsi="Times New Roman" w:cs="Times New Roman"/>
          <w:sz w:val="20"/>
          <w:szCs w:val="20"/>
        </w:rPr>
        <w:t>is a function of</w:t>
      </w:r>
      <w:r w:rsidRPr="00005902">
        <w:rPr>
          <w:rFonts w:ascii="Times New Roman" w:hAnsi="Times New Roman" w:cs="Times New Roman"/>
          <w:sz w:val="20"/>
          <w:szCs w:val="20"/>
        </w:rPr>
        <w:t xml:space="preserve"> the growth rate in </w:t>
      </w:r>
      <w:r w:rsidRPr="00761F69">
        <w:rPr>
          <w:rFonts w:ascii="Times New Roman" w:hAnsi="Times New Roman" w:cs="Times New Roman"/>
          <w:i/>
          <w:iCs/>
          <w:sz w:val="20"/>
          <w:szCs w:val="20"/>
        </w:rPr>
        <w:t>residual income</w:t>
      </w:r>
      <w:r w:rsidRPr="00005902">
        <w:rPr>
          <w:rFonts w:ascii="Times New Roman" w:hAnsi="Times New Roman" w:cs="Times New Roman"/>
          <w:sz w:val="20"/>
          <w:szCs w:val="20"/>
        </w:rPr>
        <w:t xml:space="preserve">, since </w:t>
      </w:r>
      <w:r>
        <w:rPr>
          <w:rFonts w:ascii="Times New Roman" w:hAnsi="Times New Roman" w:cs="Times New Roman"/>
          <w:sz w:val="20"/>
          <w:szCs w:val="20"/>
        </w:rPr>
        <w:t>V</w:t>
      </w:r>
      <w:r w:rsidRPr="00005902">
        <w:rPr>
          <w:rFonts w:ascii="Times New Roman" w:hAnsi="Times New Roman" w:cs="Times New Roman"/>
          <w:sz w:val="20"/>
          <w:szCs w:val="20"/>
          <w:vertAlign w:val="subscript"/>
        </w:rPr>
        <w:t>0</w:t>
      </w:r>
      <w:r>
        <w:rPr>
          <w:rFonts w:ascii="Times New Roman" w:hAnsi="Times New Roman" w:cs="Times New Roman"/>
          <w:sz w:val="20"/>
          <w:szCs w:val="20"/>
          <w:vertAlign w:val="subscript"/>
        </w:rPr>
        <w:t xml:space="preserve"> </w:t>
      </w:r>
      <w:r w:rsidRPr="00005902">
        <w:rPr>
          <w:rFonts w:ascii="Times New Roman" w:hAnsi="Times New Roman" w:cs="Times New Roman"/>
          <w:sz w:val="20"/>
          <w:szCs w:val="20"/>
        </w:rPr>
        <w:t>=</w:t>
      </w:r>
      <w:r>
        <w:rPr>
          <w:rFonts w:ascii="Times New Roman" w:hAnsi="Times New Roman" w:cs="Times New Roman"/>
          <w:sz w:val="20"/>
          <w:szCs w:val="20"/>
        </w:rPr>
        <w:t xml:space="preserve"> </w:t>
      </w:r>
      <w:r w:rsidRPr="00005902">
        <w:rPr>
          <w:rFonts w:ascii="Times New Roman" w:hAnsi="Times New Roman" w:cs="Times New Roman"/>
          <w:sz w:val="20"/>
          <w:szCs w:val="20"/>
        </w:rPr>
        <w:t>B</w:t>
      </w:r>
      <w:r w:rsidRPr="00005902">
        <w:rPr>
          <w:rFonts w:ascii="Times New Roman" w:hAnsi="Times New Roman" w:cs="Times New Roman"/>
          <w:sz w:val="20"/>
          <w:szCs w:val="20"/>
          <w:vertAlign w:val="subscript"/>
        </w:rPr>
        <w:t>0</w:t>
      </w:r>
      <w:r w:rsidRPr="00D65B60">
        <w:rPr>
          <w:rFonts w:ascii="Times New Roman" w:hAnsi="Times New Roman" w:cs="Times New Roman"/>
          <w:sz w:val="20"/>
          <w:szCs w:val="20"/>
        </w:rPr>
        <w:t xml:space="preserve"> </w:t>
      </w:r>
      <w:r w:rsidRPr="00005902">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sz w:val="20"/>
          <w:szCs w:val="20"/>
          <w:lang w:val="en-US"/>
        </w:rPr>
        <w:t>RI</w:t>
      </w:r>
      <w:r w:rsidRPr="00005902">
        <w:rPr>
          <w:rFonts w:ascii="Times New Roman" w:hAnsi="Times New Roman" w:cs="Times New Roman"/>
          <w:sz w:val="20"/>
          <w:szCs w:val="20"/>
          <w:vertAlign w:val="subscript"/>
        </w:rPr>
        <w:t>1</w:t>
      </w:r>
      <w:r>
        <w:rPr>
          <w:rFonts w:ascii="Times New Roman" w:hAnsi="Times New Roman" w:cs="Times New Roman"/>
          <w:sz w:val="20"/>
          <w:szCs w:val="20"/>
          <w:vertAlign w:val="subscript"/>
        </w:rPr>
        <w:t xml:space="preserve"> </w:t>
      </w:r>
      <w:r w:rsidRPr="00005902">
        <w:rPr>
          <w:rFonts w:ascii="Times New Roman" w:hAnsi="Times New Roman" w:cs="Times New Roman"/>
          <w:sz w:val="20"/>
          <w:szCs w:val="20"/>
        </w:rPr>
        <w:t>/</w:t>
      </w:r>
      <w:r>
        <w:rPr>
          <w:rFonts w:ascii="Times New Roman" w:hAnsi="Times New Roman" w:cs="Times New Roman"/>
          <w:sz w:val="20"/>
          <w:szCs w:val="20"/>
        </w:rPr>
        <w:t xml:space="preserve"> </w:t>
      </w:r>
      <w:r w:rsidRPr="00005902">
        <w:rPr>
          <w:rFonts w:ascii="Times New Roman" w:hAnsi="Times New Roman" w:cs="Times New Roman"/>
          <w:sz w:val="20"/>
          <w:szCs w:val="20"/>
        </w:rPr>
        <w:t>(r</w:t>
      </w:r>
      <w:r>
        <w:rPr>
          <w:rFonts w:ascii="Times New Roman" w:hAnsi="Times New Roman" w:cs="Times New Roman"/>
          <w:sz w:val="20"/>
          <w:szCs w:val="20"/>
        </w:rPr>
        <w:t xml:space="preserve"> – </w:t>
      </w:r>
      <w:proofErr w:type="spellStart"/>
      <w:r w:rsidRPr="00005902">
        <w:rPr>
          <w:rFonts w:ascii="Times New Roman" w:hAnsi="Times New Roman" w:cs="Times New Roman"/>
          <w:sz w:val="20"/>
          <w:szCs w:val="20"/>
        </w:rPr>
        <w:t>g</w:t>
      </w:r>
      <w:r w:rsidRPr="00005902">
        <w:rPr>
          <w:rFonts w:ascii="Times New Roman" w:hAnsi="Times New Roman" w:cs="Times New Roman"/>
          <w:sz w:val="20"/>
          <w:szCs w:val="20"/>
          <w:vertAlign w:val="subscript"/>
        </w:rPr>
        <w:t>RI</w:t>
      </w:r>
      <w:proofErr w:type="spellEnd"/>
      <w:r w:rsidRPr="00005902">
        <w:rPr>
          <w:rFonts w:ascii="Times New Roman" w:hAnsi="Times New Roman" w:cs="Times New Roman"/>
          <w:sz w:val="20"/>
          <w:szCs w:val="20"/>
        </w:rPr>
        <w:t>)</w:t>
      </w:r>
      <w:r>
        <w:rPr>
          <w:rFonts w:ascii="Times New Roman" w:hAnsi="Times New Roman" w:cs="Times New Roman"/>
          <w:sz w:val="20"/>
          <w:szCs w:val="20"/>
        </w:rPr>
        <w:t xml:space="preserve"> and V</w:t>
      </w:r>
      <w:r w:rsidRPr="00CD3A74">
        <w:rPr>
          <w:rFonts w:ascii="Times New Roman" w:hAnsi="Times New Roman" w:cs="Times New Roman"/>
          <w:sz w:val="20"/>
          <w:szCs w:val="20"/>
          <w:vertAlign w:val="subscript"/>
        </w:rPr>
        <w:t>0</w:t>
      </w:r>
      <w:r>
        <w:rPr>
          <w:rFonts w:ascii="Times New Roman" w:hAnsi="Times New Roman" w:cs="Times New Roman"/>
          <w:sz w:val="20"/>
          <w:szCs w:val="20"/>
          <w:vertAlign w:val="subscript"/>
        </w:rPr>
        <w:t xml:space="preserve"> </w:t>
      </w:r>
      <w:r>
        <w:rPr>
          <w:rFonts w:ascii="Times New Roman" w:hAnsi="Times New Roman" w:cs="Times New Roman"/>
          <w:sz w:val="20"/>
          <w:szCs w:val="20"/>
        </w:rPr>
        <w:t>/ B</w:t>
      </w:r>
      <w:r w:rsidRPr="00CD3A74">
        <w:rPr>
          <w:rFonts w:ascii="Times New Roman" w:hAnsi="Times New Roman" w:cs="Times New Roman"/>
          <w:sz w:val="20"/>
          <w:szCs w:val="20"/>
          <w:vertAlign w:val="subscript"/>
        </w:rPr>
        <w:t>0</w:t>
      </w:r>
      <w:r>
        <w:rPr>
          <w:rFonts w:ascii="Times New Roman" w:hAnsi="Times New Roman" w:cs="Times New Roman"/>
          <w:sz w:val="20"/>
          <w:szCs w:val="20"/>
        </w:rPr>
        <w:t xml:space="preserve"> = 1 + RI</w:t>
      </w:r>
      <w:r w:rsidRPr="00CD3A74">
        <w:rPr>
          <w:rFonts w:ascii="Times New Roman" w:hAnsi="Times New Roman" w:cs="Times New Roman"/>
          <w:sz w:val="20"/>
          <w:szCs w:val="20"/>
          <w:vertAlign w:val="subscript"/>
        </w:rPr>
        <w:t>1</w:t>
      </w:r>
      <w:r>
        <w:rPr>
          <w:rFonts w:ascii="Times New Roman" w:hAnsi="Times New Roman" w:cs="Times New Roman"/>
          <w:sz w:val="20"/>
          <w:szCs w:val="20"/>
          <w:vertAlign w:val="subscript"/>
        </w:rPr>
        <w:t xml:space="preserve"> </w:t>
      </w:r>
      <w:r w:rsidRPr="00CD3A74">
        <w:rPr>
          <w:rFonts w:ascii="Times New Roman" w:hAnsi="Times New Roman" w:cs="Times New Roman"/>
          <w:sz w:val="20"/>
          <w:szCs w:val="20"/>
        </w:rPr>
        <w:t>/</w:t>
      </w:r>
      <w:r>
        <w:rPr>
          <w:rFonts w:ascii="Times New Roman" w:hAnsi="Times New Roman" w:cs="Times New Roman"/>
          <w:sz w:val="20"/>
          <w:szCs w:val="20"/>
        </w:rPr>
        <w:t xml:space="preserve"> B</w:t>
      </w:r>
      <w:r w:rsidRPr="009743E9">
        <w:rPr>
          <w:rFonts w:ascii="Times New Roman" w:hAnsi="Times New Roman" w:cs="Times New Roman"/>
          <w:sz w:val="20"/>
          <w:szCs w:val="20"/>
          <w:vertAlign w:val="subscript"/>
        </w:rPr>
        <w:t>0</w:t>
      </w:r>
      <w:r>
        <w:rPr>
          <w:rFonts w:ascii="Times New Roman" w:hAnsi="Times New Roman" w:cs="Times New Roman"/>
          <w:sz w:val="20"/>
          <w:szCs w:val="20"/>
        </w:rPr>
        <w:t xml:space="preserve">(r – </w:t>
      </w:r>
      <w:proofErr w:type="spellStart"/>
      <w:r>
        <w:rPr>
          <w:rFonts w:ascii="Times New Roman" w:hAnsi="Times New Roman" w:cs="Times New Roman"/>
          <w:sz w:val="20"/>
          <w:szCs w:val="20"/>
        </w:rPr>
        <w:t>g</w:t>
      </w:r>
      <w:r w:rsidRPr="00CD3A74">
        <w:rPr>
          <w:rFonts w:ascii="Times New Roman" w:hAnsi="Times New Roman" w:cs="Times New Roman"/>
          <w:sz w:val="20"/>
          <w:szCs w:val="20"/>
          <w:vertAlign w:val="subscript"/>
        </w:rPr>
        <w:t>RI</w:t>
      </w:r>
      <w:proofErr w:type="spellEnd"/>
      <w:r>
        <w:rPr>
          <w:rFonts w:ascii="Times New Roman" w:hAnsi="Times New Roman" w:cs="Times New Roman"/>
          <w:sz w:val="20"/>
          <w:szCs w:val="20"/>
        </w:rPr>
        <w:t xml:space="preserve">), where V is equity value, B is book value of equity, RI is residual income, and </w:t>
      </w:r>
      <w:proofErr w:type="spellStart"/>
      <w:r w:rsidRPr="00005902">
        <w:rPr>
          <w:rFonts w:ascii="Times New Roman" w:hAnsi="Times New Roman" w:cs="Times New Roman"/>
          <w:sz w:val="20"/>
          <w:szCs w:val="20"/>
        </w:rPr>
        <w:t>g</w:t>
      </w:r>
      <w:r w:rsidRPr="00005902">
        <w:rPr>
          <w:rFonts w:ascii="Times New Roman" w:hAnsi="Times New Roman" w:cs="Times New Roman"/>
          <w:sz w:val="20"/>
          <w:szCs w:val="20"/>
          <w:vertAlign w:val="subscript"/>
        </w:rPr>
        <w:t>RI</w:t>
      </w:r>
      <w:proofErr w:type="spellEnd"/>
      <w:r>
        <w:rPr>
          <w:rFonts w:ascii="Times New Roman" w:hAnsi="Times New Roman" w:cs="Times New Roman"/>
          <w:sz w:val="20"/>
          <w:szCs w:val="20"/>
          <w:vertAlign w:val="subscript"/>
        </w:rPr>
        <w:t xml:space="preserve"> </w:t>
      </w:r>
      <w:r>
        <w:rPr>
          <w:rFonts w:ascii="Times New Roman" w:hAnsi="Times New Roman" w:cs="Times New Roman"/>
          <w:sz w:val="20"/>
          <w:szCs w:val="20"/>
        </w:rPr>
        <w:t>is growth in residual income</w:t>
      </w:r>
      <w:r w:rsidRPr="00005902">
        <w:rPr>
          <w:rFonts w:ascii="Times New Roman" w:hAnsi="Times New Roman" w:cs="Times New Roman"/>
          <w:sz w:val="20"/>
          <w:szCs w:val="20"/>
        </w:rPr>
        <w:t xml:space="preserve">. </w:t>
      </w:r>
      <w:r w:rsidRPr="000B2DBC">
        <w:rPr>
          <w:rFonts w:ascii="Times New Roman" w:hAnsi="Times New Roman" w:cs="Times New Roman"/>
          <w:sz w:val="20"/>
          <w:szCs w:val="20"/>
        </w:rPr>
        <w:t xml:space="preserve">In </w:t>
      </w:r>
      <w:r>
        <w:rPr>
          <w:rFonts w:ascii="Times New Roman" w:hAnsi="Times New Roman" w:cs="Times New Roman"/>
          <w:sz w:val="20"/>
          <w:szCs w:val="20"/>
        </w:rPr>
        <w:t>steady state (i.e. once profitability, payout and growth in book value stabilize)</w:t>
      </w:r>
      <w:r w:rsidRPr="000B2DBC">
        <w:rPr>
          <w:rFonts w:ascii="Times New Roman" w:hAnsi="Times New Roman" w:cs="Times New Roman"/>
          <w:sz w:val="20"/>
          <w:szCs w:val="20"/>
        </w:rPr>
        <w:t xml:space="preserve">, </w:t>
      </w:r>
      <w:r>
        <w:rPr>
          <w:rFonts w:ascii="Times New Roman" w:hAnsi="Times New Roman" w:cs="Times New Roman"/>
          <w:sz w:val="20"/>
          <w:szCs w:val="20"/>
        </w:rPr>
        <w:t xml:space="preserve">long-run growth in </w:t>
      </w:r>
      <w:r w:rsidRPr="000B2DBC">
        <w:rPr>
          <w:rFonts w:ascii="Times New Roman" w:hAnsi="Times New Roman" w:cs="Times New Roman"/>
          <w:sz w:val="20"/>
          <w:szCs w:val="20"/>
        </w:rPr>
        <w:t>total</w:t>
      </w:r>
      <w:r w:rsidRPr="000B2DBC">
        <w:rPr>
          <w:rFonts w:ascii="Times New Roman" w:hAnsi="Times New Roman" w:cs="Times New Roman"/>
          <w:b/>
          <w:bCs/>
          <w:sz w:val="20"/>
          <w:szCs w:val="20"/>
        </w:rPr>
        <w:t xml:space="preserve"> </w:t>
      </w:r>
      <w:r w:rsidRPr="00C46135">
        <w:rPr>
          <w:rFonts w:ascii="Times New Roman" w:hAnsi="Times New Roman" w:cs="Times New Roman"/>
          <w:sz w:val="20"/>
          <w:szCs w:val="20"/>
        </w:rPr>
        <w:t xml:space="preserve">shareholder </w:t>
      </w:r>
      <w:r w:rsidRPr="000B2DBC">
        <w:rPr>
          <w:rFonts w:ascii="Times New Roman" w:hAnsi="Times New Roman" w:cs="Times New Roman"/>
          <w:sz w:val="20"/>
          <w:szCs w:val="20"/>
        </w:rPr>
        <w:t>distributions</w:t>
      </w:r>
      <w:r>
        <w:rPr>
          <w:rFonts w:ascii="Times New Roman" w:hAnsi="Times New Roman" w:cs="Times New Roman"/>
          <w:sz w:val="20"/>
          <w:szCs w:val="20"/>
        </w:rPr>
        <w:t xml:space="preserve"> (dividends)</w:t>
      </w:r>
      <w:r w:rsidRPr="000B2DBC">
        <w:rPr>
          <w:rFonts w:ascii="Times New Roman" w:hAnsi="Times New Roman" w:cs="Times New Roman"/>
          <w:sz w:val="20"/>
          <w:szCs w:val="20"/>
        </w:rPr>
        <w:t xml:space="preserve"> </w:t>
      </w:r>
      <w:r>
        <w:rPr>
          <w:rFonts w:ascii="Times New Roman" w:hAnsi="Times New Roman" w:cs="Times New Roman"/>
          <w:sz w:val="20"/>
          <w:szCs w:val="20"/>
        </w:rPr>
        <w:t xml:space="preserve">reflects growth in residual income. </w:t>
      </w:r>
    </w:p>
  </w:footnote>
  <w:footnote w:id="35">
    <w:p w14:paraId="46DA5294" w14:textId="77777777" w:rsidR="004D5D50" w:rsidRPr="007979A4" w:rsidRDefault="004D5D50" w:rsidP="004D5D50">
      <w:pPr>
        <w:pStyle w:val="FootnoteText"/>
        <w:spacing w:line="276" w:lineRule="auto"/>
        <w:jc w:val="both"/>
        <w:rPr>
          <w:rFonts w:ascii="Times New Roman" w:hAnsi="Times New Roman" w:cs="Times New Roman"/>
        </w:rPr>
      </w:pPr>
      <w:r w:rsidRPr="007979A4">
        <w:rPr>
          <w:rStyle w:val="FootnoteReference"/>
          <w:rFonts w:ascii="Times New Roman" w:hAnsi="Times New Roman" w:cs="Times New Roman"/>
        </w:rPr>
        <w:footnoteRef/>
      </w:r>
      <w:r w:rsidRPr="007979A4">
        <w:rPr>
          <w:rFonts w:ascii="Times New Roman" w:hAnsi="Times New Roman" w:cs="Times New Roman"/>
        </w:rPr>
        <w:t xml:space="preserve"> </w:t>
      </w:r>
      <w:r w:rsidRPr="007979A4">
        <w:rPr>
          <w:rFonts w:ascii="Times New Roman" w:hAnsi="Times New Roman" w:cs="Times New Roman"/>
          <w:lang w:val="en-US"/>
        </w:rPr>
        <w:t>To measure firm age, we use</w:t>
      </w:r>
      <w:r w:rsidRPr="007979A4">
        <w:rPr>
          <w:rFonts w:ascii="Times New Roman" w:hAnsi="Times New Roman" w:cs="Times New Roman"/>
          <w:color w:val="000000"/>
          <w14:ligatures w14:val="standardContextual"/>
        </w:rPr>
        <w:t xml:space="preserve"> </w:t>
      </w:r>
      <w:r w:rsidRPr="007979A4">
        <w:rPr>
          <w:rFonts w:ascii="Times New Roman" w:hAnsi="Times New Roman" w:cs="Times New Roman"/>
        </w:rPr>
        <w:t>the number of years from foundation from Jay Ritter’s IPO database. When the latter is unavailable, we use the number of years from foundation from Capital IQ. When neither is unavailable, we use the number of years since the first observation in CRSP.</w:t>
      </w:r>
    </w:p>
  </w:footnote>
  <w:footnote w:id="36">
    <w:p w14:paraId="409ED906" w14:textId="77777777" w:rsidR="004D5D50" w:rsidRPr="00833FD4" w:rsidRDefault="004D5D50" w:rsidP="004D5D50">
      <w:pPr>
        <w:pStyle w:val="FootnoteText"/>
        <w:spacing w:line="276" w:lineRule="auto"/>
        <w:jc w:val="both"/>
        <w:rPr>
          <w:rFonts w:ascii="Times New Roman" w:hAnsi="Times New Roman" w:cs="Times New Roman"/>
        </w:rPr>
      </w:pPr>
      <w:r w:rsidRPr="00833FD4">
        <w:rPr>
          <w:rStyle w:val="FootnoteReference"/>
          <w:rFonts w:ascii="Times New Roman" w:hAnsi="Times New Roman" w:cs="Times New Roman"/>
        </w:rPr>
        <w:footnoteRef/>
      </w:r>
      <w:r w:rsidRPr="00833FD4">
        <w:rPr>
          <w:rFonts w:ascii="Times New Roman" w:hAnsi="Times New Roman" w:cs="Times New Roman"/>
        </w:rPr>
        <w:t xml:space="preserve"> </w:t>
      </w:r>
      <w:r>
        <w:rPr>
          <w:rFonts w:ascii="Times New Roman" w:hAnsi="Times New Roman" w:cs="Times New Roman"/>
        </w:rPr>
        <w:t xml:space="preserve">See, e.g., </w:t>
      </w:r>
      <w:r w:rsidRPr="00833FD4">
        <w:rPr>
          <w:rFonts w:ascii="Times New Roman" w:hAnsi="Times New Roman" w:cs="Times New Roman"/>
          <w:lang w:val="en-GB"/>
        </w:rPr>
        <w:t>Hillenbrand,</w:t>
      </w:r>
      <w:r>
        <w:rPr>
          <w:rFonts w:ascii="Times New Roman" w:hAnsi="Times New Roman" w:cs="Times New Roman"/>
          <w:lang w:val="en-GB"/>
        </w:rPr>
        <w:t xml:space="preserve"> S.,</w:t>
      </w:r>
      <w:r w:rsidRPr="00833FD4">
        <w:rPr>
          <w:rFonts w:ascii="Times New Roman" w:hAnsi="Times New Roman" w:cs="Times New Roman"/>
          <w:lang w:val="en-GB"/>
        </w:rPr>
        <w:t xml:space="preserve"> </w:t>
      </w:r>
      <w:r>
        <w:rPr>
          <w:rFonts w:ascii="Times New Roman" w:hAnsi="Times New Roman" w:cs="Times New Roman"/>
          <w:lang w:val="en-GB"/>
        </w:rPr>
        <w:t>“</w:t>
      </w:r>
      <w:r w:rsidRPr="00833FD4">
        <w:rPr>
          <w:rFonts w:ascii="Times New Roman" w:hAnsi="Times New Roman" w:cs="Times New Roman"/>
          <w:lang w:val="en-GB"/>
        </w:rPr>
        <w:t>The Fed and the Secular Decline in Interest Rates</w:t>
      </w:r>
      <w:r>
        <w:rPr>
          <w:rFonts w:ascii="Times New Roman" w:hAnsi="Times New Roman" w:cs="Times New Roman"/>
          <w:lang w:val="en-GB"/>
        </w:rPr>
        <w:t>”</w:t>
      </w:r>
      <w:r w:rsidRPr="00833FD4">
        <w:rPr>
          <w:rFonts w:ascii="Times New Roman" w:hAnsi="Times New Roman" w:cs="Times New Roman"/>
          <w:lang w:val="en-GB"/>
        </w:rPr>
        <w:t xml:space="preserve">, </w:t>
      </w:r>
      <w:r w:rsidRPr="00833FD4">
        <w:rPr>
          <w:rFonts w:ascii="Times New Roman" w:hAnsi="Times New Roman" w:cs="Times New Roman"/>
          <w:i/>
          <w:iCs/>
          <w:lang w:val="en-GB"/>
        </w:rPr>
        <w:t>The Review of Financial Studies</w:t>
      </w:r>
      <w:r w:rsidRPr="00833FD4">
        <w:rPr>
          <w:rFonts w:ascii="Times New Roman" w:hAnsi="Times New Roman" w:cs="Times New Roman"/>
          <w:lang w:val="en-GB"/>
        </w:rPr>
        <w:t>, Volume 38, Issue 4, April 2025, Pages 981–1013</w:t>
      </w:r>
      <w:r>
        <w:rPr>
          <w:rFonts w:ascii="Times New Roman" w:hAnsi="Times New Roman" w:cs="Times New Roman"/>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4C55"/>
    <w:multiLevelType w:val="hybridMultilevel"/>
    <w:tmpl w:val="1E389D08"/>
    <w:lvl w:ilvl="0" w:tplc="E4A4FCF8">
      <w:start w:val="1"/>
      <w:numFmt w:val="decimal"/>
      <w:lvlText w:val="%1."/>
      <w:lvlJc w:val="left"/>
      <w:pPr>
        <w:ind w:left="1020" w:hanging="360"/>
      </w:pPr>
    </w:lvl>
    <w:lvl w:ilvl="1" w:tplc="6DD635BC">
      <w:start w:val="1"/>
      <w:numFmt w:val="decimal"/>
      <w:lvlText w:val="%2."/>
      <w:lvlJc w:val="left"/>
      <w:pPr>
        <w:ind w:left="1020" w:hanging="360"/>
      </w:pPr>
    </w:lvl>
    <w:lvl w:ilvl="2" w:tplc="F2F6564C">
      <w:start w:val="1"/>
      <w:numFmt w:val="decimal"/>
      <w:lvlText w:val="%3."/>
      <w:lvlJc w:val="left"/>
      <w:pPr>
        <w:ind w:left="1020" w:hanging="360"/>
      </w:pPr>
    </w:lvl>
    <w:lvl w:ilvl="3" w:tplc="0DAA958E">
      <w:start w:val="1"/>
      <w:numFmt w:val="decimal"/>
      <w:lvlText w:val="%4."/>
      <w:lvlJc w:val="left"/>
      <w:pPr>
        <w:ind w:left="1020" w:hanging="360"/>
      </w:pPr>
    </w:lvl>
    <w:lvl w:ilvl="4" w:tplc="F5A8B974">
      <w:start w:val="1"/>
      <w:numFmt w:val="decimal"/>
      <w:lvlText w:val="%5."/>
      <w:lvlJc w:val="left"/>
      <w:pPr>
        <w:ind w:left="1020" w:hanging="360"/>
      </w:pPr>
    </w:lvl>
    <w:lvl w:ilvl="5" w:tplc="13540578">
      <w:start w:val="1"/>
      <w:numFmt w:val="decimal"/>
      <w:lvlText w:val="%6."/>
      <w:lvlJc w:val="left"/>
      <w:pPr>
        <w:ind w:left="1020" w:hanging="360"/>
      </w:pPr>
    </w:lvl>
    <w:lvl w:ilvl="6" w:tplc="1EE4882E">
      <w:start w:val="1"/>
      <w:numFmt w:val="decimal"/>
      <w:lvlText w:val="%7."/>
      <w:lvlJc w:val="left"/>
      <w:pPr>
        <w:ind w:left="1020" w:hanging="360"/>
      </w:pPr>
    </w:lvl>
    <w:lvl w:ilvl="7" w:tplc="E4D6AA82">
      <w:start w:val="1"/>
      <w:numFmt w:val="decimal"/>
      <w:lvlText w:val="%8."/>
      <w:lvlJc w:val="left"/>
      <w:pPr>
        <w:ind w:left="1020" w:hanging="360"/>
      </w:pPr>
    </w:lvl>
    <w:lvl w:ilvl="8" w:tplc="BD60A576">
      <w:start w:val="1"/>
      <w:numFmt w:val="decimal"/>
      <w:lvlText w:val="%9."/>
      <w:lvlJc w:val="left"/>
      <w:pPr>
        <w:ind w:left="1020" w:hanging="360"/>
      </w:pPr>
    </w:lvl>
  </w:abstractNum>
  <w:abstractNum w:abstractNumId="1" w15:restartNumberingAfterBreak="0">
    <w:nsid w:val="0AA641A8"/>
    <w:multiLevelType w:val="hybridMultilevel"/>
    <w:tmpl w:val="D6E6B9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04120"/>
    <w:multiLevelType w:val="hybridMultilevel"/>
    <w:tmpl w:val="F6A84524"/>
    <w:lvl w:ilvl="0" w:tplc="D4961572">
      <w:start w:val="1"/>
      <w:numFmt w:val="low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0DC6F91"/>
    <w:multiLevelType w:val="hybridMultilevel"/>
    <w:tmpl w:val="E8E40EC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4F3DEB"/>
    <w:multiLevelType w:val="hybridMultilevel"/>
    <w:tmpl w:val="6B447E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F61F5C"/>
    <w:multiLevelType w:val="hybridMultilevel"/>
    <w:tmpl w:val="84A4F030"/>
    <w:lvl w:ilvl="0" w:tplc="EAD47DF4">
      <w:start w:val="1"/>
      <w:numFmt w:val="decimal"/>
      <w:lvlText w:val="%1."/>
      <w:lvlJc w:val="left"/>
      <w:pPr>
        <w:ind w:left="1020" w:hanging="360"/>
      </w:pPr>
    </w:lvl>
    <w:lvl w:ilvl="1" w:tplc="7CC613BC">
      <w:start w:val="1"/>
      <w:numFmt w:val="decimal"/>
      <w:lvlText w:val="%2."/>
      <w:lvlJc w:val="left"/>
      <w:pPr>
        <w:ind w:left="1020" w:hanging="360"/>
      </w:pPr>
    </w:lvl>
    <w:lvl w:ilvl="2" w:tplc="92569216">
      <w:start w:val="1"/>
      <w:numFmt w:val="decimal"/>
      <w:lvlText w:val="%3."/>
      <w:lvlJc w:val="left"/>
      <w:pPr>
        <w:ind w:left="1020" w:hanging="360"/>
      </w:pPr>
    </w:lvl>
    <w:lvl w:ilvl="3" w:tplc="FD9295D8">
      <w:start w:val="1"/>
      <w:numFmt w:val="decimal"/>
      <w:lvlText w:val="%4."/>
      <w:lvlJc w:val="left"/>
      <w:pPr>
        <w:ind w:left="1020" w:hanging="360"/>
      </w:pPr>
    </w:lvl>
    <w:lvl w:ilvl="4" w:tplc="0ECE6150">
      <w:start w:val="1"/>
      <w:numFmt w:val="decimal"/>
      <w:lvlText w:val="%5."/>
      <w:lvlJc w:val="left"/>
      <w:pPr>
        <w:ind w:left="1020" w:hanging="360"/>
      </w:pPr>
    </w:lvl>
    <w:lvl w:ilvl="5" w:tplc="9BFA3B32">
      <w:start w:val="1"/>
      <w:numFmt w:val="decimal"/>
      <w:lvlText w:val="%6."/>
      <w:lvlJc w:val="left"/>
      <w:pPr>
        <w:ind w:left="1020" w:hanging="360"/>
      </w:pPr>
    </w:lvl>
    <w:lvl w:ilvl="6" w:tplc="74682F48">
      <w:start w:val="1"/>
      <w:numFmt w:val="decimal"/>
      <w:lvlText w:val="%7."/>
      <w:lvlJc w:val="left"/>
      <w:pPr>
        <w:ind w:left="1020" w:hanging="360"/>
      </w:pPr>
    </w:lvl>
    <w:lvl w:ilvl="7" w:tplc="5FEA1B88">
      <w:start w:val="1"/>
      <w:numFmt w:val="decimal"/>
      <w:lvlText w:val="%8."/>
      <w:lvlJc w:val="left"/>
      <w:pPr>
        <w:ind w:left="1020" w:hanging="360"/>
      </w:pPr>
    </w:lvl>
    <w:lvl w:ilvl="8" w:tplc="B838B1D8">
      <w:start w:val="1"/>
      <w:numFmt w:val="decimal"/>
      <w:lvlText w:val="%9."/>
      <w:lvlJc w:val="left"/>
      <w:pPr>
        <w:ind w:left="1020" w:hanging="360"/>
      </w:pPr>
    </w:lvl>
  </w:abstractNum>
  <w:abstractNum w:abstractNumId="6" w15:restartNumberingAfterBreak="0">
    <w:nsid w:val="1AAC7858"/>
    <w:multiLevelType w:val="hybridMultilevel"/>
    <w:tmpl w:val="1186B9D2"/>
    <w:lvl w:ilvl="0" w:tplc="3E607D28">
      <w:start w:val="1"/>
      <w:numFmt w:val="bullet"/>
      <w:lvlText w:val=""/>
      <w:lvlJc w:val="left"/>
      <w:pPr>
        <w:ind w:left="1080" w:hanging="360"/>
      </w:pPr>
      <w:rPr>
        <w:rFonts w:ascii="Symbol" w:hAnsi="Symbol"/>
      </w:rPr>
    </w:lvl>
    <w:lvl w:ilvl="1" w:tplc="D1A05C1C">
      <w:start w:val="1"/>
      <w:numFmt w:val="bullet"/>
      <w:lvlText w:val=""/>
      <w:lvlJc w:val="left"/>
      <w:pPr>
        <w:ind w:left="1080" w:hanging="360"/>
      </w:pPr>
      <w:rPr>
        <w:rFonts w:ascii="Symbol" w:hAnsi="Symbol"/>
      </w:rPr>
    </w:lvl>
    <w:lvl w:ilvl="2" w:tplc="00586C9A">
      <w:start w:val="1"/>
      <w:numFmt w:val="bullet"/>
      <w:lvlText w:val=""/>
      <w:lvlJc w:val="left"/>
      <w:pPr>
        <w:ind w:left="1080" w:hanging="360"/>
      </w:pPr>
      <w:rPr>
        <w:rFonts w:ascii="Symbol" w:hAnsi="Symbol"/>
      </w:rPr>
    </w:lvl>
    <w:lvl w:ilvl="3" w:tplc="BFAE0354">
      <w:start w:val="1"/>
      <w:numFmt w:val="bullet"/>
      <w:lvlText w:val=""/>
      <w:lvlJc w:val="left"/>
      <w:pPr>
        <w:ind w:left="1080" w:hanging="360"/>
      </w:pPr>
      <w:rPr>
        <w:rFonts w:ascii="Symbol" w:hAnsi="Symbol"/>
      </w:rPr>
    </w:lvl>
    <w:lvl w:ilvl="4" w:tplc="03C60C7E">
      <w:start w:val="1"/>
      <w:numFmt w:val="bullet"/>
      <w:lvlText w:val=""/>
      <w:lvlJc w:val="left"/>
      <w:pPr>
        <w:ind w:left="1080" w:hanging="360"/>
      </w:pPr>
      <w:rPr>
        <w:rFonts w:ascii="Symbol" w:hAnsi="Symbol"/>
      </w:rPr>
    </w:lvl>
    <w:lvl w:ilvl="5" w:tplc="7BCCDC7A">
      <w:start w:val="1"/>
      <w:numFmt w:val="bullet"/>
      <w:lvlText w:val=""/>
      <w:lvlJc w:val="left"/>
      <w:pPr>
        <w:ind w:left="1080" w:hanging="360"/>
      </w:pPr>
      <w:rPr>
        <w:rFonts w:ascii="Symbol" w:hAnsi="Symbol"/>
      </w:rPr>
    </w:lvl>
    <w:lvl w:ilvl="6" w:tplc="DD2C6B04">
      <w:start w:val="1"/>
      <w:numFmt w:val="bullet"/>
      <w:lvlText w:val=""/>
      <w:lvlJc w:val="left"/>
      <w:pPr>
        <w:ind w:left="1080" w:hanging="360"/>
      </w:pPr>
      <w:rPr>
        <w:rFonts w:ascii="Symbol" w:hAnsi="Symbol"/>
      </w:rPr>
    </w:lvl>
    <w:lvl w:ilvl="7" w:tplc="092056AE">
      <w:start w:val="1"/>
      <w:numFmt w:val="bullet"/>
      <w:lvlText w:val=""/>
      <w:lvlJc w:val="left"/>
      <w:pPr>
        <w:ind w:left="1080" w:hanging="360"/>
      </w:pPr>
      <w:rPr>
        <w:rFonts w:ascii="Symbol" w:hAnsi="Symbol"/>
      </w:rPr>
    </w:lvl>
    <w:lvl w:ilvl="8" w:tplc="EA4A9DE8">
      <w:start w:val="1"/>
      <w:numFmt w:val="bullet"/>
      <w:lvlText w:val=""/>
      <w:lvlJc w:val="left"/>
      <w:pPr>
        <w:ind w:left="1080" w:hanging="360"/>
      </w:pPr>
      <w:rPr>
        <w:rFonts w:ascii="Symbol" w:hAnsi="Symbol"/>
      </w:rPr>
    </w:lvl>
  </w:abstractNum>
  <w:abstractNum w:abstractNumId="7" w15:restartNumberingAfterBreak="0">
    <w:nsid w:val="26A53935"/>
    <w:multiLevelType w:val="hybridMultilevel"/>
    <w:tmpl w:val="8B40840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B51AD2"/>
    <w:multiLevelType w:val="hybridMultilevel"/>
    <w:tmpl w:val="4522BEC0"/>
    <w:lvl w:ilvl="0" w:tplc="4A82CFBC">
      <w:start w:val="1"/>
      <w:numFmt w:val="decimal"/>
      <w:lvlText w:val="%1."/>
      <w:lvlJc w:val="left"/>
      <w:pPr>
        <w:ind w:left="1020" w:hanging="360"/>
      </w:pPr>
    </w:lvl>
    <w:lvl w:ilvl="1" w:tplc="11DEDAEA">
      <w:start w:val="1"/>
      <w:numFmt w:val="decimal"/>
      <w:lvlText w:val="%2."/>
      <w:lvlJc w:val="left"/>
      <w:pPr>
        <w:ind w:left="1020" w:hanging="360"/>
      </w:pPr>
    </w:lvl>
    <w:lvl w:ilvl="2" w:tplc="019E8D1C">
      <w:start w:val="1"/>
      <w:numFmt w:val="decimal"/>
      <w:lvlText w:val="%3."/>
      <w:lvlJc w:val="left"/>
      <w:pPr>
        <w:ind w:left="1020" w:hanging="360"/>
      </w:pPr>
    </w:lvl>
    <w:lvl w:ilvl="3" w:tplc="FD3CB144">
      <w:start w:val="1"/>
      <w:numFmt w:val="decimal"/>
      <w:lvlText w:val="%4."/>
      <w:lvlJc w:val="left"/>
      <w:pPr>
        <w:ind w:left="1020" w:hanging="360"/>
      </w:pPr>
    </w:lvl>
    <w:lvl w:ilvl="4" w:tplc="EDA8CD70">
      <w:start w:val="1"/>
      <w:numFmt w:val="decimal"/>
      <w:lvlText w:val="%5."/>
      <w:lvlJc w:val="left"/>
      <w:pPr>
        <w:ind w:left="1020" w:hanging="360"/>
      </w:pPr>
    </w:lvl>
    <w:lvl w:ilvl="5" w:tplc="00FE7D82">
      <w:start w:val="1"/>
      <w:numFmt w:val="decimal"/>
      <w:lvlText w:val="%6."/>
      <w:lvlJc w:val="left"/>
      <w:pPr>
        <w:ind w:left="1020" w:hanging="360"/>
      </w:pPr>
    </w:lvl>
    <w:lvl w:ilvl="6" w:tplc="62A83794">
      <w:start w:val="1"/>
      <w:numFmt w:val="decimal"/>
      <w:lvlText w:val="%7."/>
      <w:lvlJc w:val="left"/>
      <w:pPr>
        <w:ind w:left="1020" w:hanging="360"/>
      </w:pPr>
    </w:lvl>
    <w:lvl w:ilvl="7" w:tplc="780CCA70">
      <w:start w:val="1"/>
      <w:numFmt w:val="decimal"/>
      <w:lvlText w:val="%8."/>
      <w:lvlJc w:val="left"/>
      <w:pPr>
        <w:ind w:left="1020" w:hanging="360"/>
      </w:pPr>
    </w:lvl>
    <w:lvl w:ilvl="8" w:tplc="AF7811D8">
      <w:start w:val="1"/>
      <w:numFmt w:val="decimal"/>
      <w:lvlText w:val="%9."/>
      <w:lvlJc w:val="left"/>
      <w:pPr>
        <w:ind w:left="1020" w:hanging="360"/>
      </w:pPr>
    </w:lvl>
  </w:abstractNum>
  <w:abstractNum w:abstractNumId="9" w15:restartNumberingAfterBreak="0">
    <w:nsid w:val="471A7491"/>
    <w:multiLevelType w:val="hybridMultilevel"/>
    <w:tmpl w:val="68DE714C"/>
    <w:lvl w:ilvl="0" w:tplc="F022C9B6">
      <w:start w:val="1"/>
      <w:numFmt w:val="decimal"/>
      <w:lvlText w:val="%1)"/>
      <w:lvlJc w:val="left"/>
      <w:pPr>
        <w:ind w:left="1020" w:hanging="360"/>
      </w:pPr>
    </w:lvl>
    <w:lvl w:ilvl="1" w:tplc="D8BC4462">
      <w:start w:val="1"/>
      <w:numFmt w:val="decimal"/>
      <w:lvlText w:val="%2)"/>
      <w:lvlJc w:val="left"/>
      <w:pPr>
        <w:ind w:left="1020" w:hanging="360"/>
      </w:pPr>
    </w:lvl>
    <w:lvl w:ilvl="2" w:tplc="B6C8BE62">
      <w:start w:val="1"/>
      <w:numFmt w:val="decimal"/>
      <w:lvlText w:val="%3)"/>
      <w:lvlJc w:val="left"/>
      <w:pPr>
        <w:ind w:left="1020" w:hanging="360"/>
      </w:pPr>
    </w:lvl>
    <w:lvl w:ilvl="3" w:tplc="57467072">
      <w:start w:val="1"/>
      <w:numFmt w:val="decimal"/>
      <w:lvlText w:val="%4)"/>
      <w:lvlJc w:val="left"/>
      <w:pPr>
        <w:ind w:left="1020" w:hanging="360"/>
      </w:pPr>
    </w:lvl>
    <w:lvl w:ilvl="4" w:tplc="3E4AF4BC">
      <w:start w:val="1"/>
      <w:numFmt w:val="decimal"/>
      <w:lvlText w:val="%5)"/>
      <w:lvlJc w:val="left"/>
      <w:pPr>
        <w:ind w:left="1020" w:hanging="360"/>
      </w:pPr>
    </w:lvl>
    <w:lvl w:ilvl="5" w:tplc="8E4EC000">
      <w:start w:val="1"/>
      <w:numFmt w:val="decimal"/>
      <w:lvlText w:val="%6)"/>
      <w:lvlJc w:val="left"/>
      <w:pPr>
        <w:ind w:left="1020" w:hanging="360"/>
      </w:pPr>
    </w:lvl>
    <w:lvl w:ilvl="6" w:tplc="63B4726C">
      <w:start w:val="1"/>
      <w:numFmt w:val="decimal"/>
      <w:lvlText w:val="%7)"/>
      <w:lvlJc w:val="left"/>
      <w:pPr>
        <w:ind w:left="1020" w:hanging="360"/>
      </w:pPr>
    </w:lvl>
    <w:lvl w:ilvl="7" w:tplc="0C0EC214">
      <w:start w:val="1"/>
      <w:numFmt w:val="decimal"/>
      <w:lvlText w:val="%8)"/>
      <w:lvlJc w:val="left"/>
      <w:pPr>
        <w:ind w:left="1020" w:hanging="360"/>
      </w:pPr>
    </w:lvl>
    <w:lvl w:ilvl="8" w:tplc="121E89CE">
      <w:start w:val="1"/>
      <w:numFmt w:val="decimal"/>
      <w:lvlText w:val="%9)"/>
      <w:lvlJc w:val="left"/>
      <w:pPr>
        <w:ind w:left="1020" w:hanging="360"/>
      </w:pPr>
    </w:lvl>
  </w:abstractNum>
  <w:abstractNum w:abstractNumId="10" w15:restartNumberingAfterBreak="0">
    <w:nsid w:val="4D226186"/>
    <w:multiLevelType w:val="hybridMultilevel"/>
    <w:tmpl w:val="2EE67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4F6EC2"/>
    <w:multiLevelType w:val="hybridMultilevel"/>
    <w:tmpl w:val="501825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B243FB"/>
    <w:multiLevelType w:val="hybridMultilevel"/>
    <w:tmpl w:val="A66E6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19624B"/>
    <w:multiLevelType w:val="hybridMultilevel"/>
    <w:tmpl w:val="568CB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64944DE"/>
    <w:multiLevelType w:val="hybridMultilevel"/>
    <w:tmpl w:val="9C001134"/>
    <w:lvl w:ilvl="0" w:tplc="3D32033E">
      <w:start w:val="1"/>
      <w:numFmt w:val="bullet"/>
      <w:lvlText w:val=""/>
      <w:lvlJc w:val="left"/>
      <w:pPr>
        <w:ind w:left="1080" w:hanging="360"/>
      </w:pPr>
      <w:rPr>
        <w:rFonts w:ascii="Symbol" w:hAnsi="Symbol"/>
      </w:rPr>
    </w:lvl>
    <w:lvl w:ilvl="1" w:tplc="D892E2A6">
      <w:start w:val="1"/>
      <w:numFmt w:val="bullet"/>
      <w:lvlText w:val=""/>
      <w:lvlJc w:val="left"/>
      <w:pPr>
        <w:ind w:left="1080" w:hanging="360"/>
      </w:pPr>
      <w:rPr>
        <w:rFonts w:ascii="Symbol" w:hAnsi="Symbol"/>
      </w:rPr>
    </w:lvl>
    <w:lvl w:ilvl="2" w:tplc="8968F02A">
      <w:start w:val="1"/>
      <w:numFmt w:val="bullet"/>
      <w:lvlText w:val=""/>
      <w:lvlJc w:val="left"/>
      <w:pPr>
        <w:ind w:left="1080" w:hanging="360"/>
      </w:pPr>
      <w:rPr>
        <w:rFonts w:ascii="Symbol" w:hAnsi="Symbol"/>
      </w:rPr>
    </w:lvl>
    <w:lvl w:ilvl="3" w:tplc="45809F22">
      <w:start w:val="1"/>
      <w:numFmt w:val="bullet"/>
      <w:lvlText w:val=""/>
      <w:lvlJc w:val="left"/>
      <w:pPr>
        <w:ind w:left="1080" w:hanging="360"/>
      </w:pPr>
      <w:rPr>
        <w:rFonts w:ascii="Symbol" w:hAnsi="Symbol"/>
      </w:rPr>
    </w:lvl>
    <w:lvl w:ilvl="4" w:tplc="83106602">
      <w:start w:val="1"/>
      <w:numFmt w:val="bullet"/>
      <w:lvlText w:val=""/>
      <w:lvlJc w:val="left"/>
      <w:pPr>
        <w:ind w:left="1080" w:hanging="360"/>
      </w:pPr>
      <w:rPr>
        <w:rFonts w:ascii="Symbol" w:hAnsi="Symbol"/>
      </w:rPr>
    </w:lvl>
    <w:lvl w:ilvl="5" w:tplc="C3CE4882">
      <w:start w:val="1"/>
      <w:numFmt w:val="bullet"/>
      <w:lvlText w:val=""/>
      <w:lvlJc w:val="left"/>
      <w:pPr>
        <w:ind w:left="1080" w:hanging="360"/>
      </w:pPr>
      <w:rPr>
        <w:rFonts w:ascii="Symbol" w:hAnsi="Symbol"/>
      </w:rPr>
    </w:lvl>
    <w:lvl w:ilvl="6" w:tplc="15A0F2D0">
      <w:start w:val="1"/>
      <w:numFmt w:val="bullet"/>
      <w:lvlText w:val=""/>
      <w:lvlJc w:val="left"/>
      <w:pPr>
        <w:ind w:left="1080" w:hanging="360"/>
      </w:pPr>
      <w:rPr>
        <w:rFonts w:ascii="Symbol" w:hAnsi="Symbol"/>
      </w:rPr>
    </w:lvl>
    <w:lvl w:ilvl="7" w:tplc="D1F0A37C">
      <w:start w:val="1"/>
      <w:numFmt w:val="bullet"/>
      <w:lvlText w:val=""/>
      <w:lvlJc w:val="left"/>
      <w:pPr>
        <w:ind w:left="1080" w:hanging="360"/>
      </w:pPr>
      <w:rPr>
        <w:rFonts w:ascii="Symbol" w:hAnsi="Symbol"/>
      </w:rPr>
    </w:lvl>
    <w:lvl w:ilvl="8" w:tplc="3962F430">
      <w:start w:val="1"/>
      <w:numFmt w:val="bullet"/>
      <w:lvlText w:val=""/>
      <w:lvlJc w:val="left"/>
      <w:pPr>
        <w:ind w:left="1080" w:hanging="360"/>
      </w:pPr>
      <w:rPr>
        <w:rFonts w:ascii="Symbol" w:hAnsi="Symbol"/>
      </w:rPr>
    </w:lvl>
  </w:abstractNum>
  <w:abstractNum w:abstractNumId="15" w15:restartNumberingAfterBreak="0">
    <w:nsid w:val="745A64B3"/>
    <w:multiLevelType w:val="hybridMultilevel"/>
    <w:tmpl w:val="8B40840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E723843"/>
    <w:multiLevelType w:val="hybridMultilevel"/>
    <w:tmpl w:val="8B408404"/>
    <w:lvl w:ilvl="0" w:tplc="D9702E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432037">
    <w:abstractNumId w:val="10"/>
  </w:num>
  <w:num w:numId="2" w16cid:durableId="1548909683">
    <w:abstractNumId w:val="4"/>
  </w:num>
  <w:num w:numId="3" w16cid:durableId="1637102740">
    <w:abstractNumId w:val="13"/>
  </w:num>
  <w:num w:numId="4" w16cid:durableId="59791875">
    <w:abstractNumId w:val="2"/>
  </w:num>
  <w:num w:numId="5" w16cid:durableId="1102529499">
    <w:abstractNumId w:val="12"/>
  </w:num>
  <w:num w:numId="6" w16cid:durableId="399211513">
    <w:abstractNumId w:val="1"/>
  </w:num>
  <w:num w:numId="7" w16cid:durableId="1049844213">
    <w:abstractNumId w:val="11"/>
  </w:num>
  <w:num w:numId="8" w16cid:durableId="2007396246">
    <w:abstractNumId w:val="0"/>
  </w:num>
  <w:num w:numId="9" w16cid:durableId="1152793074">
    <w:abstractNumId w:val="3"/>
  </w:num>
  <w:num w:numId="10" w16cid:durableId="1590385308">
    <w:abstractNumId w:val="16"/>
  </w:num>
  <w:num w:numId="11" w16cid:durableId="146823771">
    <w:abstractNumId w:val="9"/>
  </w:num>
  <w:num w:numId="12" w16cid:durableId="2025671547">
    <w:abstractNumId w:val="15"/>
  </w:num>
  <w:num w:numId="13" w16cid:durableId="1959021514">
    <w:abstractNumId w:val="7"/>
  </w:num>
  <w:num w:numId="14" w16cid:durableId="1022130135">
    <w:abstractNumId w:val="14"/>
  </w:num>
  <w:num w:numId="15" w16cid:durableId="963270655">
    <w:abstractNumId w:val="6"/>
  </w:num>
  <w:num w:numId="16" w16cid:durableId="1947737201">
    <w:abstractNumId w:val="8"/>
  </w:num>
  <w:num w:numId="17" w16cid:durableId="711075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ccounting Review Copy&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00ppf5vbz2zw4efraqp9recxrvdwwtasszf&quot;&gt;Andrey&lt;record-ids&gt;&lt;item&gt;113&lt;/item&gt;&lt;item&gt;117&lt;/item&gt;&lt;item&gt;126&lt;/item&gt;&lt;item&gt;132&lt;/item&gt;&lt;item&gt;145&lt;/item&gt;&lt;item&gt;146&lt;/item&gt;&lt;item&gt;214&lt;/item&gt;&lt;item&gt;235&lt;/item&gt;&lt;item&gt;333&lt;/item&gt;&lt;item&gt;412&lt;/item&gt;&lt;item&gt;416&lt;/item&gt;&lt;item&gt;500&lt;/item&gt;&lt;item&gt;526&lt;/item&gt;&lt;item&gt;538&lt;/item&gt;&lt;item&gt;562&lt;/item&gt;&lt;item&gt;564&lt;/item&gt;&lt;item&gt;611&lt;/item&gt;&lt;item&gt;726&lt;/item&gt;&lt;item&gt;765&lt;/item&gt;&lt;item&gt;769&lt;/item&gt;&lt;item&gt;812&lt;/item&gt;&lt;item&gt;814&lt;/item&gt;&lt;item&gt;829&lt;/item&gt;&lt;item&gt;969&lt;/item&gt;&lt;item&gt;981&lt;/item&gt;&lt;item&gt;1061&lt;/item&gt;&lt;item&gt;1131&lt;/item&gt;&lt;item&gt;1154&lt;/item&gt;&lt;item&gt;1168&lt;/item&gt;&lt;item&gt;1217&lt;/item&gt;&lt;item&gt;1373&lt;/item&gt;&lt;item&gt;1411&lt;/item&gt;&lt;item&gt;1468&lt;/item&gt;&lt;item&gt;1493&lt;/item&gt;&lt;item&gt;1497&lt;/item&gt;&lt;item&gt;1527&lt;/item&gt;&lt;item&gt;1647&lt;/item&gt;&lt;item&gt;1648&lt;/item&gt;&lt;item&gt;1797&lt;/item&gt;&lt;item&gt;1798&lt;/item&gt;&lt;item&gt;1799&lt;/item&gt;&lt;item&gt;1800&lt;/item&gt;&lt;item&gt;1801&lt;/item&gt;&lt;item&gt;1802&lt;/item&gt;&lt;item&gt;1803&lt;/item&gt;&lt;item&gt;1805&lt;/item&gt;&lt;item&gt;1806&lt;/item&gt;&lt;item&gt;1812&lt;/item&gt;&lt;item&gt;1814&lt;/item&gt;&lt;item&gt;1815&lt;/item&gt;&lt;item&gt;1816&lt;/item&gt;&lt;item&gt;1818&lt;/item&gt;&lt;item&gt;1819&lt;/item&gt;&lt;item&gt;1820&lt;/item&gt;&lt;item&gt;1821&lt;/item&gt;&lt;item&gt;1822&lt;/item&gt;&lt;item&gt;1862&lt;/item&gt;&lt;item&gt;1863&lt;/item&gt;&lt;item&gt;1864&lt;/item&gt;&lt;item&gt;1867&lt;/item&gt;&lt;item&gt;1869&lt;/item&gt;&lt;item&gt;1870&lt;/item&gt;&lt;item&gt;1872&lt;/item&gt;&lt;item&gt;1873&lt;/item&gt;&lt;item&gt;1877&lt;/item&gt;&lt;/record-ids&gt;&lt;/item&gt;&lt;/Libraries&gt;"/>
  </w:docVars>
  <w:rsids>
    <w:rsidRoot w:val="009715AA"/>
    <w:rsid w:val="000011A2"/>
    <w:rsid w:val="00001225"/>
    <w:rsid w:val="00001BE8"/>
    <w:rsid w:val="00002206"/>
    <w:rsid w:val="00002654"/>
    <w:rsid w:val="00002AD8"/>
    <w:rsid w:val="00003096"/>
    <w:rsid w:val="00004551"/>
    <w:rsid w:val="0000489B"/>
    <w:rsid w:val="00004EBE"/>
    <w:rsid w:val="00005187"/>
    <w:rsid w:val="000058C5"/>
    <w:rsid w:val="000061A8"/>
    <w:rsid w:val="00006545"/>
    <w:rsid w:val="00006C44"/>
    <w:rsid w:val="00006EF8"/>
    <w:rsid w:val="00007510"/>
    <w:rsid w:val="0000765A"/>
    <w:rsid w:val="00007D11"/>
    <w:rsid w:val="00007E9C"/>
    <w:rsid w:val="00007ED7"/>
    <w:rsid w:val="0001096D"/>
    <w:rsid w:val="00010AE9"/>
    <w:rsid w:val="00010CF5"/>
    <w:rsid w:val="00011462"/>
    <w:rsid w:val="00011734"/>
    <w:rsid w:val="000118B6"/>
    <w:rsid w:val="00011FA0"/>
    <w:rsid w:val="00012153"/>
    <w:rsid w:val="0001233B"/>
    <w:rsid w:val="00012AA3"/>
    <w:rsid w:val="00012C60"/>
    <w:rsid w:val="00012EBC"/>
    <w:rsid w:val="0001306D"/>
    <w:rsid w:val="00013610"/>
    <w:rsid w:val="00013BC7"/>
    <w:rsid w:val="00013C6E"/>
    <w:rsid w:val="00014015"/>
    <w:rsid w:val="00014325"/>
    <w:rsid w:val="00014623"/>
    <w:rsid w:val="0001493A"/>
    <w:rsid w:val="00014A4C"/>
    <w:rsid w:val="00014FBF"/>
    <w:rsid w:val="000151BB"/>
    <w:rsid w:val="000156C2"/>
    <w:rsid w:val="000156F2"/>
    <w:rsid w:val="000158CB"/>
    <w:rsid w:val="00015BAA"/>
    <w:rsid w:val="00015CEA"/>
    <w:rsid w:val="00015DC8"/>
    <w:rsid w:val="00015E26"/>
    <w:rsid w:val="00015E92"/>
    <w:rsid w:val="00015F3E"/>
    <w:rsid w:val="00016114"/>
    <w:rsid w:val="00016661"/>
    <w:rsid w:val="0001721B"/>
    <w:rsid w:val="000177ED"/>
    <w:rsid w:val="00017921"/>
    <w:rsid w:val="00017D73"/>
    <w:rsid w:val="00017E90"/>
    <w:rsid w:val="000204EC"/>
    <w:rsid w:val="00020727"/>
    <w:rsid w:val="00020905"/>
    <w:rsid w:val="00020920"/>
    <w:rsid w:val="00020CE8"/>
    <w:rsid w:val="0002141F"/>
    <w:rsid w:val="000218F4"/>
    <w:rsid w:val="00021B9C"/>
    <w:rsid w:val="00021BE6"/>
    <w:rsid w:val="00021FB5"/>
    <w:rsid w:val="000223D4"/>
    <w:rsid w:val="000223FF"/>
    <w:rsid w:val="00022BA9"/>
    <w:rsid w:val="00022D07"/>
    <w:rsid w:val="00023386"/>
    <w:rsid w:val="000239F2"/>
    <w:rsid w:val="00023FD6"/>
    <w:rsid w:val="00024938"/>
    <w:rsid w:val="00025B2F"/>
    <w:rsid w:val="00025BAF"/>
    <w:rsid w:val="0002609D"/>
    <w:rsid w:val="000262A2"/>
    <w:rsid w:val="000266AD"/>
    <w:rsid w:val="0002678D"/>
    <w:rsid w:val="00026D1D"/>
    <w:rsid w:val="00026D6B"/>
    <w:rsid w:val="00027A9C"/>
    <w:rsid w:val="00027B08"/>
    <w:rsid w:val="00027D15"/>
    <w:rsid w:val="00030230"/>
    <w:rsid w:val="00030764"/>
    <w:rsid w:val="00030AEF"/>
    <w:rsid w:val="00030E43"/>
    <w:rsid w:val="00031428"/>
    <w:rsid w:val="00031898"/>
    <w:rsid w:val="00032322"/>
    <w:rsid w:val="000328D3"/>
    <w:rsid w:val="00032958"/>
    <w:rsid w:val="00032C4A"/>
    <w:rsid w:val="00032DFE"/>
    <w:rsid w:val="0003344E"/>
    <w:rsid w:val="000335EF"/>
    <w:rsid w:val="00033749"/>
    <w:rsid w:val="00033C2C"/>
    <w:rsid w:val="00034894"/>
    <w:rsid w:val="000350BC"/>
    <w:rsid w:val="00035303"/>
    <w:rsid w:val="000358D9"/>
    <w:rsid w:val="00036292"/>
    <w:rsid w:val="00036F4A"/>
    <w:rsid w:val="000379E4"/>
    <w:rsid w:val="000402E9"/>
    <w:rsid w:val="00040433"/>
    <w:rsid w:val="00040798"/>
    <w:rsid w:val="000410B8"/>
    <w:rsid w:val="000412ED"/>
    <w:rsid w:val="000413F9"/>
    <w:rsid w:val="000418A0"/>
    <w:rsid w:val="00041ED1"/>
    <w:rsid w:val="00042611"/>
    <w:rsid w:val="0004263F"/>
    <w:rsid w:val="000426C2"/>
    <w:rsid w:val="00042756"/>
    <w:rsid w:val="00042913"/>
    <w:rsid w:val="00042B70"/>
    <w:rsid w:val="00042CE4"/>
    <w:rsid w:val="00043244"/>
    <w:rsid w:val="00043918"/>
    <w:rsid w:val="00043B9A"/>
    <w:rsid w:val="00043CFB"/>
    <w:rsid w:val="00043F19"/>
    <w:rsid w:val="000442A7"/>
    <w:rsid w:val="000450CA"/>
    <w:rsid w:val="00045E7F"/>
    <w:rsid w:val="000460F3"/>
    <w:rsid w:val="000463FB"/>
    <w:rsid w:val="0004645E"/>
    <w:rsid w:val="000468F1"/>
    <w:rsid w:val="00046941"/>
    <w:rsid w:val="00047111"/>
    <w:rsid w:val="0004776F"/>
    <w:rsid w:val="000477C6"/>
    <w:rsid w:val="00047E1E"/>
    <w:rsid w:val="00050FE3"/>
    <w:rsid w:val="00051613"/>
    <w:rsid w:val="00051700"/>
    <w:rsid w:val="0005244C"/>
    <w:rsid w:val="000526FE"/>
    <w:rsid w:val="000527DE"/>
    <w:rsid w:val="00052A73"/>
    <w:rsid w:val="00053D60"/>
    <w:rsid w:val="0005431C"/>
    <w:rsid w:val="00054A58"/>
    <w:rsid w:val="00054F76"/>
    <w:rsid w:val="00055271"/>
    <w:rsid w:val="00055442"/>
    <w:rsid w:val="000554E5"/>
    <w:rsid w:val="000557B1"/>
    <w:rsid w:val="000557CC"/>
    <w:rsid w:val="000558B8"/>
    <w:rsid w:val="00055BC5"/>
    <w:rsid w:val="00055C31"/>
    <w:rsid w:val="000561C2"/>
    <w:rsid w:val="000561C8"/>
    <w:rsid w:val="000565C0"/>
    <w:rsid w:val="00056629"/>
    <w:rsid w:val="000566E8"/>
    <w:rsid w:val="0005675B"/>
    <w:rsid w:val="000574D3"/>
    <w:rsid w:val="000578A3"/>
    <w:rsid w:val="000602E4"/>
    <w:rsid w:val="00060673"/>
    <w:rsid w:val="00060D49"/>
    <w:rsid w:val="00060D63"/>
    <w:rsid w:val="0006103A"/>
    <w:rsid w:val="000612D8"/>
    <w:rsid w:val="00061C28"/>
    <w:rsid w:val="00062134"/>
    <w:rsid w:val="000621B8"/>
    <w:rsid w:val="00063422"/>
    <w:rsid w:val="00063490"/>
    <w:rsid w:val="00063581"/>
    <w:rsid w:val="0006389F"/>
    <w:rsid w:val="00063C3D"/>
    <w:rsid w:val="00063FFB"/>
    <w:rsid w:val="00064255"/>
    <w:rsid w:val="00064270"/>
    <w:rsid w:val="0006498A"/>
    <w:rsid w:val="00064B11"/>
    <w:rsid w:val="00064E67"/>
    <w:rsid w:val="00065108"/>
    <w:rsid w:val="00065541"/>
    <w:rsid w:val="00065B28"/>
    <w:rsid w:val="00065C3A"/>
    <w:rsid w:val="000660BC"/>
    <w:rsid w:val="00066623"/>
    <w:rsid w:val="00066D45"/>
    <w:rsid w:val="00066D7D"/>
    <w:rsid w:val="00067054"/>
    <w:rsid w:val="000675C8"/>
    <w:rsid w:val="00067D70"/>
    <w:rsid w:val="00067DCC"/>
    <w:rsid w:val="0007005B"/>
    <w:rsid w:val="0007014E"/>
    <w:rsid w:val="0007017D"/>
    <w:rsid w:val="000702FC"/>
    <w:rsid w:val="000705BC"/>
    <w:rsid w:val="00070C76"/>
    <w:rsid w:val="0007172E"/>
    <w:rsid w:val="00071CCE"/>
    <w:rsid w:val="0007230B"/>
    <w:rsid w:val="00072E7A"/>
    <w:rsid w:val="00072F0A"/>
    <w:rsid w:val="000730A2"/>
    <w:rsid w:val="00073A55"/>
    <w:rsid w:val="00073B01"/>
    <w:rsid w:val="00073D08"/>
    <w:rsid w:val="00073E3B"/>
    <w:rsid w:val="00074125"/>
    <w:rsid w:val="00074A32"/>
    <w:rsid w:val="00074B02"/>
    <w:rsid w:val="00074DDC"/>
    <w:rsid w:val="00074F9A"/>
    <w:rsid w:val="00074FE8"/>
    <w:rsid w:val="000760A3"/>
    <w:rsid w:val="0007660F"/>
    <w:rsid w:val="00076DC6"/>
    <w:rsid w:val="00077222"/>
    <w:rsid w:val="000776F1"/>
    <w:rsid w:val="00077CE2"/>
    <w:rsid w:val="0008011B"/>
    <w:rsid w:val="00080A64"/>
    <w:rsid w:val="00080D33"/>
    <w:rsid w:val="00081A16"/>
    <w:rsid w:val="00081D90"/>
    <w:rsid w:val="00081E6F"/>
    <w:rsid w:val="00082183"/>
    <w:rsid w:val="0008222C"/>
    <w:rsid w:val="0008223B"/>
    <w:rsid w:val="000824F4"/>
    <w:rsid w:val="0008262A"/>
    <w:rsid w:val="000827E3"/>
    <w:rsid w:val="00083B3F"/>
    <w:rsid w:val="00083CC6"/>
    <w:rsid w:val="00083E99"/>
    <w:rsid w:val="00084297"/>
    <w:rsid w:val="00084FC8"/>
    <w:rsid w:val="000851DE"/>
    <w:rsid w:val="0008571C"/>
    <w:rsid w:val="00085DF3"/>
    <w:rsid w:val="000865CF"/>
    <w:rsid w:val="000865F6"/>
    <w:rsid w:val="0008758D"/>
    <w:rsid w:val="00087669"/>
    <w:rsid w:val="00087803"/>
    <w:rsid w:val="00087955"/>
    <w:rsid w:val="000904CA"/>
    <w:rsid w:val="0009068F"/>
    <w:rsid w:val="00091295"/>
    <w:rsid w:val="0009163D"/>
    <w:rsid w:val="00091A96"/>
    <w:rsid w:val="00091D1F"/>
    <w:rsid w:val="000925EB"/>
    <w:rsid w:val="000928C5"/>
    <w:rsid w:val="000930E9"/>
    <w:rsid w:val="000938D2"/>
    <w:rsid w:val="00093B8D"/>
    <w:rsid w:val="00093D47"/>
    <w:rsid w:val="0009460C"/>
    <w:rsid w:val="000949EB"/>
    <w:rsid w:val="00094BC6"/>
    <w:rsid w:val="000950A0"/>
    <w:rsid w:val="000951DE"/>
    <w:rsid w:val="0009566E"/>
    <w:rsid w:val="00095D26"/>
    <w:rsid w:val="00096274"/>
    <w:rsid w:val="00096298"/>
    <w:rsid w:val="000964B0"/>
    <w:rsid w:val="00096B81"/>
    <w:rsid w:val="00096F3B"/>
    <w:rsid w:val="00097157"/>
    <w:rsid w:val="000977B1"/>
    <w:rsid w:val="000A00D9"/>
    <w:rsid w:val="000A03E5"/>
    <w:rsid w:val="000A0800"/>
    <w:rsid w:val="000A0CCE"/>
    <w:rsid w:val="000A0D8A"/>
    <w:rsid w:val="000A0EF2"/>
    <w:rsid w:val="000A12A4"/>
    <w:rsid w:val="000A1683"/>
    <w:rsid w:val="000A197A"/>
    <w:rsid w:val="000A1CE1"/>
    <w:rsid w:val="000A2D2A"/>
    <w:rsid w:val="000A38D8"/>
    <w:rsid w:val="000A3AA2"/>
    <w:rsid w:val="000A435B"/>
    <w:rsid w:val="000A43CC"/>
    <w:rsid w:val="000A483E"/>
    <w:rsid w:val="000A6215"/>
    <w:rsid w:val="000A7185"/>
    <w:rsid w:val="000A795C"/>
    <w:rsid w:val="000A7FE4"/>
    <w:rsid w:val="000B00A0"/>
    <w:rsid w:val="000B0CBF"/>
    <w:rsid w:val="000B0E84"/>
    <w:rsid w:val="000B0EA6"/>
    <w:rsid w:val="000B0FB4"/>
    <w:rsid w:val="000B10D1"/>
    <w:rsid w:val="000B180F"/>
    <w:rsid w:val="000B23E7"/>
    <w:rsid w:val="000B252E"/>
    <w:rsid w:val="000B25E9"/>
    <w:rsid w:val="000B2F0B"/>
    <w:rsid w:val="000B2F73"/>
    <w:rsid w:val="000B33FE"/>
    <w:rsid w:val="000B3693"/>
    <w:rsid w:val="000B37E4"/>
    <w:rsid w:val="000B387B"/>
    <w:rsid w:val="000B3A1D"/>
    <w:rsid w:val="000B432D"/>
    <w:rsid w:val="000B50C8"/>
    <w:rsid w:val="000B592A"/>
    <w:rsid w:val="000B5BD6"/>
    <w:rsid w:val="000B604E"/>
    <w:rsid w:val="000B6378"/>
    <w:rsid w:val="000B65E2"/>
    <w:rsid w:val="000B73E7"/>
    <w:rsid w:val="000B7B23"/>
    <w:rsid w:val="000C066B"/>
    <w:rsid w:val="000C0CBF"/>
    <w:rsid w:val="000C0EB5"/>
    <w:rsid w:val="000C0F4C"/>
    <w:rsid w:val="000C1DBC"/>
    <w:rsid w:val="000C2089"/>
    <w:rsid w:val="000C2141"/>
    <w:rsid w:val="000C2756"/>
    <w:rsid w:val="000C2C03"/>
    <w:rsid w:val="000C3FBA"/>
    <w:rsid w:val="000C4EDE"/>
    <w:rsid w:val="000C547E"/>
    <w:rsid w:val="000C5484"/>
    <w:rsid w:val="000C5822"/>
    <w:rsid w:val="000C5B8E"/>
    <w:rsid w:val="000C5DCE"/>
    <w:rsid w:val="000C5F4C"/>
    <w:rsid w:val="000C6C33"/>
    <w:rsid w:val="000C6EED"/>
    <w:rsid w:val="000C7823"/>
    <w:rsid w:val="000C7BD4"/>
    <w:rsid w:val="000C7D80"/>
    <w:rsid w:val="000C7F41"/>
    <w:rsid w:val="000D0D74"/>
    <w:rsid w:val="000D110E"/>
    <w:rsid w:val="000D190B"/>
    <w:rsid w:val="000D1E84"/>
    <w:rsid w:val="000D2BBF"/>
    <w:rsid w:val="000D34B4"/>
    <w:rsid w:val="000D3E3E"/>
    <w:rsid w:val="000D4259"/>
    <w:rsid w:val="000D4642"/>
    <w:rsid w:val="000D4C30"/>
    <w:rsid w:val="000D4D58"/>
    <w:rsid w:val="000D508B"/>
    <w:rsid w:val="000D5447"/>
    <w:rsid w:val="000D5B66"/>
    <w:rsid w:val="000D6133"/>
    <w:rsid w:val="000D62BF"/>
    <w:rsid w:val="000D683F"/>
    <w:rsid w:val="000D6A79"/>
    <w:rsid w:val="000D6CFE"/>
    <w:rsid w:val="000D6F6B"/>
    <w:rsid w:val="000D7057"/>
    <w:rsid w:val="000D731A"/>
    <w:rsid w:val="000D7601"/>
    <w:rsid w:val="000D7655"/>
    <w:rsid w:val="000E0011"/>
    <w:rsid w:val="000E04F8"/>
    <w:rsid w:val="000E0664"/>
    <w:rsid w:val="000E162A"/>
    <w:rsid w:val="000E23B8"/>
    <w:rsid w:val="000E24FC"/>
    <w:rsid w:val="000E27F1"/>
    <w:rsid w:val="000E2826"/>
    <w:rsid w:val="000E3640"/>
    <w:rsid w:val="000E39C8"/>
    <w:rsid w:val="000E3CA2"/>
    <w:rsid w:val="000E3CE6"/>
    <w:rsid w:val="000E3E09"/>
    <w:rsid w:val="000E3F99"/>
    <w:rsid w:val="000E3FB4"/>
    <w:rsid w:val="000E453E"/>
    <w:rsid w:val="000E459A"/>
    <w:rsid w:val="000E54D7"/>
    <w:rsid w:val="000E5766"/>
    <w:rsid w:val="000E5827"/>
    <w:rsid w:val="000E5A5F"/>
    <w:rsid w:val="000E63F2"/>
    <w:rsid w:val="000E6A44"/>
    <w:rsid w:val="000F030F"/>
    <w:rsid w:val="000F0336"/>
    <w:rsid w:val="000F04AC"/>
    <w:rsid w:val="000F17DF"/>
    <w:rsid w:val="000F1AA2"/>
    <w:rsid w:val="000F1E93"/>
    <w:rsid w:val="000F1F31"/>
    <w:rsid w:val="000F2471"/>
    <w:rsid w:val="000F26E2"/>
    <w:rsid w:val="000F2955"/>
    <w:rsid w:val="000F2A8F"/>
    <w:rsid w:val="000F2C1B"/>
    <w:rsid w:val="000F309C"/>
    <w:rsid w:val="000F324D"/>
    <w:rsid w:val="000F3524"/>
    <w:rsid w:val="000F3C2D"/>
    <w:rsid w:val="000F49B5"/>
    <w:rsid w:val="000F4A7A"/>
    <w:rsid w:val="000F4EFD"/>
    <w:rsid w:val="000F5328"/>
    <w:rsid w:val="000F5394"/>
    <w:rsid w:val="000F58B6"/>
    <w:rsid w:val="000F5ADB"/>
    <w:rsid w:val="000F5B63"/>
    <w:rsid w:val="000F5B8B"/>
    <w:rsid w:val="000F5C18"/>
    <w:rsid w:val="000F6047"/>
    <w:rsid w:val="000F625E"/>
    <w:rsid w:val="000F62F0"/>
    <w:rsid w:val="000F6B24"/>
    <w:rsid w:val="000F6E9D"/>
    <w:rsid w:val="000F6F27"/>
    <w:rsid w:val="000F6F40"/>
    <w:rsid w:val="000F738B"/>
    <w:rsid w:val="000F752A"/>
    <w:rsid w:val="000F75BF"/>
    <w:rsid w:val="000F7C5A"/>
    <w:rsid w:val="000F7F97"/>
    <w:rsid w:val="00100C45"/>
    <w:rsid w:val="001013E0"/>
    <w:rsid w:val="0010154E"/>
    <w:rsid w:val="00101AA1"/>
    <w:rsid w:val="00101F55"/>
    <w:rsid w:val="00102EB9"/>
    <w:rsid w:val="00102F05"/>
    <w:rsid w:val="00102F64"/>
    <w:rsid w:val="00103953"/>
    <w:rsid w:val="00103CB6"/>
    <w:rsid w:val="001045D2"/>
    <w:rsid w:val="00104C50"/>
    <w:rsid w:val="001054C7"/>
    <w:rsid w:val="001054CD"/>
    <w:rsid w:val="00105F16"/>
    <w:rsid w:val="00105F46"/>
    <w:rsid w:val="00106034"/>
    <w:rsid w:val="00106217"/>
    <w:rsid w:val="001067A4"/>
    <w:rsid w:val="001067B0"/>
    <w:rsid w:val="001071EE"/>
    <w:rsid w:val="001073A9"/>
    <w:rsid w:val="0010756C"/>
    <w:rsid w:val="00107816"/>
    <w:rsid w:val="00107EF3"/>
    <w:rsid w:val="0011259D"/>
    <w:rsid w:val="00112B5E"/>
    <w:rsid w:val="00113160"/>
    <w:rsid w:val="0011334E"/>
    <w:rsid w:val="00113540"/>
    <w:rsid w:val="0011389C"/>
    <w:rsid w:val="00113DA0"/>
    <w:rsid w:val="00113DC4"/>
    <w:rsid w:val="0011406A"/>
    <w:rsid w:val="00114E60"/>
    <w:rsid w:val="0011516C"/>
    <w:rsid w:val="001156AB"/>
    <w:rsid w:val="0011573D"/>
    <w:rsid w:val="001157FE"/>
    <w:rsid w:val="00115DC2"/>
    <w:rsid w:val="00116385"/>
    <w:rsid w:val="001166D0"/>
    <w:rsid w:val="00116AF7"/>
    <w:rsid w:val="00116B18"/>
    <w:rsid w:val="00116F0A"/>
    <w:rsid w:val="0011702B"/>
    <w:rsid w:val="001170E8"/>
    <w:rsid w:val="0011714D"/>
    <w:rsid w:val="00117D58"/>
    <w:rsid w:val="00117F2E"/>
    <w:rsid w:val="00120278"/>
    <w:rsid w:val="001208FB"/>
    <w:rsid w:val="00120A37"/>
    <w:rsid w:val="00120A89"/>
    <w:rsid w:val="00121F6B"/>
    <w:rsid w:val="00121F86"/>
    <w:rsid w:val="00122104"/>
    <w:rsid w:val="0012221D"/>
    <w:rsid w:val="001227CD"/>
    <w:rsid w:val="001228E9"/>
    <w:rsid w:val="0012295C"/>
    <w:rsid w:val="00122B4A"/>
    <w:rsid w:val="00122D74"/>
    <w:rsid w:val="00122DD7"/>
    <w:rsid w:val="00122E74"/>
    <w:rsid w:val="00123087"/>
    <w:rsid w:val="00124102"/>
    <w:rsid w:val="001241F8"/>
    <w:rsid w:val="0012448A"/>
    <w:rsid w:val="00124A39"/>
    <w:rsid w:val="00124C1A"/>
    <w:rsid w:val="00125773"/>
    <w:rsid w:val="001258A2"/>
    <w:rsid w:val="0012594D"/>
    <w:rsid w:val="00125DC9"/>
    <w:rsid w:val="00125F8A"/>
    <w:rsid w:val="0012602B"/>
    <w:rsid w:val="0012724F"/>
    <w:rsid w:val="0013053D"/>
    <w:rsid w:val="00130ABC"/>
    <w:rsid w:val="00130AFE"/>
    <w:rsid w:val="00130FF4"/>
    <w:rsid w:val="0013101D"/>
    <w:rsid w:val="00131339"/>
    <w:rsid w:val="001315A0"/>
    <w:rsid w:val="00131E2A"/>
    <w:rsid w:val="00131FD8"/>
    <w:rsid w:val="00132380"/>
    <w:rsid w:val="00132636"/>
    <w:rsid w:val="001328A4"/>
    <w:rsid w:val="00132B01"/>
    <w:rsid w:val="00132C13"/>
    <w:rsid w:val="00133810"/>
    <w:rsid w:val="00133C95"/>
    <w:rsid w:val="00134317"/>
    <w:rsid w:val="00134605"/>
    <w:rsid w:val="00134F30"/>
    <w:rsid w:val="00135336"/>
    <w:rsid w:val="0013568C"/>
    <w:rsid w:val="0013584B"/>
    <w:rsid w:val="00135C44"/>
    <w:rsid w:val="00135C4B"/>
    <w:rsid w:val="00135D1A"/>
    <w:rsid w:val="00135FD1"/>
    <w:rsid w:val="0013608E"/>
    <w:rsid w:val="00136162"/>
    <w:rsid w:val="001364C0"/>
    <w:rsid w:val="00136E27"/>
    <w:rsid w:val="00137502"/>
    <w:rsid w:val="00137B9C"/>
    <w:rsid w:val="00137E00"/>
    <w:rsid w:val="001402EC"/>
    <w:rsid w:val="0014089B"/>
    <w:rsid w:val="00140D77"/>
    <w:rsid w:val="001416A5"/>
    <w:rsid w:val="00141A1A"/>
    <w:rsid w:val="00141D63"/>
    <w:rsid w:val="00142259"/>
    <w:rsid w:val="0014274F"/>
    <w:rsid w:val="00142C72"/>
    <w:rsid w:val="0014323F"/>
    <w:rsid w:val="00143DFD"/>
    <w:rsid w:val="00144B0B"/>
    <w:rsid w:val="00144B59"/>
    <w:rsid w:val="00144DCE"/>
    <w:rsid w:val="0014537E"/>
    <w:rsid w:val="001456EE"/>
    <w:rsid w:val="0014570E"/>
    <w:rsid w:val="00146185"/>
    <w:rsid w:val="001461CE"/>
    <w:rsid w:val="0014692B"/>
    <w:rsid w:val="00146C7F"/>
    <w:rsid w:val="00146D73"/>
    <w:rsid w:val="00147270"/>
    <w:rsid w:val="00147944"/>
    <w:rsid w:val="001479D4"/>
    <w:rsid w:val="00147FCC"/>
    <w:rsid w:val="0015005C"/>
    <w:rsid w:val="00150210"/>
    <w:rsid w:val="001502B1"/>
    <w:rsid w:val="0015059B"/>
    <w:rsid w:val="0015089C"/>
    <w:rsid w:val="001511BE"/>
    <w:rsid w:val="00151440"/>
    <w:rsid w:val="0015148A"/>
    <w:rsid w:val="0015209E"/>
    <w:rsid w:val="00152291"/>
    <w:rsid w:val="00152680"/>
    <w:rsid w:val="001527F3"/>
    <w:rsid w:val="0015328E"/>
    <w:rsid w:val="0015343A"/>
    <w:rsid w:val="0015345A"/>
    <w:rsid w:val="0015360E"/>
    <w:rsid w:val="00153614"/>
    <w:rsid w:val="001536F3"/>
    <w:rsid w:val="00154165"/>
    <w:rsid w:val="00154388"/>
    <w:rsid w:val="00154BB2"/>
    <w:rsid w:val="00154F84"/>
    <w:rsid w:val="00155527"/>
    <w:rsid w:val="001557BC"/>
    <w:rsid w:val="00155C03"/>
    <w:rsid w:val="001561DE"/>
    <w:rsid w:val="00156408"/>
    <w:rsid w:val="0015649D"/>
    <w:rsid w:val="00156D72"/>
    <w:rsid w:val="00156DED"/>
    <w:rsid w:val="0015727D"/>
    <w:rsid w:val="001577F9"/>
    <w:rsid w:val="0016026C"/>
    <w:rsid w:val="00160FCD"/>
    <w:rsid w:val="00160FF7"/>
    <w:rsid w:val="0016151A"/>
    <w:rsid w:val="00161ACE"/>
    <w:rsid w:val="00161F7D"/>
    <w:rsid w:val="00162940"/>
    <w:rsid w:val="00162A12"/>
    <w:rsid w:val="00162C00"/>
    <w:rsid w:val="0016359E"/>
    <w:rsid w:val="00163672"/>
    <w:rsid w:val="00163EA5"/>
    <w:rsid w:val="0016427C"/>
    <w:rsid w:val="00164704"/>
    <w:rsid w:val="001647EA"/>
    <w:rsid w:val="001649A7"/>
    <w:rsid w:val="001653E2"/>
    <w:rsid w:val="00165598"/>
    <w:rsid w:val="00165BB5"/>
    <w:rsid w:val="00165F71"/>
    <w:rsid w:val="001660DF"/>
    <w:rsid w:val="00166321"/>
    <w:rsid w:val="001672AE"/>
    <w:rsid w:val="00167B00"/>
    <w:rsid w:val="001706F9"/>
    <w:rsid w:val="00170922"/>
    <w:rsid w:val="00170E4D"/>
    <w:rsid w:val="001715C1"/>
    <w:rsid w:val="00171775"/>
    <w:rsid w:val="00171CF0"/>
    <w:rsid w:val="00172090"/>
    <w:rsid w:val="00172989"/>
    <w:rsid w:val="001731B1"/>
    <w:rsid w:val="0017352B"/>
    <w:rsid w:val="001735C2"/>
    <w:rsid w:val="0017373E"/>
    <w:rsid w:val="00173A43"/>
    <w:rsid w:val="00174B98"/>
    <w:rsid w:val="00174C1E"/>
    <w:rsid w:val="00174EF6"/>
    <w:rsid w:val="00175059"/>
    <w:rsid w:val="001755FC"/>
    <w:rsid w:val="0017571A"/>
    <w:rsid w:val="00175C0D"/>
    <w:rsid w:val="00175C0F"/>
    <w:rsid w:val="00175D55"/>
    <w:rsid w:val="00175EE7"/>
    <w:rsid w:val="00176577"/>
    <w:rsid w:val="00176A7D"/>
    <w:rsid w:val="0017702D"/>
    <w:rsid w:val="00177292"/>
    <w:rsid w:val="001778E8"/>
    <w:rsid w:val="0018070E"/>
    <w:rsid w:val="00180789"/>
    <w:rsid w:val="00180C4C"/>
    <w:rsid w:val="00180C6E"/>
    <w:rsid w:val="00180EEC"/>
    <w:rsid w:val="001811D3"/>
    <w:rsid w:val="00181887"/>
    <w:rsid w:val="00182D2B"/>
    <w:rsid w:val="00182DA0"/>
    <w:rsid w:val="0018363C"/>
    <w:rsid w:val="00183B81"/>
    <w:rsid w:val="00184C46"/>
    <w:rsid w:val="00184F10"/>
    <w:rsid w:val="001857A1"/>
    <w:rsid w:val="001861D9"/>
    <w:rsid w:val="001863A0"/>
    <w:rsid w:val="00186620"/>
    <w:rsid w:val="00186763"/>
    <w:rsid w:val="0018677B"/>
    <w:rsid w:val="0018792A"/>
    <w:rsid w:val="00187D15"/>
    <w:rsid w:val="00187F56"/>
    <w:rsid w:val="00190178"/>
    <w:rsid w:val="00190275"/>
    <w:rsid w:val="00190454"/>
    <w:rsid w:val="00190537"/>
    <w:rsid w:val="00190AC9"/>
    <w:rsid w:val="00190AF6"/>
    <w:rsid w:val="00190B0A"/>
    <w:rsid w:val="00191069"/>
    <w:rsid w:val="00191139"/>
    <w:rsid w:val="00191280"/>
    <w:rsid w:val="001912A3"/>
    <w:rsid w:val="0019162F"/>
    <w:rsid w:val="00191D36"/>
    <w:rsid w:val="00192335"/>
    <w:rsid w:val="00192D83"/>
    <w:rsid w:val="001930C4"/>
    <w:rsid w:val="00193266"/>
    <w:rsid w:val="00193A4A"/>
    <w:rsid w:val="001943AB"/>
    <w:rsid w:val="00194427"/>
    <w:rsid w:val="001944AF"/>
    <w:rsid w:val="001944CD"/>
    <w:rsid w:val="001945EA"/>
    <w:rsid w:val="00194B3C"/>
    <w:rsid w:val="00195B67"/>
    <w:rsid w:val="00196913"/>
    <w:rsid w:val="00196CE1"/>
    <w:rsid w:val="00196D1D"/>
    <w:rsid w:val="001979A9"/>
    <w:rsid w:val="00197A4C"/>
    <w:rsid w:val="00197FE0"/>
    <w:rsid w:val="001A03D7"/>
    <w:rsid w:val="001A053F"/>
    <w:rsid w:val="001A0CDF"/>
    <w:rsid w:val="001A1831"/>
    <w:rsid w:val="001A217E"/>
    <w:rsid w:val="001A225D"/>
    <w:rsid w:val="001A29F6"/>
    <w:rsid w:val="001A3714"/>
    <w:rsid w:val="001A38A9"/>
    <w:rsid w:val="001A3FAB"/>
    <w:rsid w:val="001A4171"/>
    <w:rsid w:val="001A4E01"/>
    <w:rsid w:val="001A51CB"/>
    <w:rsid w:val="001A533F"/>
    <w:rsid w:val="001A5F89"/>
    <w:rsid w:val="001A645C"/>
    <w:rsid w:val="001A6A0B"/>
    <w:rsid w:val="001A6B6C"/>
    <w:rsid w:val="001A6C6D"/>
    <w:rsid w:val="001A6CA2"/>
    <w:rsid w:val="001A6F0E"/>
    <w:rsid w:val="001A7858"/>
    <w:rsid w:val="001A78BC"/>
    <w:rsid w:val="001B055D"/>
    <w:rsid w:val="001B05AE"/>
    <w:rsid w:val="001B08EA"/>
    <w:rsid w:val="001B13CE"/>
    <w:rsid w:val="001B1A4B"/>
    <w:rsid w:val="001B2C1A"/>
    <w:rsid w:val="001B377E"/>
    <w:rsid w:val="001B3B74"/>
    <w:rsid w:val="001B3D07"/>
    <w:rsid w:val="001B4416"/>
    <w:rsid w:val="001B4450"/>
    <w:rsid w:val="001B44B9"/>
    <w:rsid w:val="001B4CEA"/>
    <w:rsid w:val="001B50F7"/>
    <w:rsid w:val="001B5359"/>
    <w:rsid w:val="001B5AA4"/>
    <w:rsid w:val="001B5B72"/>
    <w:rsid w:val="001B5F12"/>
    <w:rsid w:val="001B6050"/>
    <w:rsid w:val="001B709C"/>
    <w:rsid w:val="001B71F9"/>
    <w:rsid w:val="001B7468"/>
    <w:rsid w:val="001B7A59"/>
    <w:rsid w:val="001B7C32"/>
    <w:rsid w:val="001B7C91"/>
    <w:rsid w:val="001B7CC4"/>
    <w:rsid w:val="001C0049"/>
    <w:rsid w:val="001C0630"/>
    <w:rsid w:val="001C0E28"/>
    <w:rsid w:val="001C1530"/>
    <w:rsid w:val="001C1596"/>
    <w:rsid w:val="001C2129"/>
    <w:rsid w:val="001C22DD"/>
    <w:rsid w:val="001C264F"/>
    <w:rsid w:val="001C28AD"/>
    <w:rsid w:val="001C2E43"/>
    <w:rsid w:val="001C323B"/>
    <w:rsid w:val="001C3710"/>
    <w:rsid w:val="001C3792"/>
    <w:rsid w:val="001C4061"/>
    <w:rsid w:val="001C421C"/>
    <w:rsid w:val="001C4329"/>
    <w:rsid w:val="001C442B"/>
    <w:rsid w:val="001C4D5B"/>
    <w:rsid w:val="001C4D5F"/>
    <w:rsid w:val="001C4E73"/>
    <w:rsid w:val="001C500B"/>
    <w:rsid w:val="001C54FA"/>
    <w:rsid w:val="001C5B78"/>
    <w:rsid w:val="001C6761"/>
    <w:rsid w:val="001C6AE1"/>
    <w:rsid w:val="001C6E66"/>
    <w:rsid w:val="001C7086"/>
    <w:rsid w:val="001C77F7"/>
    <w:rsid w:val="001D052B"/>
    <w:rsid w:val="001D07AC"/>
    <w:rsid w:val="001D0B30"/>
    <w:rsid w:val="001D0C60"/>
    <w:rsid w:val="001D0F19"/>
    <w:rsid w:val="001D113B"/>
    <w:rsid w:val="001D1188"/>
    <w:rsid w:val="001D14EC"/>
    <w:rsid w:val="001D1A51"/>
    <w:rsid w:val="001D283C"/>
    <w:rsid w:val="001D2A00"/>
    <w:rsid w:val="001D3287"/>
    <w:rsid w:val="001D386F"/>
    <w:rsid w:val="001D3901"/>
    <w:rsid w:val="001D3A8C"/>
    <w:rsid w:val="001D3AE2"/>
    <w:rsid w:val="001D45E8"/>
    <w:rsid w:val="001D47C3"/>
    <w:rsid w:val="001D4918"/>
    <w:rsid w:val="001D4959"/>
    <w:rsid w:val="001D4D16"/>
    <w:rsid w:val="001D4D4B"/>
    <w:rsid w:val="001D59F9"/>
    <w:rsid w:val="001D5D82"/>
    <w:rsid w:val="001D5DE6"/>
    <w:rsid w:val="001D67A5"/>
    <w:rsid w:val="001D6A88"/>
    <w:rsid w:val="001D6CE6"/>
    <w:rsid w:val="001E0C4E"/>
    <w:rsid w:val="001E15EB"/>
    <w:rsid w:val="001E18FC"/>
    <w:rsid w:val="001E19EB"/>
    <w:rsid w:val="001E1B14"/>
    <w:rsid w:val="001E1B80"/>
    <w:rsid w:val="001E221D"/>
    <w:rsid w:val="001E22A5"/>
    <w:rsid w:val="001E238F"/>
    <w:rsid w:val="001E2769"/>
    <w:rsid w:val="001E2FB0"/>
    <w:rsid w:val="001E35B6"/>
    <w:rsid w:val="001E3768"/>
    <w:rsid w:val="001E3E96"/>
    <w:rsid w:val="001E46A8"/>
    <w:rsid w:val="001E4C35"/>
    <w:rsid w:val="001E501A"/>
    <w:rsid w:val="001E5353"/>
    <w:rsid w:val="001E5864"/>
    <w:rsid w:val="001E5DD5"/>
    <w:rsid w:val="001E6033"/>
    <w:rsid w:val="001E6788"/>
    <w:rsid w:val="001E68BC"/>
    <w:rsid w:val="001E6B7F"/>
    <w:rsid w:val="001E744A"/>
    <w:rsid w:val="001E7693"/>
    <w:rsid w:val="001E7E48"/>
    <w:rsid w:val="001F027B"/>
    <w:rsid w:val="001F0610"/>
    <w:rsid w:val="001F0878"/>
    <w:rsid w:val="001F0958"/>
    <w:rsid w:val="001F0B80"/>
    <w:rsid w:val="001F0DB8"/>
    <w:rsid w:val="001F1025"/>
    <w:rsid w:val="001F1156"/>
    <w:rsid w:val="001F11F0"/>
    <w:rsid w:val="001F1B3C"/>
    <w:rsid w:val="001F2AB2"/>
    <w:rsid w:val="001F2C12"/>
    <w:rsid w:val="001F2D6E"/>
    <w:rsid w:val="001F2EFE"/>
    <w:rsid w:val="001F31ED"/>
    <w:rsid w:val="001F3791"/>
    <w:rsid w:val="001F3B0B"/>
    <w:rsid w:val="001F3F6E"/>
    <w:rsid w:val="001F464D"/>
    <w:rsid w:val="001F47ED"/>
    <w:rsid w:val="001F492F"/>
    <w:rsid w:val="001F4FA5"/>
    <w:rsid w:val="001F50F9"/>
    <w:rsid w:val="001F5A80"/>
    <w:rsid w:val="001F5DF0"/>
    <w:rsid w:val="001F6199"/>
    <w:rsid w:val="001F651A"/>
    <w:rsid w:val="001F73F8"/>
    <w:rsid w:val="001F75C7"/>
    <w:rsid w:val="001F79FF"/>
    <w:rsid w:val="00200412"/>
    <w:rsid w:val="00200AE4"/>
    <w:rsid w:val="00200C09"/>
    <w:rsid w:val="002017C3"/>
    <w:rsid w:val="002017EB"/>
    <w:rsid w:val="002023B6"/>
    <w:rsid w:val="00203012"/>
    <w:rsid w:val="002038CB"/>
    <w:rsid w:val="002039F6"/>
    <w:rsid w:val="00203ACF"/>
    <w:rsid w:val="00204347"/>
    <w:rsid w:val="00204656"/>
    <w:rsid w:val="002049A8"/>
    <w:rsid w:val="00204A0F"/>
    <w:rsid w:val="00204CF3"/>
    <w:rsid w:val="00205077"/>
    <w:rsid w:val="0020542A"/>
    <w:rsid w:val="0020572C"/>
    <w:rsid w:val="002058BC"/>
    <w:rsid w:val="00206ADE"/>
    <w:rsid w:val="00206C70"/>
    <w:rsid w:val="00206F46"/>
    <w:rsid w:val="0020716F"/>
    <w:rsid w:val="002073A7"/>
    <w:rsid w:val="00207F2E"/>
    <w:rsid w:val="00210917"/>
    <w:rsid w:val="00210DF6"/>
    <w:rsid w:val="00210E1F"/>
    <w:rsid w:val="0021277B"/>
    <w:rsid w:val="002127EC"/>
    <w:rsid w:val="00212A67"/>
    <w:rsid w:val="00212DE8"/>
    <w:rsid w:val="002131CE"/>
    <w:rsid w:val="002132D3"/>
    <w:rsid w:val="0021339D"/>
    <w:rsid w:val="002139DB"/>
    <w:rsid w:val="00214407"/>
    <w:rsid w:val="0021457E"/>
    <w:rsid w:val="00214A6C"/>
    <w:rsid w:val="00214B76"/>
    <w:rsid w:val="0021543F"/>
    <w:rsid w:val="00215765"/>
    <w:rsid w:val="00215772"/>
    <w:rsid w:val="00215774"/>
    <w:rsid w:val="0021599F"/>
    <w:rsid w:val="0021632E"/>
    <w:rsid w:val="00216452"/>
    <w:rsid w:val="002164C2"/>
    <w:rsid w:val="00216562"/>
    <w:rsid w:val="00216728"/>
    <w:rsid w:val="0021689A"/>
    <w:rsid w:val="00216DBD"/>
    <w:rsid w:val="00217809"/>
    <w:rsid w:val="002202E9"/>
    <w:rsid w:val="002203C6"/>
    <w:rsid w:val="00220553"/>
    <w:rsid w:val="0022155C"/>
    <w:rsid w:val="00221732"/>
    <w:rsid w:val="0022187E"/>
    <w:rsid w:val="002219D5"/>
    <w:rsid w:val="00222048"/>
    <w:rsid w:val="002223E6"/>
    <w:rsid w:val="00222B86"/>
    <w:rsid w:val="00223373"/>
    <w:rsid w:val="00223A2F"/>
    <w:rsid w:val="00223C73"/>
    <w:rsid w:val="00224284"/>
    <w:rsid w:val="002242DA"/>
    <w:rsid w:val="002243F5"/>
    <w:rsid w:val="00224452"/>
    <w:rsid w:val="00224925"/>
    <w:rsid w:val="00224CF0"/>
    <w:rsid w:val="00225050"/>
    <w:rsid w:val="00225500"/>
    <w:rsid w:val="00225848"/>
    <w:rsid w:val="00225A49"/>
    <w:rsid w:val="00226496"/>
    <w:rsid w:val="0022749C"/>
    <w:rsid w:val="00227685"/>
    <w:rsid w:val="002303BD"/>
    <w:rsid w:val="002310EA"/>
    <w:rsid w:val="00231359"/>
    <w:rsid w:val="00231516"/>
    <w:rsid w:val="00231556"/>
    <w:rsid w:val="0023173A"/>
    <w:rsid w:val="00231749"/>
    <w:rsid w:val="00231F05"/>
    <w:rsid w:val="00232779"/>
    <w:rsid w:val="002327FA"/>
    <w:rsid w:val="00232E8E"/>
    <w:rsid w:val="0023389D"/>
    <w:rsid w:val="002338AC"/>
    <w:rsid w:val="00233A56"/>
    <w:rsid w:val="00234038"/>
    <w:rsid w:val="00234088"/>
    <w:rsid w:val="00234D16"/>
    <w:rsid w:val="00234DEB"/>
    <w:rsid w:val="00235584"/>
    <w:rsid w:val="002356EC"/>
    <w:rsid w:val="002357CC"/>
    <w:rsid w:val="00235E4E"/>
    <w:rsid w:val="00235EB9"/>
    <w:rsid w:val="002364DF"/>
    <w:rsid w:val="0023670D"/>
    <w:rsid w:val="00236A65"/>
    <w:rsid w:val="00236CE7"/>
    <w:rsid w:val="00236D84"/>
    <w:rsid w:val="002372C0"/>
    <w:rsid w:val="0023794D"/>
    <w:rsid w:val="00237C53"/>
    <w:rsid w:val="0024006E"/>
    <w:rsid w:val="00240E3F"/>
    <w:rsid w:val="00240ED4"/>
    <w:rsid w:val="002410DF"/>
    <w:rsid w:val="00241190"/>
    <w:rsid w:val="002419BD"/>
    <w:rsid w:val="00241A00"/>
    <w:rsid w:val="00241A9D"/>
    <w:rsid w:val="00242461"/>
    <w:rsid w:val="0024250B"/>
    <w:rsid w:val="00243006"/>
    <w:rsid w:val="00243184"/>
    <w:rsid w:val="0024325D"/>
    <w:rsid w:val="00243537"/>
    <w:rsid w:val="00243562"/>
    <w:rsid w:val="00243630"/>
    <w:rsid w:val="00243682"/>
    <w:rsid w:val="00243F64"/>
    <w:rsid w:val="00244070"/>
    <w:rsid w:val="0024409A"/>
    <w:rsid w:val="00244BC6"/>
    <w:rsid w:val="00244FD9"/>
    <w:rsid w:val="0024542C"/>
    <w:rsid w:val="002457F9"/>
    <w:rsid w:val="00246295"/>
    <w:rsid w:val="00246E42"/>
    <w:rsid w:val="0024719B"/>
    <w:rsid w:val="002477E0"/>
    <w:rsid w:val="00250010"/>
    <w:rsid w:val="0025039B"/>
    <w:rsid w:val="002506BE"/>
    <w:rsid w:val="002509F0"/>
    <w:rsid w:val="00251228"/>
    <w:rsid w:val="0025161C"/>
    <w:rsid w:val="00251A4C"/>
    <w:rsid w:val="00251DD6"/>
    <w:rsid w:val="00251EB8"/>
    <w:rsid w:val="002522C8"/>
    <w:rsid w:val="0025234C"/>
    <w:rsid w:val="00252376"/>
    <w:rsid w:val="0025322F"/>
    <w:rsid w:val="00253620"/>
    <w:rsid w:val="0025365F"/>
    <w:rsid w:val="00253D58"/>
    <w:rsid w:val="00253E1D"/>
    <w:rsid w:val="00254117"/>
    <w:rsid w:val="00254552"/>
    <w:rsid w:val="00254695"/>
    <w:rsid w:val="00254856"/>
    <w:rsid w:val="00254C4C"/>
    <w:rsid w:val="00255053"/>
    <w:rsid w:val="002551A8"/>
    <w:rsid w:val="00256068"/>
    <w:rsid w:val="002563EC"/>
    <w:rsid w:val="00256E0A"/>
    <w:rsid w:val="00256E5E"/>
    <w:rsid w:val="002573A4"/>
    <w:rsid w:val="00257656"/>
    <w:rsid w:val="002579B9"/>
    <w:rsid w:val="00257AE5"/>
    <w:rsid w:val="00257DF2"/>
    <w:rsid w:val="00260091"/>
    <w:rsid w:val="0026026F"/>
    <w:rsid w:val="00260280"/>
    <w:rsid w:val="00260654"/>
    <w:rsid w:val="002607E1"/>
    <w:rsid w:val="00260F02"/>
    <w:rsid w:val="00260F54"/>
    <w:rsid w:val="00261000"/>
    <w:rsid w:val="00261681"/>
    <w:rsid w:val="0026178B"/>
    <w:rsid w:val="002617F9"/>
    <w:rsid w:val="00261991"/>
    <w:rsid w:val="0026215B"/>
    <w:rsid w:val="002625F4"/>
    <w:rsid w:val="00262963"/>
    <w:rsid w:val="0026303B"/>
    <w:rsid w:val="00263662"/>
    <w:rsid w:val="00263D02"/>
    <w:rsid w:val="00263EB8"/>
    <w:rsid w:val="00264069"/>
    <w:rsid w:val="00264597"/>
    <w:rsid w:val="00264DD4"/>
    <w:rsid w:val="00265271"/>
    <w:rsid w:val="00265614"/>
    <w:rsid w:val="0026570E"/>
    <w:rsid w:val="002662E5"/>
    <w:rsid w:val="002663A5"/>
    <w:rsid w:val="0026656A"/>
    <w:rsid w:val="00266A47"/>
    <w:rsid w:val="00266E3F"/>
    <w:rsid w:val="0026737F"/>
    <w:rsid w:val="00267C14"/>
    <w:rsid w:val="002703F5"/>
    <w:rsid w:val="00270645"/>
    <w:rsid w:val="00270AE2"/>
    <w:rsid w:val="00271373"/>
    <w:rsid w:val="00271876"/>
    <w:rsid w:val="002719E0"/>
    <w:rsid w:val="00271B9B"/>
    <w:rsid w:val="00272038"/>
    <w:rsid w:val="002721D7"/>
    <w:rsid w:val="00272203"/>
    <w:rsid w:val="002726EE"/>
    <w:rsid w:val="00273216"/>
    <w:rsid w:val="00273A17"/>
    <w:rsid w:val="00273B36"/>
    <w:rsid w:val="00273BB9"/>
    <w:rsid w:val="00273E75"/>
    <w:rsid w:val="00274549"/>
    <w:rsid w:val="00274C0D"/>
    <w:rsid w:val="00274C89"/>
    <w:rsid w:val="00274DC2"/>
    <w:rsid w:val="00274E2C"/>
    <w:rsid w:val="002750D6"/>
    <w:rsid w:val="00275B97"/>
    <w:rsid w:val="00275B9D"/>
    <w:rsid w:val="00275C88"/>
    <w:rsid w:val="00275E2D"/>
    <w:rsid w:val="00276BBC"/>
    <w:rsid w:val="0027701B"/>
    <w:rsid w:val="002779C1"/>
    <w:rsid w:val="00277D31"/>
    <w:rsid w:val="002803E1"/>
    <w:rsid w:val="00280E99"/>
    <w:rsid w:val="0028114D"/>
    <w:rsid w:val="0028137B"/>
    <w:rsid w:val="00281483"/>
    <w:rsid w:val="002816C7"/>
    <w:rsid w:val="0028217E"/>
    <w:rsid w:val="00282396"/>
    <w:rsid w:val="00282AD8"/>
    <w:rsid w:val="00282BCE"/>
    <w:rsid w:val="0028343A"/>
    <w:rsid w:val="0028405F"/>
    <w:rsid w:val="00284060"/>
    <w:rsid w:val="002840C6"/>
    <w:rsid w:val="00284757"/>
    <w:rsid w:val="0028499C"/>
    <w:rsid w:val="002849F3"/>
    <w:rsid w:val="00284D09"/>
    <w:rsid w:val="00284E7C"/>
    <w:rsid w:val="002851A4"/>
    <w:rsid w:val="002861CA"/>
    <w:rsid w:val="00286BAF"/>
    <w:rsid w:val="00286F28"/>
    <w:rsid w:val="002873EF"/>
    <w:rsid w:val="002878E9"/>
    <w:rsid w:val="0029009B"/>
    <w:rsid w:val="0029027D"/>
    <w:rsid w:val="00290827"/>
    <w:rsid w:val="00290EBB"/>
    <w:rsid w:val="00291768"/>
    <w:rsid w:val="00291BF2"/>
    <w:rsid w:val="00292820"/>
    <w:rsid w:val="002929EE"/>
    <w:rsid w:val="00292BB6"/>
    <w:rsid w:val="00292BCF"/>
    <w:rsid w:val="002936DF"/>
    <w:rsid w:val="002939E5"/>
    <w:rsid w:val="00293A10"/>
    <w:rsid w:val="00293D55"/>
    <w:rsid w:val="00294210"/>
    <w:rsid w:val="002944E0"/>
    <w:rsid w:val="0029479B"/>
    <w:rsid w:val="00294856"/>
    <w:rsid w:val="00294CD8"/>
    <w:rsid w:val="00295193"/>
    <w:rsid w:val="0029541B"/>
    <w:rsid w:val="00295902"/>
    <w:rsid w:val="00295BFB"/>
    <w:rsid w:val="0029651B"/>
    <w:rsid w:val="0029667A"/>
    <w:rsid w:val="002968C8"/>
    <w:rsid w:val="00297056"/>
    <w:rsid w:val="00297183"/>
    <w:rsid w:val="00297530"/>
    <w:rsid w:val="00297AE0"/>
    <w:rsid w:val="002A0A9B"/>
    <w:rsid w:val="002A0BA1"/>
    <w:rsid w:val="002A0E5F"/>
    <w:rsid w:val="002A29A6"/>
    <w:rsid w:val="002A2B1E"/>
    <w:rsid w:val="002A2FBE"/>
    <w:rsid w:val="002A3A9C"/>
    <w:rsid w:val="002A3EE6"/>
    <w:rsid w:val="002A4AF3"/>
    <w:rsid w:val="002A4BC5"/>
    <w:rsid w:val="002A4DEF"/>
    <w:rsid w:val="002A4EBC"/>
    <w:rsid w:val="002A4F45"/>
    <w:rsid w:val="002A544B"/>
    <w:rsid w:val="002A5FAB"/>
    <w:rsid w:val="002A6416"/>
    <w:rsid w:val="002A688D"/>
    <w:rsid w:val="002A750A"/>
    <w:rsid w:val="002A7E54"/>
    <w:rsid w:val="002B0A54"/>
    <w:rsid w:val="002B0B90"/>
    <w:rsid w:val="002B0E6E"/>
    <w:rsid w:val="002B0EE0"/>
    <w:rsid w:val="002B0F4E"/>
    <w:rsid w:val="002B17EA"/>
    <w:rsid w:val="002B2605"/>
    <w:rsid w:val="002B2AB5"/>
    <w:rsid w:val="002B2C07"/>
    <w:rsid w:val="002B2CF7"/>
    <w:rsid w:val="002B328C"/>
    <w:rsid w:val="002B33BE"/>
    <w:rsid w:val="002B3566"/>
    <w:rsid w:val="002B37BC"/>
    <w:rsid w:val="002B4428"/>
    <w:rsid w:val="002B446A"/>
    <w:rsid w:val="002B489B"/>
    <w:rsid w:val="002B48EF"/>
    <w:rsid w:val="002B4AF2"/>
    <w:rsid w:val="002B4BBB"/>
    <w:rsid w:val="002B5403"/>
    <w:rsid w:val="002B5796"/>
    <w:rsid w:val="002B6155"/>
    <w:rsid w:val="002B6E1B"/>
    <w:rsid w:val="002B6FE8"/>
    <w:rsid w:val="002C0882"/>
    <w:rsid w:val="002C0D8B"/>
    <w:rsid w:val="002C0ED9"/>
    <w:rsid w:val="002C1333"/>
    <w:rsid w:val="002C15E4"/>
    <w:rsid w:val="002C2150"/>
    <w:rsid w:val="002C2187"/>
    <w:rsid w:val="002C2552"/>
    <w:rsid w:val="002C2A7D"/>
    <w:rsid w:val="002C2A8D"/>
    <w:rsid w:val="002C2DAE"/>
    <w:rsid w:val="002C364F"/>
    <w:rsid w:val="002C3879"/>
    <w:rsid w:val="002C408F"/>
    <w:rsid w:val="002C4173"/>
    <w:rsid w:val="002C4696"/>
    <w:rsid w:val="002C498C"/>
    <w:rsid w:val="002C4ACF"/>
    <w:rsid w:val="002C4CE1"/>
    <w:rsid w:val="002C5857"/>
    <w:rsid w:val="002C5CEA"/>
    <w:rsid w:val="002C5E04"/>
    <w:rsid w:val="002C62A5"/>
    <w:rsid w:val="002C67DA"/>
    <w:rsid w:val="002C688F"/>
    <w:rsid w:val="002C765D"/>
    <w:rsid w:val="002C7C88"/>
    <w:rsid w:val="002C7DFD"/>
    <w:rsid w:val="002D0C56"/>
    <w:rsid w:val="002D0D29"/>
    <w:rsid w:val="002D0DA8"/>
    <w:rsid w:val="002D1329"/>
    <w:rsid w:val="002D1C67"/>
    <w:rsid w:val="002D1CE8"/>
    <w:rsid w:val="002D2C55"/>
    <w:rsid w:val="002D2C8F"/>
    <w:rsid w:val="002D2D2D"/>
    <w:rsid w:val="002D3233"/>
    <w:rsid w:val="002D37AE"/>
    <w:rsid w:val="002D3923"/>
    <w:rsid w:val="002D463E"/>
    <w:rsid w:val="002D46B0"/>
    <w:rsid w:val="002D46BF"/>
    <w:rsid w:val="002D4A67"/>
    <w:rsid w:val="002D513F"/>
    <w:rsid w:val="002D520E"/>
    <w:rsid w:val="002D52A2"/>
    <w:rsid w:val="002D52D4"/>
    <w:rsid w:val="002D5B00"/>
    <w:rsid w:val="002D5B55"/>
    <w:rsid w:val="002D5B7A"/>
    <w:rsid w:val="002D636A"/>
    <w:rsid w:val="002D6B15"/>
    <w:rsid w:val="002D7135"/>
    <w:rsid w:val="002D77C3"/>
    <w:rsid w:val="002E06A1"/>
    <w:rsid w:val="002E09B2"/>
    <w:rsid w:val="002E1225"/>
    <w:rsid w:val="002E12A8"/>
    <w:rsid w:val="002E1B49"/>
    <w:rsid w:val="002E1F81"/>
    <w:rsid w:val="002E2DD9"/>
    <w:rsid w:val="002E2E27"/>
    <w:rsid w:val="002E33A5"/>
    <w:rsid w:val="002E3BA6"/>
    <w:rsid w:val="002E4097"/>
    <w:rsid w:val="002E40B5"/>
    <w:rsid w:val="002E4139"/>
    <w:rsid w:val="002E4749"/>
    <w:rsid w:val="002E4AFC"/>
    <w:rsid w:val="002E57D4"/>
    <w:rsid w:val="002E6847"/>
    <w:rsid w:val="002E6ECB"/>
    <w:rsid w:val="002E763B"/>
    <w:rsid w:val="002E79DD"/>
    <w:rsid w:val="002E7C4B"/>
    <w:rsid w:val="002F02EB"/>
    <w:rsid w:val="002F062E"/>
    <w:rsid w:val="002F0F3D"/>
    <w:rsid w:val="002F160C"/>
    <w:rsid w:val="002F1717"/>
    <w:rsid w:val="002F18CA"/>
    <w:rsid w:val="002F2865"/>
    <w:rsid w:val="002F28CF"/>
    <w:rsid w:val="002F2C70"/>
    <w:rsid w:val="002F306A"/>
    <w:rsid w:val="002F30D3"/>
    <w:rsid w:val="002F38A1"/>
    <w:rsid w:val="002F38E8"/>
    <w:rsid w:val="002F3B88"/>
    <w:rsid w:val="002F3C67"/>
    <w:rsid w:val="002F3EED"/>
    <w:rsid w:val="002F4356"/>
    <w:rsid w:val="002F4E4D"/>
    <w:rsid w:val="002F4FC9"/>
    <w:rsid w:val="002F5157"/>
    <w:rsid w:val="002F51FD"/>
    <w:rsid w:val="002F553A"/>
    <w:rsid w:val="002F5584"/>
    <w:rsid w:val="002F562F"/>
    <w:rsid w:val="002F578C"/>
    <w:rsid w:val="002F58A1"/>
    <w:rsid w:val="002F5A22"/>
    <w:rsid w:val="002F5CBA"/>
    <w:rsid w:val="002F5F1E"/>
    <w:rsid w:val="002F6160"/>
    <w:rsid w:val="002F6387"/>
    <w:rsid w:val="003000E3"/>
    <w:rsid w:val="00300295"/>
    <w:rsid w:val="00300BD8"/>
    <w:rsid w:val="00301DCC"/>
    <w:rsid w:val="00302F57"/>
    <w:rsid w:val="00303516"/>
    <w:rsid w:val="003040B4"/>
    <w:rsid w:val="003047D0"/>
    <w:rsid w:val="00304885"/>
    <w:rsid w:val="00304F43"/>
    <w:rsid w:val="00305132"/>
    <w:rsid w:val="00305601"/>
    <w:rsid w:val="00305A13"/>
    <w:rsid w:val="00305A56"/>
    <w:rsid w:val="0030613B"/>
    <w:rsid w:val="00306260"/>
    <w:rsid w:val="003065E0"/>
    <w:rsid w:val="0030734E"/>
    <w:rsid w:val="0030742B"/>
    <w:rsid w:val="00307434"/>
    <w:rsid w:val="003076FD"/>
    <w:rsid w:val="003077AC"/>
    <w:rsid w:val="00310369"/>
    <w:rsid w:val="00310A84"/>
    <w:rsid w:val="00311263"/>
    <w:rsid w:val="003114E7"/>
    <w:rsid w:val="003116F8"/>
    <w:rsid w:val="00311747"/>
    <w:rsid w:val="00311F12"/>
    <w:rsid w:val="003129F3"/>
    <w:rsid w:val="00312CFF"/>
    <w:rsid w:val="00313026"/>
    <w:rsid w:val="0031305B"/>
    <w:rsid w:val="003133F7"/>
    <w:rsid w:val="0031341F"/>
    <w:rsid w:val="00313758"/>
    <w:rsid w:val="00313D7A"/>
    <w:rsid w:val="00314289"/>
    <w:rsid w:val="00314539"/>
    <w:rsid w:val="0031479B"/>
    <w:rsid w:val="00314A3E"/>
    <w:rsid w:val="00314A59"/>
    <w:rsid w:val="00314EB6"/>
    <w:rsid w:val="00314EFF"/>
    <w:rsid w:val="00314FF3"/>
    <w:rsid w:val="003154B7"/>
    <w:rsid w:val="00316184"/>
    <w:rsid w:val="003162F2"/>
    <w:rsid w:val="00316479"/>
    <w:rsid w:val="003166E7"/>
    <w:rsid w:val="00316E6D"/>
    <w:rsid w:val="0031720A"/>
    <w:rsid w:val="00317711"/>
    <w:rsid w:val="00317B55"/>
    <w:rsid w:val="00317E48"/>
    <w:rsid w:val="00320054"/>
    <w:rsid w:val="00320B0A"/>
    <w:rsid w:val="00321118"/>
    <w:rsid w:val="00321E39"/>
    <w:rsid w:val="00322018"/>
    <w:rsid w:val="003221BB"/>
    <w:rsid w:val="00322252"/>
    <w:rsid w:val="0032237E"/>
    <w:rsid w:val="003224F4"/>
    <w:rsid w:val="003229CA"/>
    <w:rsid w:val="00323217"/>
    <w:rsid w:val="00323555"/>
    <w:rsid w:val="00323A26"/>
    <w:rsid w:val="0032444F"/>
    <w:rsid w:val="003245DF"/>
    <w:rsid w:val="003246F3"/>
    <w:rsid w:val="00324A4F"/>
    <w:rsid w:val="00324DF5"/>
    <w:rsid w:val="00325750"/>
    <w:rsid w:val="00325BF5"/>
    <w:rsid w:val="00325C01"/>
    <w:rsid w:val="00326BD5"/>
    <w:rsid w:val="00326E25"/>
    <w:rsid w:val="00327644"/>
    <w:rsid w:val="003278E7"/>
    <w:rsid w:val="00327A4E"/>
    <w:rsid w:val="00327B3D"/>
    <w:rsid w:val="00327B57"/>
    <w:rsid w:val="00327E40"/>
    <w:rsid w:val="00327EE1"/>
    <w:rsid w:val="00330188"/>
    <w:rsid w:val="0033084C"/>
    <w:rsid w:val="00330979"/>
    <w:rsid w:val="00330D5D"/>
    <w:rsid w:val="003310D2"/>
    <w:rsid w:val="003311C4"/>
    <w:rsid w:val="0033139B"/>
    <w:rsid w:val="0033139C"/>
    <w:rsid w:val="003317C9"/>
    <w:rsid w:val="00331D36"/>
    <w:rsid w:val="0033345A"/>
    <w:rsid w:val="00334053"/>
    <w:rsid w:val="00334FF0"/>
    <w:rsid w:val="00335225"/>
    <w:rsid w:val="00335D36"/>
    <w:rsid w:val="00335E47"/>
    <w:rsid w:val="003361A3"/>
    <w:rsid w:val="00336B70"/>
    <w:rsid w:val="00336C45"/>
    <w:rsid w:val="00337690"/>
    <w:rsid w:val="0033786C"/>
    <w:rsid w:val="00337D72"/>
    <w:rsid w:val="00340473"/>
    <w:rsid w:val="003405B2"/>
    <w:rsid w:val="0034065B"/>
    <w:rsid w:val="003406AB"/>
    <w:rsid w:val="003406CB"/>
    <w:rsid w:val="00340F62"/>
    <w:rsid w:val="00341534"/>
    <w:rsid w:val="003423C4"/>
    <w:rsid w:val="0034282A"/>
    <w:rsid w:val="003428D3"/>
    <w:rsid w:val="003428EE"/>
    <w:rsid w:val="00343A10"/>
    <w:rsid w:val="00343FFE"/>
    <w:rsid w:val="003444C9"/>
    <w:rsid w:val="00344760"/>
    <w:rsid w:val="00345442"/>
    <w:rsid w:val="0034571B"/>
    <w:rsid w:val="00345805"/>
    <w:rsid w:val="00345ADE"/>
    <w:rsid w:val="003465CE"/>
    <w:rsid w:val="00346DC4"/>
    <w:rsid w:val="00347575"/>
    <w:rsid w:val="00347760"/>
    <w:rsid w:val="00347E81"/>
    <w:rsid w:val="003501EF"/>
    <w:rsid w:val="003502B7"/>
    <w:rsid w:val="0035039E"/>
    <w:rsid w:val="003503CB"/>
    <w:rsid w:val="0035045C"/>
    <w:rsid w:val="003505B8"/>
    <w:rsid w:val="00350AEC"/>
    <w:rsid w:val="00350D1A"/>
    <w:rsid w:val="0035198C"/>
    <w:rsid w:val="00352F3E"/>
    <w:rsid w:val="00352FB6"/>
    <w:rsid w:val="003544BF"/>
    <w:rsid w:val="00354544"/>
    <w:rsid w:val="003552CD"/>
    <w:rsid w:val="003555A9"/>
    <w:rsid w:val="00355DE6"/>
    <w:rsid w:val="003564DE"/>
    <w:rsid w:val="003567AF"/>
    <w:rsid w:val="0035790E"/>
    <w:rsid w:val="00357B2E"/>
    <w:rsid w:val="00357B30"/>
    <w:rsid w:val="00357C37"/>
    <w:rsid w:val="003600FF"/>
    <w:rsid w:val="003601B5"/>
    <w:rsid w:val="00360892"/>
    <w:rsid w:val="00360991"/>
    <w:rsid w:val="003609C4"/>
    <w:rsid w:val="00360D40"/>
    <w:rsid w:val="0036107B"/>
    <w:rsid w:val="00361863"/>
    <w:rsid w:val="00361951"/>
    <w:rsid w:val="00361A85"/>
    <w:rsid w:val="00361E02"/>
    <w:rsid w:val="003621CE"/>
    <w:rsid w:val="0036247D"/>
    <w:rsid w:val="003625A5"/>
    <w:rsid w:val="00362B8D"/>
    <w:rsid w:val="00363B25"/>
    <w:rsid w:val="00363BA3"/>
    <w:rsid w:val="00364923"/>
    <w:rsid w:val="003650F7"/>
    <w:rsid w:val="00365507"/>
    <w:rsid w:val="0036562E"/>
    <w:rsid w:val="003660E2"/>
    <w:rsid w:val="00366469"/>
    <w:rsid w:val="00366FE6"/>
    <w:rsid w:val="0036718B"/>
    <w:rsid w:val="0037020C"/>
    <w:rsid w:val="00370CDE"/>
    <w:rsid w:val="0037181F"/>
    <w:rsid w:val="00372777"/>
    <w:rsid w:val="00372D33"/>
    <w:rsid w:val="00373398"/>
    <w:rsid w:val="00373FF6"/>
    <w:rsid w:val="00374714"/>
    <w:rsid w:val="00374C64"/>
    <w:rsid w:val="00374DD2"/>
    <w:rsid w:val="0037568D"/>
    <w:rsid w:val="00375FD7"/>
    <w:rsid w:val="0037619E"/>
    <w:rsid w:val="003761A5"/>
    <w:rsid w:val="003768C3"/>
    <w:rsid w:val="00376D5B"/>
    <w:rsid w:val="00376F81"/>
    <w:rsid w:val="00377250"/>
    <w:rsid w:val="00377F22"/>
    <w:rsid w:val="00380420"/>
    <w:rsid w:val="0038103E"/>
    <w:rsid w:val="0038158E"/>
    <w:rsid w:val="00381809"/>
    <w:rsid w:val="00381DEB"/>
    <w:rsid w:val="00381E90"/>
    <w:rsid w:val="00382C5A"/>
    <w:rsid w:val="0038304B"/>
    <w:rsid w:val="00383F4E"/>
    <w:rsid w:val="003840D1"/>
    <w:rsid w:val="003849AB"/>
    <w:rsid w:val="00384B28"/>
    <w:rsid w:val="00384C02"/>
    <w:rsid w:val="00384DF7"/>
    <w:rsid w:val="00384F0A"/>
    <w:rsid w:val="00384F1F"/>
    <w:rsid w:val="00385450"/>
    <w:rsid w:val="00385D66"/>
    <w:rsid w:val="003860D9"/>
    <w:rsid w:val="003861F2"/>
    <w:rsid w:val="00386274"/>
    <w:rsid w:val="00386E50"/>
    <w:rsid w:val="0038758B"/>
    <w:rsid w:val="0038765D"/>
    <w:rsid w:val="00387C98"/>
    <w:rsid w:val="0039088F"/>
    <w:rsid w:val="00390975"/>
    <w:rsid w:val="00390E2E"/>
    <w:rsid w:val="0039133C"/>
    <w:rsid w:val="00391C12"/>
    <w:rsid w:val="00391CA0"/>
    <w:rsid w:val="0039202E"/>
    <w:rsid w:val="00392379"/>
    <w:rsid w:val="003923E9"/>
    <w:rsid w:val="00392ADA"/>
    <w:rsid w:val="00393134"/>
    <w:rsid w:val="00393222"/>
    <w:rsid w:val="003933AC"/>
    <w:rsid w:val="00393AEB"/>
    <w:rsid w:val="0039457B"/>
    <w:rsid w:val="00394912"/>
    <w:rsid w:val="00394963"/>
    <w:rsid w:val="00394C11"/>
    <w:rsid w:val="00394C83"/>
    <w:rsid w:val="00394E4C"/>
    <w:rsid w:val="00394E8F"/>
    <w:rsid w:val="003958B9"/>
    <w:rsid w:val="00395D84"/>
    <w:rsid w:val="00395E29"/>
    <w:rsid w:val="00395FC3"/>
    <w:rsid w:val="00396A89"/>
    <w:rsid w:val="0039765A"/>
    <w:rsid w:val="00397A77"/>
    <w:rsid w:val="003A0215"/>
    <w:rsid w:val="003A022B"/>
    <w:rsid w:val="003A041A"/>
    <w:rsid w:val="003A09BB"/>
    <w:rsid w:val="003A12C4"/>
    <w:rsid w:val="003A14FA"/>
    <w:rsid w:val="003A17AF"/>
    <w:rsid w:val="003A23CC"/>
    <w:rsid w:val="003A2905"/>
    <w:rsid w:val="003A2A23"/>
    <w:rsid w:val="003A2D77"/>
    <w:rsid w:val="003A33AF"/>
    <w:rsid w:val="003A34C6"/>
    <w:rsid w:val="003A37DB"/>
    <w:rsid w:val="003A3D4C"/>
    <w:rsid w:val="003A4239"/>
    <w:rsid w:val="003A48BD"/>
    <w:rsid w:val="003A4CEC"/>
    <w:rsid w:val="003A4D2C"/>
    <w:rsid w:val="003A5013"/>
    <w:rsid w:val="003A511C"/>
    <w:rsid w:val="003A5CA2"/>
    <w:rsid w:val="003A5D1C"/>
    <w:rsid w:val="003A5DF4"/>
    <w:rsid w:val="003A663C"/>
    <w:rsid w:val="003A664D"/>
    <w:rsid w:val="003A67E0"/>
    <w:rsid w:val="003A6DAA"/>
    <w:rsid w:val="003A715C"/>
    <w:rsid w:val="003A7518"/>
    <w:rsid w:val="003A75A2"/>
    <w:rsid w:val="003A7CE7"/>
    <w:rsid w:val="003B0007"/>
    <w:rsid w:val="003B024E"/>
    <w:rsid w:val="003B027B"/>
    <w:rsid w:val="003B09A9"/>
    <w:rsid w:val="003B119A"/>
    <w:rsid w:val="003B1705"/>
    <w:rsid w:val="003B1CE9"/>
    <w:rsid w:val="003B1D08"/>
    <w:rsid w:val="003B24F6"/>
    <w:rsid w:val="003B252B"/>
    <w:rsid w:val="003B2C59"/>
    <w:rsid w:val="003B2F3A"/>
    <w:rsid w:val="003B37BD"/>
    <w:rsid w:val="003B3A76"/>
    <w:rsid w:val="003B3B98"/>
    <w:rsid w:val="003B4113"/>
    <w:rsid w:val="003B4C72"/>
    <w:rsid w:val="003B503E"/>
    <w:rsid w:val="003B5211"/>
    <w:rsid w:val="003B56EF"/>
    <w:rsid w:val="003B5F2E"/>
    <w:rsid w:val="003B5F90"/>
    <w:rsid w:val="003B63F6"/>
    <w:rsid w:val="003B692B"/>
    <w:rsid w:val="003B6B5A"/>
    <w:rsid w:val="003B6D44"/>
    <w:rsid w:val="003B7198"/>
    <w:rsid w:val="003B738C"/>
    <w:rsid w:val="003B7757"/>
    <w:rsid w:val="003B78A2"/>
    <w:rsid w:val="003C0032"/>
    <w:rsid w:val="003C017E"/>
    <w:rsid w:val="003C01DA"/>
    <w:rsid w:val="003C0208"/>
    <w:rsid w:val="003C0BEF"/>
    <w:rsid w:val="003C0DC8"/>
    <w:rsid w:val="003C0E00"/>
    <w:rsid w:val="003C0E8E"/>
    <w:rsid w:val="003C137A"/>
    <w:rsid w:val="003C2269"/>
    <w:rsid w:val="003C2403"/>
    <w:rsid w:val="003C26A7"/>
    <w:rsid w:val="003C329E"/>
    <w:rsid w:val="003C3494"/>
    <w:rsid w:val="003C37EC"/>
    <w:rsid w:val="003C3C1C"/>
    <w:rsid w:val="003C3D00"/>
    <w:rsid w:val="003C40A2"/>
    <w:rsid w:val="003C44DC"/>
    <w:rsid w:val="003C5136"/>
    <w:rsid w:val="003C5330"/>
    <w:rsid w:val="003C56E2"/>
    <w:rsid w:val="003C6AC4"/>
    <w:rsid w:val="003C6AD9"/>
    <w:rsid w:val="003C6AEC"/>
    <w:rsid w:val="003C6CAB"/>
    <w:rsid w:val="003C6F91"/>
    <w:rsid w:val="003C75E2"/>
    <w:rsid w:val="003C7F80"/>
    <w:rsid w:val="003D0950"/>
    <w:rsid w:val="003D0983"/>
    <w:rsid w:val="003D1061"/>
    <w:rsid w:val="003D1C9C"/>
    <w:rsid w:val="003D20DC"/>
    <w:rsid w:val="003D376A"/>
    <w:rsid w:val="003D3B87"/>
    <w:rsid w:val="003D3EF5"/>
    <w:rsid w:val="003D4A32"/>
    <w:rsid w:val="003D4F59"/>
    <w:rsid w:val="003D4F92"/>
    <w:rsid w:val="003D58A8"/>
    <w:rsid w:val="003D5C05"/>
    <w:rsid w:val="003D5E2D"/>
    <w:rsid w:val="003D64C0"/>
    <w:rsid w:val="003D6861"/>
    <w:rsid w:val="003D6A5C"/>
    <w:rsid w:val="003D6E8B"/>
    <w:rsid w:val="003D70A1"/>
    <w:rsid w:val="003D74C9"/>
    <w:rsid w:val="003D762D"/>
    <w:rsid w:val="003E0272"/>
    <w:rsid w:val="003E0B0C"/>
    <w:rsid w:val="003E0B93"/>
    <w:rsid w:val="003E0C1B"/>
    <w:rsid w:val="003E1669"/>
    <w:rsid w:val="003E2CF6"/>
    <w:rsid w:val="003E2F1D"/>
    <w:rsid w:val="003E3366"/>
    <w:rsid w:val="003E3E56"/>
    <w:rsid w:val="003E41B1"/>
    <w:rsid w:val="003E4CE9"/>
    <w:rsid w:val="003E5050"/>
    <w:rsid w:val="003E5401"/>
    <w:rsid w:val="003E5DFD"/>
    <w:rsid w:val="003E6094"/>
    <w:rsid w:val="003E64C9"/>
    <w:rsid w:val="003E701F"/>
    <w:rsid w:val="003E7613"/>
    <w:rsid w:val="003F02CD"/>
    <w:rsid w:val="003F05F4"/>
    <w:rsid w:val="003F0727"/>
    <w:rsid w:val="003F0A2E"/>
    <w:rsid w:val="003F0D0B"/>
    <w:rsid w:val="003F0F34"/>
    <w:rsid w:val="003F1D15"/>
    <w:rsid w:val="003F2030"/>
    <w:rsid w:val="003F26A3"/>
    <w:rsid w:val="003F3765"/>
    <w:rsid w:val="003F3A31"/>
    <w:rsid w:val="003F3B6D"/>
    <w:rsid w:val="003F4363"/>
    <w:rsid w:val="003F46A8"/>
    <w:rsid w:val="003F540D"/>
    <w:rsid w:val="003F61B8"/>
    <w:rsid w:val="003F61CC"/>
    <w:rsid w:val="003F6284"/>
    <w:rsid w:val="003F64B7"/>
    <w:rsid w:val="003F6A48"/>
    <w:rsid w:val="003F6C16"/>
    <w:rsid w:val="003F6C96"/>
    <w:rsid w:val="003F6CD9"/>
    <w:rsid w:val="003F70D4"/>
    <w:rsid w:val="003F717D"/>
    <w:rsid w:val="003F7D81"/>
    <w:rsid w:val="00400046"/>
    <w:rsid w:val="004000EE"/>
    <w:rsid w:val="004006A0"/>
    <w:rsid w:val="00400888"/>
    <w:rsid w:val="00400AFF"/>
    <w:rsid w:val="0040128F"/>
    <w:rsid w:val="00401A00"/>
    <w:rsid w:val="00401D31"/>
    <w:rsid w:val="004028A3"/>
    <w:rsid w:val="00402EF9"/>
    <w:rsid w:val="00403218"/>
    <w:rsid w:val="004034EB"/>
    <w:rsid w:val="00403A7B"/>
    <w:rsid w:val="004046F7"/>
    <w:rsid w:val="0040507A"/>
    <w:rsid w:val="00405207"/>
    <w:rsid w:val="004052C4"/>
    <w:rsid w:val="004058CB"/>
    <w:rsid w:val="004069F6"/>
    <w:rsid w:val="004076DB"/>
    <w:rsid w:val="0040781C"/>
    <w:rsid w:val="00407CC5"/>
    <w:rsid w:val="00407EC1"/>
    <w:rsid w:val="004108FE"/>
    <w:rsid w:val="00410E17"/>
    <w:rsid w:val="00411111"/>
    <w:rsid w:val="004119FC"/>
    <w:rsid w:val="00412289"/>
    <w:rsid w:val="00412B63"/>
    <w:rsid w:val="00412D69"/>
    <w:rsid w:val="00412DC9"/>
    <w:rsid w:val="00412EDA"/>
    <w:rsid w:val="00412F6B"/>
    <w:rsid w:val="004131EC"/>
    <w:rsid w:val="004132E1"/>
    <w:rsid w:val="00413486"/>
    <w:rsid w:val="004139B5"/>
    <w:rsid w:val="00414357"/>
    <w:rsid w:val="00415248"/>
    <w:rsid w:val="00416220"/>
    <w:rsid w:val="0041661C"/>
    <w:rsid w:val="00416D29"/>
    <w:rsid w:val="00416D78"/>
    <w:rsid w:val="00417303"/>
    <w:rsid w:val="00417497"/>
    <w:rsid w:val="004174BE"/>
    <w:rsid w:val="004177FE"/>
    <w:rsid w:val="00417A11"/>
    <w:rsid w:val="00417E85"/>
    <w:rsid w:val="004202DD"/>
    <w:rsid w:val="004203E8"/>
    <w:rsid w:val="00420A30"/>
    <w:rsid w:val="00420C2D"/>
    <w:rsid w:val="00420EE0"/>
    <w:rsid w:val="00421081"/>
    <w:rsid w:val="004217CF"/>
    <w:rsid w:val="00421CC6"/>
    <w:rsid w:val="00422368"/>
    <w:rsid w:val="004226FC"/>
    <w:rsid w:val="0042281C"/>
    <w:rsid w:val="00422CA8"/>
    <w:rsid w:val="00423178"/>
    <w:rsid w:val="004233A7"/>
    <w:rsid w:val="004233DD"/>
    <w:rsid w:val="004236D1"/>
    <w:rsid w:val="00423921"/>
    <w:rsid w:val="004241C9"/>
    <w:rsid w:val="004242F7"/>
    <w:rsid w:val="0042433D"/>
    <w:rsid w:val="004245FE"/>
    <w:rsid w:val="00424F66"/>
    <w:rsid w:val="00425539"/>
    <w:rsid w:val="00426016"/>
    <w:rsid w:val="004264F4"/>
    <w:rsid w:val="00426900"/>
    <w:rsid w:val="00426B11"/>
    <w:rsid w:val="00426BCD"/>
    <w:rsid w:val="00427405"/>
    <w:rsid w:val="00427A6C"/>
    <w:rsid w:val="00427B98"/>
    <w:rsid w:val="004302EB"/>
    <w:rsid w:val="004303AB"/>
    <w:rsid w:val="004307FD"/>
    <w:rsid w:val="0043080F"/>
    <w:rsid w:val="00430A2C"/>
    <w:rsid w:val="00430B12"/>
    <w:rsid w:val="00430B3E"/>
    <w:rsid w:val="00430CFB"/>
    <w:rsid w:val="00430D9D"/>
    <w:rsid w:val="00431375"/>
    <w:rsid w:val="004315CE"/>
    <w:rsid w:val="004316E0"/>
    <w:rsid w:val="0043172A"/>
    <w:rsid w:val="00431897"/>
    <w:rsid w:val="0043198A"/>
    <w:rsid w:val="004319D0"/>
    <w:rsid w:val="00431AFA"/>
    <w:rsid w:val="00431BC2"/>
    <w:rsid w:val="00431FBC"/>
    <w:rsid w:val="00432149"/>
    <w:rsid w:val="00432CC8"/>
    <w:rsid w:val="00433963"/>
    <w:rsid w:val="00434572"/>
    <w:rsid w:val="004345C6"/>
    <w:rsid w:val="00434745"/>
    <w:rsid w:val="00435145"/>
    <w:rsid w:val="004357F9"/>
    <w:rsid w:val="004358D6"/>
    <w:rsid w:val="00435BD7"/>
    <w:rsid w:val="004360C0"/>
    <w:rsid w:val="004361F2"/>
    <w:rsid w:val="00436882"/>
    <w:rsid w:val="00437576"/>
    <w:rsid w:val="004375C7"/>
    <w:rsid w:val="004401AD"/>
    <w:rsid w:val="00440419"/>
    <w:rsid w:val="00440BD8"/>
    <w:rsid w:val="004414F2"/>
    <w:rsid w:val="00441D72"/>
    <w:rsid w:val="00441DD4"/>
    <w:rsid w:val="00442521"/>
    <w:rsid w:val="00442D11"/>
    <w:rsid w:val="00443501"/>
    <w:rsid w:val="00443881"/>
    <w:rsid w:val="004441B0"/>
    <w:rsid w:val="00444499"/>
    <w:rsid w:val="004444F5"/>
    <w:rsid w:val="00444815"/>
    <w:rsid w:val="00444EC0"/>
    <w:rsid w:val="004457A0"/>
    <w:rsid w:val="00445871"/>
    <w:rsid w:val="00445E69"/>
    <w:rsid w:val="00445ECB"/>
    <w:rsid w:val="004460BF"/>
    <w:rsid w:val="00446688"/>
    <w:rsid w:val="00446759"/>
    <w:rsid w:val="00446896"/>
    <w:rsid w:val="00446E15"/>
    <w:rsid w:val="00446F2F"/>
    <w:rsid w:val="0044790C"/>
    <w:rsid w:val="004502E1"/>
    <w:rsid w:val="00450767"/>
    <w:rsid w:val="00450B46"/>
    <w:rsid w:val="0045129A"/>
    <w:rsid w:val="00451390"/>
    <w:rsid w:val="004519AE"/>
    <w:rsid w:val="00451B72"/>
    <w:rsid w:val="004520F4"/>
    <w:rsid w:val="00452323"/>
    <w:rsid w:val="0045312A"/>
    <w:rsid w:val="004534B9"/>
    <w:rsid w:val="00453926"/>
    <w:rsid w:val="00453C82"/>
    <w:rsid w:val="00453E3A"/>
    <w:rsid w:val="00454BB7"/>
    <w:rsid w:val="00454D98"/>
    <w:rsid w:val="004555DC"/>
    <w:rsid w:val="0045584E"/>
    <w:rsid w:val="00455A53"/>
    <w:rsid w:val="00456557"/>
    <w:rsid w:val="004565A0"/>
    <w:rsid w:val="00456B46"/>
    <w:rsid w:val="0045712A"/>
    <w:rsid w:val="00457CDC"/>
    <w:rsid w:val="00457D94"/>
    <w:rsid w:val="00460173"/>
    <w:rsid w:val="00460990"/>
    <w:rsid w:val="00460BBA"/>
    <w:rsid w:val="00460E83"/>
    <w:rsid w:val="0046138F"/>
    <w:rsid w:val="00461A7C"/>
    <w:rsid w:val="00461ABB"/>
    <w:rsid w:val="00462161"/>
    <w:rsid w:val="00462675"/>
    <w:rsid w:val="004629B0"/>
    <w:rsid w:val="004631D9"/>
    <w:rsid w:val="004633B3"/>
    <w:rsid w:val="00463540"/>
    <w:rsid w:val="00463D50"/>
    <w:rsid w:val="00463E2A"/>
    <w:rsid w:val="00464584"/>
    <w:rsid w:val="004649C0"/>
    <w:rsid w:val="00464AA2"/>
    <w:rsid w:val="00464B7E"/>
    <w:rsid w:val="0046552F"/>
    <w:rsid w:val="00465688"/>
    <w:rsid w:val="004658D8"/>
    <w:rsid w:val="004658E5"/>
    <w:rsid w:val="00465923"/>
    <w:rsid w:val="00465AB6"/>
    <w:rsid w:val="00465D01"/>
    <w:rsid w:val="00465FFB"/>
    <w:rsid w:val="0046690C"/>
    <w:rsid w:val="00466A74"/>
    <w:rsid w:val="00466BA0"/>
    <w:rsid w:val="0046722F"/>
    <w:rsid w:val="00467353"/>
    <w:rsid w:val="004673C0"/>
    <w:rsid w:val="00467967"/>
    <w:rsid w:val="00467E70"/>
    <w:rsid w:val="004700C2"/>
    <w:rsid w:val="0047013E"/>
    <w:rsid w:val="004705F0"/>
    <w:rsid w:val="00470A62"/>
    <w:rsid w:val="00470B29"/>
    <w:rsid w:val="0047134A"/>
    <w:rsid w:val="004723E0"/>
    <w:rsid w:val="00472A0A"/>
    <w:rsid w:val="00472D39"/>
    <w:rsid w:val="00473053"/>
    <w:rsid w:val="00473233"/>
    <w:rsid w:val="004739F7"/>
    <w:rsid w:val="004744E8"/>
    <w:rsid w:val="00474768"/>
    <w:rsid w:val="004747E0"/>
    <w:rsid w:val="00474A96"/>
    <w:rsid w:val="00475379"/>
    <w:rsid w:val="004754C9"/>
    <w:rsid w:val="00475C38"/>
    <w:rsid w:val="00475CB8"/>
    <w:rsid w:val="00475DAF"/>
    <w:rsid w:val="00475F1B"/>
    <w:rsid w:val="00475F20"/>
    <w:rsid w:val="0047687A"/>
    <w:rsid w:val="00476FDD"/>
    <w:rsid w:val="00477787"/>
    <w:rsid w:val="0047798A"/>
    <w:rsid w:val="00477F39"/>
    <w:rsid w:val="00480136"/>
    <w:rsid w:val="00480247"/>
    <w:rsid w:val="0048032E"/>
    <w:rsid w:val="00480E51"/>
    <w:rsid w:val="00480EB7"/>
    <w:rsid w:val="00481276"/>
    <w:rsid w:val="00481B61"/>
    <w:rsid w:val="00481C68"/>
    <w:rsid w:val="00481D42"/>
    <w:rsid w:val="00481F9B"/>
    <w:rsid w:val="0048218A"/>
    <w:rsid w:val="0048247D"/>
    <w:rsid w:val="004824DA"/>
    <w:rsid w:val="00482926"/>
    <w:rsid w:val="00482F78"/>
    <w:rsid w:val="00483015"/>
    <w:rsid w:val="00483064"/>
    <w:rsid w:val="00483A4E"/>
    <w:rsid w:val="00484949"/>
    <w:rsid w:val="004849AD"/>
    <w:rsid w:val="004849F8"/>
    <w:rsid w:val="00484E22"/>
    <w:rsid w:val="004856E7"/>
    <w:rsid w:val="0048647C"/>
    <w:rsid w:val="004869A6"/>
    <w:rsid w:val="00486A34"/>
    <w:rsid w:val="00487463"/>
    <w:rsid w:val="004878D0"/>
    <w:rsid w:val="00490EBB"/>
    <w:rsid w:val="00491366"/>
    <w:rsid w:val="00491FCE"/>
    <w:rsid w:val="0049200E"/>
    <w:rsid w:val="00492179"/>
    <w:rsid w:val="0049223B"/>
    <w:rsid w:val="00492277"/>
    <w:rsid w:val="004927C1"/>
    <w:rsid w:val="004927D1"/>
    <w:rsid w:val="00492DEA"/>
    <w:rsid w:val="00493122"/>
    <w:rsid w:val="00493583"/>
    <w:rsid w:val="00493BDC"/>
    <w:rsid w:val="00493C43"/>
    <w:rsid w:val="00493FC1"/>
    <w:rsid w:val="00494AFE"/>
    <w:rsid w:val="00494F36"/>
    <w:rsid w:val="0049536E"/>
    <w:rsid w:val="00495A90"/>
    <w:rsid w:val="004963C9"/>
    <w:rsid w:val="00496C9E"/>
    <w:rsid w:val="004972BA"/>
    <w:rsid w:val="004974A7"/>
    <w:rsid w:val="004979B9"/>
    <w:rsid w:val="00497D38"/>
    <w:rsid w:val="00497ED1"/>
    <w:rsid w:val="004A01BB"/>
    <w:rsid w:val="004A05D1"/>
    <w:rsid w:val="004A1AFC"/>
    <w:rsid w:val="004A1D18"/>
    <w:rsid w:val="004A2583"/>
    <w:rsid w:val="004A269C"/>
    <w:rsid w:val="004A2A03"/>
    <w:rsid w:val="004A2B64"/>
    <w:rsid w:val="004A2D18"/>
    <w:rsid w:val="004A2F43"/>
    <w:rsid w:val="004A2F8D"/>
    <w:rsid w:val="004A3BF1"/>
    <w:rsid w:val="004A3E95"/>
    <w:rsid w:val="004A4201"/>
    <w:rsid w:val="004A427A"/>
    <w:rsid w:val="004A4346"/>
    <w:rsid w:val="004A45CE"/>
    <w:rsid w:val="004A4873"/>
    <w:rsid w:val="004A4D53"/>
    <w:rsid w:val="004A4DCE"/>
    <w:rsid w:val="004A4EC7"/>
    <w:rsid w:val="004A5508"/>
    <w:rsid w:val="004A57C5"/>
    <w:rsid w:val="004A6537"/>
    <w:rsid w:val="004A6B23"/>
    <w:rsid w:val="004A72CC"/>
    <w:rsid w:val="004A7EE6"/>
    <w:rsid w:val="004B01DF"/>
    <w:rsid w:val="004B0469"/>
    <w:rsid w:val="004B0DEF"/>
    <w:rsid w:val="004B10FB"/>
    <w:rsid w:val="004B1367"/>
    <w:rsid w:val="004B1862"/>
    <w:rsid w:val="004B1C56"/>
    <w:rsid w:val="004B37BA"/>
    <w:rsid w:val="004B3C71"/>
    <w:rsid w:val="004B3E91"/>
    <w:rsid w:val="004B45E9"/>
    <w:rsid w:val="004B48AE"/>
    <w:rsid w:val="004B529F"/>
    <w:rsid w:val="004B58FA"/>
    <w:rsid w:val="004B5AFB"/>
    <w:rsid w:val="004B5C8F"/>
    <w:rsid w:val="004B67CA"/>
    <w:rsid w:val="004B67E7"/>
    <w:rsid w:val="004B7B2C"/>
    <w:rsid w:val="004B7DDD"/>
    <w:rsid w:val="004C02F0"/>
    <w:rsid w:val="004C0BE5"/>
    <w:rsid w:val="004C1249"/>
    <w:rsid w:val="004C143A"/>
    <w:rsid w:val="004C162E"/>
    <w:rsid w:val="004C1944"/>
    <w:rsid w:val="004C25DB"/>
    <w:rsid w:val="004C2640"/>
    <w:rsid w:val="004C26D6"/>
    <w:rsid w:val="004C3284"/>
    <w:rsid w:val="004C3435"/>
    <w:rsid w:val="004C3C61"/>
    <w:rsid w:val="004C3F9F"/>
    <w:rsid w:val="004C40C4"/>
    <w:rsid w:val="004C470B"/>
    <w:rsid w:val="004C47B7"/>
    <w:rsid w:val="004C4A44"/>
    <w:rsid w:val="004C5560"/>
    <w:rsid w:val="004C5642"/>
    <w:rsid w:val="004C5649"/>
    <w:rsid w:val="004C6F9C"/>
    <w:rsid w:val="004C71DA"/>
    <w:rsid w:val="004C791D"/>
    <w:rsid w:val="004C7A53"/>
    <w:rsid w:val="004C7C90"/>
    <w:rsid w:val="004C7DF1"/>
    <w:rsid w:val="004C7FEF"/>
    <w:rsid w:val="004D0056"/>
    <w:rsid w:val="004D02FC"/>
    <w:rsid w:val="004D0473"/>
    <w:rsid w:val="004D06F9"/>
    <w:rsid w:val="004D0871"/>
    <w:rsid w:val="004D0EB1"/>
    <w:rsid w:val="004D14A2"/>
    <w:rsid w:val="004D1BF4"/>
    <w:rsid w:val="004D200A"/>
    <w:rsid w:val="004D2152"/>
    <w:rsid w:val="004D229E"/>
    <w:rsid w:val="004D395D"/>
    <w:rsid w:val="004D39AC"/>
    <w:rsid w:val="004D3C91"/>
    <w:rsid w:val="004D3D3E"/>
    <w:rsid w:val="004D406D"/>
    <w:rsid w:val="004D48C3"/>
    <w:rsid w:val="004D5A2E"/>
    <w:rsid w:val="004D5D50"/>
    <w:rsid w:val="004D67B7"/>
    <w:rsid w:val="004D71E6"/>
    <w:rsid w:val="004D7AA8"/>
    <w:rsid w:val="004E0748"/>
    <w:rsid w:val="004E0A1C"/>
    <w:rsid w:val="004E10D2"/>
    <w:rsid w:val="004E17C3"/>
    <w:rsid w:val="004E21C3"/>
    <w:rsid w:val="004E23C4"/>
    <w:rsid w:val="004E27D5"/>
    <w:rsid w:val="004E27F7"/>
    <w:rsid w:val="004E2BD5"/>
    <w:rsid w:val="004E2E33"/>
    <w:rsid w:val="004E380B"/>
    <w:rsid w:val="004E3906"/>
    <w:rsid w:val="004E4338"/>
    <w:rsid w:val="004E44A3"/>
    <w:rsid w:val="004E4709"/>
    <w:rsid w:val="004E48A3"/>
    <w:rsid w:val="004E54CB"/>
    <w:rsid w:val="004E5A30"/>
    <w:rsid w:val="004E5E25"/>
    <w:rsid w:val="004E6152"/>
    <w:rsid w:val="004E6644"/>
    <w:rsid w:val="004E69F5"/>
    <w:rsid w:val="004E6DEC"/>
    <w:rsid w:val="004F02FA"/>
    <w:rsid w:val="004F03EA"/>
    <w:rsid w:val="004F0CC8"/>
    <w:rsid w:val="004F0CDB"/>
    <w:rsid w:val="004F0D1E"/>
    <w:rsid w:val="004F101E"/>
    <w:rsid w:val="004F14EC"/>
    <w:rsid w:val="004F1669"/>
    <w:rsid w:val="004F1C22"/>
    <w:rsid w:val="004F1E79"/>
    <w:rsid w:val="004F2604"/>
    <w:rsid w:val="004F2AA4"/>
    <w:rsid w:val="004F33BD"/>
    <w:rsid w:val="004F390B"/>
    <w:rsid w:val="004F448F"/>
    <w:rsid w:val="004F535C"/>
    <w:rsid w:val="004F56E3"/>
    <w:rsid w:val="004F583D"/>
    <w:rsid w:val="004F58BC"/>
    <w:rsid w:val="004F5C63"/>
    <w:rsid w:val="004F60C2"/>
    <w:rsid w:val="004F60D6"/>
    <w:rsid w:val="004F61E3"/>
    <w:rsid w:val="004F626F"/>
    <w:rsid w:val="004F652C"/>
    <w:rsid w:val="004F65FE"/>
    <w:rsid w:val="004F7282"/>
    <w:rsid w:val="0050025C"/>
    <w:rsid w:val="005011FB"/>
    <w:rsid w:val="0050159A"/>
    <w:rsid w:val="005016F1"/>
    <w:rsid w:val="00501867"/>
    <w:rsid w:val="005019A4"/>
    <w:rsid w:val="00501EA6"/>
    <w:rsid w:val="00501EF5"/>
    <w:rsid w:val="0050227B"/>
    <w:rsid w:val="00502A07"/>
    <w:rsid w:val="00502E6D"/>
    <w:rsid w:val="0050312D"/>
    <w:rsid w:val="005031D4"/>
    <w:rsid w:val="00503466"/>
    <w:rsid w:val="00503475"/>
    <w:rsid w:val="005034E6"/>
    <w:rsid w:val="00503B93"/>
    <w:rsid w:val="00503D49"/>
    <w:rsid w:val="0050466D"/>
    <w:rsid w:val="0050543D"/>
    <w:rsid w:val="00505520"/>
    <w:rsid w:val="005063D3"/>
    <w:rsid w:val="0050661F"/>
    <w:rsid w:val="005072E0"/>
    <w:rsid w:val="00507E45"/>
    <w:rsid w:val="00507F2E"/>
    <w:rsid w:val="00507F56"/>
    <w:rsid w:val="005100C2"/>
    <w:rsid w:val="00510403"/>
    <w:rsid w:val="0051071F"/>
    <w:rsid w:val="00510C62"/>
    <w:rsid w:val="00510E06"/>
    <w:rsid w:val="00510E9E"/>
    <w:rsid w:val="00511027"/>
    <w:rsid w:val="00511216"/>
    <w:rsid w:val="00511769"/>
    <w:rsid w:val="00511ABC"/>
    <w:rsid w:val="00511CC6"/>
    <w:rsid w:val="00511EC8"/>
    <w:rsid w:val="00512056"/>
    <w:rsid w:val="00512378"/>
    <w:rsid w:val="00512ABC"/>
    <w:rsid w:val="00512B58"/>
    <w:rsid w:val="00512CB9"/>
    <w:rsid w:val="00513217"/>
    <w:rsid w:val="005140D6"/>
    <w:rsid w:val="0051438E"/>
    <w:rsid w:val="005144B3"/>
    <w:rsid w:val="005144D7"/>
    <w:rsid w:val="0051459A"/>
    <w:rsid w:val="00514617"/>
    <w:rsid w:val="00514715"/>
    <w:rsid w:val="00514DE5"/>
    <w:rsid w:val="00515689"/>
    <w:rsid w:val="00515950"/>
    <w:rsid w:val="00515994"/>
    <w:rsid w:val="00515A50"/>
    <w:rsid w:val="00515AAD"/>
    <w:rsid w:val="00516234"/>
    <w:rsid w:val="00516B61"/>
    <w:rsid w:val="00516C5D"/>
    <w:rsid w:val="00516E28"/>
    <w:rsid w:val="0051732F"/>
    <w:rsid w:val="00517709"/>
    <w:rsid w:val="00517C7C"/>
    <w:rsid w:val="00517D9A"/>
    <w:rsid w:val="00520172"/>
    <w:rsid w:val="005202FF"/>
    <w:rsid w:val="00520765"/>
    <w:rsid w:val="00520F17"/>
    <w:rsid w:val="005214A0"/>
    <w:rsid w:val="005216B8"/>
    <w:rsid w:val="005217EF"/>
    <w:rsid w:val="005219AE"/>
    <w:rsid w:val="00521B69"/>
    <w:rsid w:val="005225FD"/>
    <w:rsid w:val="00522762"/>
    <w:rsid w:val="005228A5"/>
    <w:rsid w:val="00522983"/>
    <w:rsid w:val="00522CFD"/>
    <w:rsid w:val="005231A9"/>
    <w:rsid w:val="00523A23"/>
    <w:rsid w:val="0052439C"/>
    <w:rsid w:val="00524571"/>
    <w:rsid w:val="00524617"/>
    <w:rsid w:val="005249AD"/>
    <w:rsid w:val="00524ADE"/>
    <w:rsid w:val="00524C07"/>
    <w:rsid w:val="00524E8E"/>
    <w:rsid w:val="00525A3F"/>
    <w:rsid w:val="00525A99"/>
    <w:rsid w:val="00525B19"/>
    <w:rsid w:val="00525FE9"/>
    <w:rsid w:val="005302E3"/>
    <w:rsid w:val="00531474"/>
    <w:rsid w:val="00531731"/>
    <w:rsid w:val="00531E05"/>
    <w:rsid w:val="005320C7"/>
    <w:rsid w:val="00532276"/>
    <w:rsid w:val="00533065"/>
    <w:rsid w:val="00533C34"/>
    <w:rsid w:val="00533FC2"/>
    <w:rsid w:val="005340EB"/>
    <w:rsid w:val="00534363"/>
    <w:rsid w:val="00534F4F"/>
    <w:rsid w:val="00534FF4"/>
    <w:rsid w:val="005359BF"/>
    <w:rsid w:val="00535D3A"/>
    <w:rsid w:val="00535FCD"/>
    <w:rsid w:val="00536317"/>
    <w:rsid w:val="00536A95"/>
    <w:rsid w:val="00536DB2"/>
    <w:rsid w:val="00537099"/>
    <w:rsid w:val="00537CA9"/>
    <w:rsid w:val="0054000A"/>
    <w:rsid w:val="00540865"/>
    <w:rsid w:val="00540F2B"/>
    <w:rsid w:val="0054110A"/>
    <w:rsid w:val="00541942"/>
    <w:rsid w:val="00542879"/>
    <w:rsid w:val="00542892"/>
    <w:rsid w:val="005428A2"/>
    <w:rsid w:val="005429C7"/>
    <w:rsid w:val="00543084"/>
    <w:rsid w:val="005431EC"/>
    <w:rsid w:val="0054325F"/>
    <w:rsid w:val="005433D0"/>
    <w:rsid w:val="0054456C"/>
    <w:rsid w:val="00545D54"/>
    <w:rsid w:val="00546176"/>
    <w:rsid w:val="005475CC"/>
    <w:rsid w:val="00547C79"/>
    <w:rsid w:val="00547E19"/>
    <w:rsid w:val="00550A14"/>
    <w:rsid w:val="00551B31"/>
    <w:rsid w:val="00552237"/>
    <w:rsid w:val="005524DF"/>
    <w:rsid w:val="00552A65"/>
    <w:rsid w:val="00552F39"/>
    <w:rsid w:val="00553E5F"/>
    <w:rsid w:val="00554AF2"/>
    <w:rsid w:val="00554DA9"/>
    <w:rsid w:val="00554E08"/>
    <w:rsid w:val="005552F2"/>
    <w:rsid w:val="00555345"/>
    <w:rsid w:val="005554BC"/>
    <w:rsid w:val="005558A7"/>
    <w:rsid w:val="00555962"/>
    <w:rsid w:val="00555A1A"/>
    <w:rsid w:val="00555B21"/>
    <w:rsid w:val="00555BF1"/>
    <w:rsid w:val="00555CD0"/>
    <w:rsid w:val="00556223"/>
    <w:rsid w:val="0055625D"/>
    <w:rsid w:val="005563CD"/>
    <w:rsid w:val="00556478"/>
    <w:rsid w:val="00556514"/>
    <w:rsid w:val="00556849"/>
    <w:rsid w:val="00556870"/>
    <w:rsid w:val="00560624"/>
    <w:rsid w:val="00560CB1"/>
    <w:rsid w:val="00560EDB"/>
    <w:rsid w:val="00560F02"/>
    <w:rsid w:val="00561118"/>
    <w:rsid w:val="005616DB"/>
    <w:rsid w:val="005618F1"/>
    <w:rsid w:val="00561B94"/>
    <w:rsid w:val="00562012"/>
    <w:rsid w:val="00562845"/>
    <w:rsid w:val="00562AEB"/>
    <w:rsid w:val="00563008"/>
    <w:rsid w:val="00563190"/>
    <w:rsid w:val="00563259"/>
    <w:rsid w:val="00563297"/>
    <w:rsid w:val="005633AF"/>
    <w:rsid w:val="005635C1"/>
    <w:rsid w:val="005636E7"/>
    <w:rsid w:val="00563A17"/>
    <w:rsid w:val="00563AEF"/>
    <w:rsid w:val="00563BF8"/>
    <w:rsid w:val="0056407C"/>
    <w:rsid w:val="0056447C"/>
    <w:rsid w:val="00564741"/>
    <w:rsid w:val="00564AED"/>
    <w:rsid w:val="005656BD"/>
    <w:rsid w:val="00565D22"/>
    <w:rsid w:val="005665B7"/>
    <w:rsid w:val="00566C21"/>
    <w:rsid w:val="005672B3"/>
    <w:rsid w:val="00567319"/>
    <w:rsid w:val="0056752E"/>
    <w:rsid w:val="00567EA1"/>
    <w:rsid w:val="0057020B"/>
    <w:rsid w:val="00571894"/>
    <w:rsid w:val="00571C2B"/>
    <w:rsid w:val="00571CE0"/>
    <w:rsid w:val="00571FC1"/>
    <w:rsid w:val="0057278C"/>
    <w:rsid w:val="00573E53"/>
    <w:rsid w:val="0057400A"/>
    <w:rsid w:val="005749F3"/>
    <w:rsid w:val="0057517D"/>
    <w:rsid w:val="005755BC"/>
    <w:rsid w:val="005758D6"/>
    <w:rsid w:val="00575B83"/>
    <w:rsid w:val="00575E6E"/>
    <w:rsid w:val="00575FC8"/>
    <w:rsid w:val="0057630E"/>
    <w:rsid w:val="00576697"/>
    <w:rsid w:val="00576A29"/>
    <w:rsid w:val="0057730A"/>
    <w:rsid w:val="005777ED"/>
    <w:rsid w:val="0057788C"/>
    <w:rsid w:val="00577B8F"/>
    <w:rsid w:val="00577DE0"/>
    <w:rsid w:val="005800BC"/>
    <w:rsid w:val="00580801"/>
    <w:rsid w:val="00580E51"/>
    <w:rsid w:val="005813E7"/>
    <w:rsid w:val="00581F0A"/>
    <w:rsid w:val="005820AD"/>
    <w:rsid w:val="00582652"/>
    <w:rsid w:val="00582FED"/>
    <w:rsid w:val="0058301A"/>
    <w:rsid w:val="005830B5"/>
    <w:rsid w:val="00583458"/>
    <w:rsid w:val="00583F62"/>
    <w:rsid w:val="005840D7"/>
    <w:rsid w:val="00584188"/>
    <w:rsid w:val="005849F9"/>
    <w:rsid w:val="00584CA5"/>
    <w:rsid w:val="00585171"/>
    <w:rsid w:val="005854E3"/>
    <w:rsid w:val="00585556"/>
    <w:rsid w:val="00585A51"/>
    <w:rsid w:val="005860E5"/>
    <w:rsid w:val="0058673D"/>
    <w:rsid w:val="0058698E"/>
    <w:rsid w:val="005870D1"/>
    <w:rsid w:val="005871D9"/>
    <w:rsid w:val="0058784A"/>
    <w:rsid w:val="00587E2D"/>
    <w:rsid w:val="00587E99"/>
    <w:rsid w:val="00590015"/>
    <w:rsid w:val="00590A6C"/>
    <w:rsid w:val="0059164C"/>
    <w:rsid w:val="00591713"/>
    <w:rsid w:val="0059189A"/>
    <w:rsid w:val="00591E94"/>
    <w:rsid w:val="0059307A"/>
    <w:rsid w:val="00593307"/>
    <w:rsid w:val="005949E0"/>
    <w:rsid w:val="00594A15"/>
    <w:rsid w:val="00594D02"/>
    <w:rsid w:val="0059588F"/>
    <w:rsid w:val="00595D10"/>
    <w:rsid w:val="00595D15"/>
    <w:rsid w:val="0059627F"/>
    <w:rsid w:val="0059628A"/>
    <w:rsid w:val="0059668F"/>
    <w:rsid w:val="00596A8D"/>
    <w:rsid w:val="005974FD"/>
    <w:rsid w:val="00597863"/>
    <w:rsid w:val="00597B5B"/>
    <w:rsid w:val="00597D96"/>
    <w:rsid w:val="005A043B"/>
    <w:rsid w:val="005A07AB"/>
    <w:rsid w:val="005A0D21"/>
    <w:rsid w:val="005A0E27"/>
    <w:rsid w:val="005A0F8E"/>
    <w:rsid w:val="005A1016"/>
    <w:rsid w:val="005A1B78"/>
    <w:rsid w:val="005A29F7"/>
    <w:rsid w:val="005A2C38"/>
    <w:rsid w:val="005A30C1"/>
    <w:rsid w:val="005A3FB4"/>
    <w:rsid w:val="005A4155"/>
    <w:rsid w:val="005A42AF"/>
    <w:rsid w:val="005A44BA"/>
    <w:rsid w:val="005A4951"/>
    <w:rsid w:val="005A49CE"/>
    <w:rsid w:val="005A4F1E"/>
    <w:rsid w:val="005A568C"/>
    <w:rsid w:val="005A603B"/>
    <w:rsid w:val="005A60C4"/>
    <w:rsid w:val="005A6150"/>
    <w:rsid w:val="005A664A"/>
    <w:rsid w:val="005A6686"/>
    <w:rsid w:val="005A6D63"/>
    <w:rsid w:val="005A738B"/>
    <w:rsid w:val="005A7B47"/>
    <w:rsid w:val="005A7C78"/>
    <w:rsid w:val="005A7CF7"/>
    <w:rsid w:val="005B0B96"/>
    <w:rsid w:val="005B1419"/>
    <w:rsid w:val="005B1476"/>
    <w:rsid w:val="005B16BC"/>
    <w:rsid w:val="005B1E93"/>
    <w:rsid w:val="005B31A7"/>
    <w:rsid w:val="005B3E29"/>
    <w:rsid w:val="005B40E8"/>
    <w:rsid w:val="005B4553"/>
    <w:rsid w:val="005B4726"/>
    <w:rsid w:val="005B4882"/>
    <w:rsid w:val="005B59C9"/>
    <w:rsid w:val="005B5C15"/>
    <w:rsid w:val="005B62A6"/>
    <w:rsid w:val="005B7765"/>
    <w:rsid w:val="005B7900"/>
    <w:rsid w:val="005B7905"/>
    <w:rsid w:val="005B7A27"/>
    <w:rsid w:val="005C07AD"/>
    <w:rsid w:val="005C0822"/>
    <w:rsid w:val="005C0AB4"/>
    <w:rsid w:val="005C0B17"/>
    <w:rsid w:val="005C157A"/>
    <w:rsid w:val="005C17D1"/>
    <w:rsid w:val="005C1863"/>
    <w:rsid w:val="005C311A"/>
    <w:rsid w:val="005C32D5"/>
    <w:rsid w:val="005C37C8"/>
    <w:rsid w:val="005C3909"/>
    <w:rsid w:val="005C3C00"/>
    <w:rsid w:val="005C3FED"/>
    <w:rsid w:val="005C4162"/>
    <w:rsid w:val="005C41D5"/>
    <w:rsid w:val="005C4298"/>
    <w:rsid w:val="005C4F19"/>
    <w:rsid w:val="005C525B"/>
    <w:rsid w:val="005C5CA0"/>
    <w:rsid w:val="005C5FA0"/>
    <w:rsid w:val="005C629F"/>
    <w:rsid w:val="005C6BAE"/>
    <w:rsid w:val="005C76AB"/>
    <w:rsid w:val="005C7BF7"/>
    <w:rsid w:val="005C7CA4"/>
    <w:rsid w:val="005D0AF2"/>
    <w:rsid w:val="005D13C5"/>
    <w:rsid w:val="005D1637"/>
    <w:rsid w:val="005D1A51"/>
    <w:rsid w:val="005D1A93"/>
    <w:rsid w:val="005D1B4C"/>
    <w:rsid w:val="005D1C71"/>
    <w:rsid w:val="005D1DC1"/>
    <w:rsid w:val="005D27D0"/>
    <w:rsid w:val="005D2A73"/>
    <w:rsid w:val="005D2E22"/>
    <w:rsid w:val="005D3595"/>
    <w:rsid w:val="005D3BF4"/>
    <w:rsid w:val="005D4713"/>
    <w:rsid w:val="005D4F16"/>
    <w:rsid w:val="005D5308"/>
    <w:rsid w:val="005D56CB"/>
    <w:rsid w:val="005D599F"/>
    <w:rsid w:val="005D59AE"/>
    <w:rsid w:val="005D5AA3"/>
    <w:rsid w:val="005D5C0B"/>
    <w:rsid w:val="005D5D3F"/>
    <w:rsid w:val="005D6376"/>
    <w:rsid w:val="005D6A4B"/>
    <w:rsid w:val="005D6D99"/>
    <w:rsid w:val="005D6DAB"/>
    <w:rsid w:val="005D718D"/>
    <w:rsid w:val="005D7343"/>
    <w:rsid w:val="005D7D76"/>
    <w:rsid w:val="005E0025"/>
    <w:rsid w:val="005E0132"/>
    <w:rsid w:val="005E023D"/>
    <w:rsid w:val="005E04F2"/>
    <w:rsid w:val="005E060D"/>
    <w:rsid w:val="005E0FAD"/>
    <w:rsid w:val="005E1066"/>
    <w:rsid w:val="005E1A80"/>
    <w:rsid w:val="005E1A91"/>
    <w:rsid w:val="005E1BA7"/>
    <w:rsid w:val="005E1E7A"/>
    <w:rsid w:val="005E2984"/>
    <w:rsid w:val="005E30AB"/>
    <w:rsid w:val="005E3729"/>
    <w:rsid w:val="005E3979"/>
    <w:rsid w:val="005E3FE6"/>
    <w:rsid w:val="005E44FC"/>
    <w:rsid w:val="005E4895"/>
    <w:rsid w:val="005E496D"/>
    <w:rsid w:val="005E4C1C"/>
    <w:rsid w:val="005E4E30"/>
    <w:rsid w:val="005E55D7"/>
    <w:rsid w:val="005E5B32"/>
    <w:rsid w:val="005E6228"/>
    <w:rsid w:val="005E64C2"/>
    <w:rsid w:val="005E74B0"/>
    <w:rsid w:val="005E7B2E"/>
    <w:rsid w:val="005F0229"/>
    <w:rsid w:val="005F02BA"/>
    <w:rsid w:val="005F06B1"/>
    <w:rsid w:val="005F0E26"/>
    <w:rsid w:val="005F1285"/>
    <w:rsid w:val="005F1570"/>
    <w:rsid w:val="005F1925"/>
    <w:rsid w:val="005F1BB7"/>
    <w:rsid w:val="005F2BA1"/>
    <w:rsid w:val="005F2C79"/>
    <w:rsid w:val="005F2D17"/>
    <w:rsid w:val="005F2D42"/>
    <w:rsid w:val="005F3758"/>
    <w:rsid w:val="005F4035"/>
    <w:rsid w:val="005F42D9"/>
    <w:rsid w:val="005F42DA"/>
    <w:rsid w:val="005F43F7"/>
    <w:rsid w:val="005F4C43"/>
    <w:rsid w:val="005F4E45"/>
    <w:rsid w:val="005F5275"/>
    <w:rsid w:val="005F5B9E"/>
    <w:rsid w:val="005F5E0B"/>
    <w:rsid w:val="005F66E9"/>
    <w:rsid w:val="005F67F0"/>
    <w:rsid w:val="005F68E0"/>
    <w:rsid w:val="005F6E15"/>
    <w:rsid w:val="005F763F"/>
    <w:rsid w:val="005F78A1"/>
    <w:rsid w:val="00600687"/>
    <w:rsid w:val="006009DA"/>
    <w:rsid w:val="00600D41"/>
    <w:rsid w:val="0060120E"/>
    <w:rsid w:val="0060167C"/>
    <w:rsid w:val="00601BD5"/>
    <w:rsid w:val="00602033"/>
    <w:rsid w:val="00602183"/>
    <w:rsid w:val="0060293E"/>
    <w:rsid w:val="00603217"/>
    <w:rsid w:val="00603500"/>
    <w:rsid w:val="006036F6"/>
    <w:rsid w:val="00604324"/>
    <w:rsid w:val="00604978"/>
    <w:rsid w:val="00604B62"/>
    <w:rsid w:val="00604ED3"/>
    <w:rsid w:val="00605385"/>
    <w:rsid w:val="00606304"/>
    <w:rsid w:val="0060636E"/>
    <w:rsid w:val="00606D7F"/>
    <w:rsid w:val="006076D8"/>
    <w:rsid w:val="00607A4D"/>
    <w:rsid w:val="00607ACE"/>
    <w:rsid w:val="00607B54"/>
    <w:rsid w:val="0061053C"/>
    <w:rsid w:val="006113AF"/>
    <w:rsid w:val="00612589"/>
    <w:rsid w:val="006128D2"/>
    <w:rsid w:val="00612BC4"/>
    <w:rsid w:val="00613162"/>
    <w:rsid w:val="006135AA"/>
    <w:rsid w:val="00613B34"/>
    <w:rsid w:val="00613C3C"/>
    <w:rsid w:val="00613CE1"/>
    <w:rsid w:val="0061408F"/>
    <w:rsid w:val="00614316"/>
    <w:rsid w:val="00614654"/>
    <w:rsid w:val="006147D4"/>
    <w:rsid w:val="00614996"/>
    <w:rsid w:val="00614E6E"/>
    <w:rsid w:val="00615EDA"/>
    <w:rsid w:val="0061605D"/>
    <w:rsid w:val="0061609A"/>
    <w:rsid w:val="00616767"/>
    <w:rsid w:val="0061696E"/>
    <w:rsid w:val="00616A2A"/>
    <w:rsid w:val="00617315"/>
    <w:rsid w:val="00617362"/>
    <w:rsid w:val="00617D97"/>
    <w:rsid w:val="00617E70"/>
    <w:rsid w:val="00620637"/>
    <w:rsid w:val="006207B3"/>
    <w:rsid w:val="006208B4"/>
    <w:rsid w:val="00620B04"/>
    <w:rsid w:val="00620EAE"/>
    <w:rsid w:val="00620EFF"/>
    <w:rsid w:val="006210B3"/>
    <w:rsid w:val="006210E8"/>
    <w:rsid w:val="00621276"/>
    <w:rsid w:val="00622B50"/>
    <w:rsid w:val="006231C5"/>
    <w:rsid w:val="00623441"/>
    <w:rsid w:val="0062360D"/>
    <w:rsid w:val="0062362E"/>
    <w:rsid w:val="006236A7"/>
    <w:rsid w:val="006237FD"/>
    <w:rsid w:val="0062430E"/>
    <w:rsid w:val="006243AF"/>
    <w:rsid w:val="006247AB"/>
    <w:rsid w:val="00624BB4"/>
    <w:rsid w:val="00625503"/>
    <w:rsid w:val="006257C7"/>
    <w:rsid w:val="0062597B"/>
    <w:rsid w:val="00625B08"/>
    <w:rsid w:val="00626010"/>
    <w:rsid w:val="00626808"/>
    <w:rsid w:val="00626983"/>
    <w:rsid w:val="00626990"/>
    <w:rsid w:val="00626C39"/>
    <w:rsid w:val="00627291"/>
    <w:rsid w:val="006272C0"/>
    <w:rsid w:val="006276D9"/>
    <w:rsid w:val="00630121"/>
    <w:rsid w:val="006308C8"/>
    <w:rsid w:val="0063095D"/>
    <w:rsid w:val="00630C45"/>
    <w:rsid w:val="00630CE5"/>
    <w:rsid w:val="00631344"/>
    <w:rsid w:val="00631391"/>
    <w:rsid w:val="00631569"/>
    <w:rsid w:val="006317FD"/>
    <w:rsid w:val="006319C6"/>
    <w:rsid w:val="00631C85"/>
    <w:rsid w:val="00632124"/>
    <w:rsid w:val="006322AF"/>
    <w:rsid w:val="006323B5"/>
    <w:rsid w:val="00632812"/>
    <w:rsid w:val="00632A84"/>
    <w:rsid w:val="00632AD7"/>
    <w:rsid w:val="00632BDF"/>
    <w:rsid w:val="00633797"/>
    <w:rsid w:val="0063379C"/>
    <w:rsid w:val="00633850"/>
    <w:rsid w:val="0063390E"/>
    <w:rsid w:val="00633C3C"/>
    <w:rsid w:val="00633E86"/>
    <w:rsid w:val="006343C5"/>
    <w:rsid w:val="00634A96"/>
    <w:rsid w:val="00635056"/>
    <w:rsid w:val="00635D5E"/>
    <w:rsid w:val="00635F3F"/>
    <w:rsid w:val="00635F91"/>
    <w:rsid w:val="00636033"/>
    <w:rsid w:val="0063630C"/>
    <w:rsid w:val="00636710"/>
    <w:rsid w:val="00636C18"/>
    <w:rsid w:val="00636E46"/>
    <w:rsid w:val="006374EB"/>
    <w:rsid w:val="00637526"/>
    <w:rsid w:val="00637552"/>
    <w:rsid w:val="00637962"/>
    <w:rsid w:val="00637E23"/>
    <w:rsid w:val="00637EA1"/>
    <w:rsid w:val="0064050A"/>
    <w:rsid w:val="006406CB"/>
    <w:rsid w:val="006408AB"/>
    <w:rsid w:val="00640CBB"/>
    <w:rsid w:val="00640E9B"/>
    <w:rsid w:val="00640F42"/>
    <w:rsid w:val="0064146F"/>
    <w:rsid w:val="00641589"/>
    <w:rsid w:val="00641689"/>
    <w:rsid w:val="00641AF2"/>
    <w:rsid w:val="00641CA9"/>
    <w:rsid w:val="00641ECE"/>
    <w:rsid w:val="00642603"/>
    <w:rsid w:val="00642950"/>
    <w:rsid w:val="00642A77"/>
    <w:rsid w:val="0064367F"/>
    <w:rsid w:val="00643AE2"/>
    <w:rsid w:val="00643B0D"/>
    <w:rsid w:val="00643F5C"/>
    <w:rsid w:val="006442AF"/>
    <w:rsid w:val="006447F8"/>
    <w:rsid w:val="006453FC"/>
    <w:rsid w:val="006457B9"/>
    <w:rsid w:val="00645EA5"/>
    <w:rsid w:val="00645FC4"/>
    <w:rsid w:val="006461A1"/>
    <w:rsid w:val="006461B4"/>
    <w:rsid w:val="006464A0"/>
    <w:rsid w:val="0064701E"/>
    <w:rsid w:val="00647614"/>
    <w:rsid w:val="00647636"/>
    <w:rsid w:val="0065002F"/>
    <w:rsid w:val="006508B9"/>
    <w:rsid w:val="00651347"/>
    <w:rsid w:val="00651508"/>
    <w:rsid w:val="006517DB"/>
    <w:rsid w:val="00651CCE"/>
    <w:rsid w:val="00652182"/>
    <w:rsid w:val="0065249A"/>
    <w:rsid w:val="0065303D"/>
    <w:rsid w:val="00653095"/>
    <w:rsid w:val="00653567"/>
    <w:rsid w:val="00653606"/>
    <w:rsid w:val="006536E4"/>
    <w:rsid w:val="006538FC"/>
    <w:rsid w:val="00653B24"/>
    <w:rsid w:val="00653B65"/>
    <w:rsid w:val="00653C6B"/>
    <w:rsid w:val="00653D7A"/>
    <w:rsid w:val="006540D3"/>
    <w:rsid w:val="006542FD"/>
    <w:rsid w:val="0065445F"/>
    <w:rsid w:val="00654D6E"/>
    <w:rsid w:val="0065554B"/>
    <w:rsid w:val="006555E1"/>
    <w:rsid w:val="00655769"/>
    <w:rsid w:val="0065598C"/>
    <w:rsid w:val="006573FF"/>
    <w:rsid w:val="00657A1D"/>
    <w:rsid w:val="00657E87"/>
    <w:rsid w:val="006609E3"/>
    <w:rsid w:val="00661109"/>
    <w:rsid w:val="0066120D"/>
    <w:rsid w:val="0066130F"/>
    <w:rsid w:val="00661533"/>
    <w:rsid w:val="00661A2F"/>
    <w:rsid w:val="00661C82"/>
    <w:rsid w:val="00661DDA"/>
    <w:rsid w:val="00662324"/>
    <w:rsid w:val="00662DDA"/>
    <w:rsid w:val="0066311C"/>
    <w:rsid w:val="00663642"/>
    <w:rsid w:val="00663911"/>
    <w:rsid w:val="00663B1B"/>
    <w:rsid w:val="00663BDD"/>
    <w:rsid w:val="00663F01"/>
    <w:rsid w:val="006647BC"/>
    <w:rsid w:val="00665700"/>
    <w:rsid w:val="0066579A"/>
    <w:rsid w:val="00665929"/>
    <w:rsid w:val="00665F20"/>
    <w:rsid w:val="00666047"/>
    <w:rsid w:val="006664C8"/>
    <w:rsid w:val="00667C0F"/>
    <w:rsid w:val="00667C6B"/>
    <w:rsid w:val="00670A46"/>
    <w:rsid w:val="00670D58"/>
    <w:rsid w:val="0067123A"/>
    <w:rsid w:val="0067124A"/>
    <w:rsid w:val="00671486"/>
    <w:rsid w:val="00671E9F"/>
    <w:rsid w:val="00672621"/>
    <w:rsid w:val="006727EC"/>
    <w:rsid w:val="00672AB3"/>
    <w:rsid w:val="00672C76"/>
    <w:rsid w:val="00673D69"/>
    <w:rsid w:val="00673E69"/>
    <w:rsid w:val="0067408F"/>
    <w:rsid w:val="006744D6"/>
    <w:rsid w:val="00674F41"/>
    <w:rsid w:val="00674FB0"/>
    <w:rsid w:val="006753A0"/>
    <w:rsid w:val="00675AED"/>
    <w:rsid w:val="00676065"/>
    <w:rsid w:val="006760F9"/>
    <w:rsid w:val="006761EF"/>
    <w:rsid w:val="006773FA"/>
    <w:rsid w:val="00677FB1"/>
    <w:rsid w:val="00680842"/>
    <w:rsid w:val="006816D5"/>
    <w:rsid w:val="00681899"/>
    <w:rsid w:val="00681D57"/>
    <w:rsid w:val="006821C1"/>
    <w:rsid w:val="0068222C"/>
    <w:rsid w:val="00682849"/>
    <w:rsid w:val="0068293A"/>
    <w:rsid w:val="00682D10"/>
    <w:rsid w:val="00683024"/>
    <w:rsid w:val="00683F51"/>
    <w:rsid w:val="00684402"/>
    <w:rsid w:val="006846EB"/>
    <w:rsid w:val="00684814"/>
    <w:rsid w:val="00684DCC"/>
    <w:rsid w:val="00685249"/>
    <w:rsid w:val="00685693"/>
    <w:rsid w:val="00685A40"/>
    <w:rsid w:val="00685AEF"/>
    <w:rsid w:val="0068607D"/>
    <w:rsid w:val="00686C23"/>
    <w:rsid w:val="00687CEA"/>
    <w:rsid w:val="0069052D"/>
    <w:rsid w:val="00690B38"/>
    <w:rsid w:val="00690C24"/>
    <w:rsid w:val="00691FA1"/>
    <w:rsid w:val="006924D0"/>
    <w:rsid w:val="0069271F"/>
    <w:rsid w:val="00692838"/>
    <w:rsid w:val="00692D56"/>
    <w:rsid w:val="00692DA1"/>
    <w:rsid w:val="00692E90"/>
    <w:rsid w:val="00692FC8"/>
    <w:rsid w:val="006935A9"/>
    <w:rsid w:val="00693D6F"/>
    <w:rsid w:val="0069412B"/>
    <w:rsid w:val="0069422C"/>
    <w:rsid w:val="006942E6"/>
    <w:rsid w:val="00694632"/>
    <w:rsid w:val="00694AC9"/>
    <w:rsid w:val="00694C9A"/>
    <w:rsid w:val="006952B5"/>
    <w:rsid w:val="00695665"/>
    <w:rsid w:val="006956F3"/>
    <w:rsid w:val="00696038"/>
    <w:rsid w:val="00696174"/>
    <w:rsid w:val="00696606"/>
    <w:rsid w:val="006968F4"/>
    <w:rsid w:val="00696A7E"/>
    <w:rsid w:val="006973A0"/>
    <w:rsid w:val="00697941"/>
    <w:rsid w:val="00697B5D"/>
    <w:rsid w:val="00697DD5"/>
    <w:rsid w:val="006A0B5D"/>
    <w:rsid w:val="006A0B96"/>
    <w:rsid w:val="006A0BB6"/>
    <w:rsid w:val="006A1069"/>
    <w:rsid w:val="006A1297"/>
    <w:rsid w:val="006A16BC"/>
    <w:rsid w:val="006A1E75"/>
    <w:rsid w:val="006A1F77"/>
    <w:rsid w:val="006A2348"/>
    <w:rsid w:val="006A23CC"/>
    <w:rsid w:val="006A2DEE"/>
    <w:rsid w:val="006A33B6"/>
    <w:rsid w:val="006A35BE"/>
    <w:rsid w:val="006A3D02"/>
    <w:rsid w:val="006A3F60"/>
    <w:rsid w:val="006A43B3"/>
    <w:rsid w:val="006A4569"/>
    <w:rsid w:val="006A47DE"/>
    <w:rsid w:val="006A52CC"/>
    <w:rsid w:val="006A5B5C"/>
    <w:rsid w:val="006A5C49"/>
    <w:rsid w:val="006A5DA5"/>
    <w:rsid w:val="006A5F19"/>
    <w:rsid w:val="006A656D"/>
    <w:rsid w:val="006A7059"/>
    <w:rsid w:val="006A7742"/>
    <w:rsid w:val="006B055E"/>
    <w:rsid w:val="006B06B7"/>
    <w:rsid w:val="006B0936"/>
    <w:rsid w:val="006B1CD5"/>
    <w:rsid w:val="006B2E59"/>
    <w:rsid w:val="006B3F97"/>
    <w:rsid w:val="006B4027"/>
    <w:rsid w:val="006B4143"/>
    <w:rsid w:val="006B421B"/>
    <w:rsid w:val="006B437A"/>
    <w:rsid w:val="006B44E3"/>
    <w:rsid w:val="006B46FC"/>
    <w:rsid w:val="006B4D50"/>
    <w:rsid w:val="006B52E0"/>
    <w:rsid w:val="006B5A09"/>
    <w:rsid w:val="006B614B"/>
    <w:rsid w:val="006B6622"/>
    <w:rsid w:val="006B7974"/>
    <w:rsid w:val="006B7D4F"/>
    <w:rsid w:val="006C0251"/>
    <w:rsid w:val="006C0820"/>
    <w:rsid w:val="006C09EE"/>
    <w:rsid w:val="006C0DD1"/>
    <w:rsid w:val="006C0F57"/>
    <w:rsid w:val="006C0F68"/>
    <w:rsid w:val="006C0FE9"/>
    <w:rsid w:val="006C1B01"/>
    <w:rsid w:val="006C1C28"/>
    <w:rsid w:val="006C1D4B"/>
    <w:rsid w:val="006C1DC3"/>
    <w:rsid w:val="006C20BB"/>
    <w:rsid w:val="006C2860"/>
    <w:rsid w:val="006C297B"/>
    <w:rsid w:val="006C2DD2"/>
    <w:rsid w:val="006C2EEA"/>
    <w:rsid w:val="006C30E9"/>
    <w:rsid w:val="006C371F"/>
    <w:rsid w:val="006C3AD8"/>
    <w:rsid w:val="006C4021"/>
    <w:rsid w:val="006C4212"/>
    <w:rsid w:val="006C4406"/>
    <w:rsid w:val="006C48F7"/>
    <w:rsid w:val="006C4C10"/>
    <w:rsid w:val="006C4D10"/>
    <w:rsid w:val="006C4EF0"/>
    <w:rsid w:val="006C5058"/>
    <w:rsid w:val="006C537D"/>
    <w:rsid w:val="006C55FC"/>
    <w:rsid w:val="006C56CD"/>
    <w:rsid w:val="006C5BCB"/>
    <w:rsid w:val="006C64C6"/>
    <w:rsid w:val="006C6A81"/>
    <w:rsid w:val="006C6FA9"/>
    <w:rsid w:val="006C7A0B"/>
    <w:rsid w:val="006D15A5"/>
    <w:rsid w:val="006D1AA3"/>
    <w:rsid w:val="006D224C"/>
    <w:rsid w:val="006D23DE"/>
    <w:rsid w:val="006D255A"/>
    <w:rsid w:val="006D2843"/>
    <w:rsid w:val="006D2A9E"/>
    <w:rsid w:val="006D3105"/>
    <w:rsid w:val="006D3118"/>
    <w:rsid w:val="006D394F"/>
    <w:rsid w:val="006D41DE"/>
    <w:rsid w:val="006D4D28"/>
    <w:rsid w:val="006D4D79"/>
    <w:rsid w:val="006D500D"/>
    <w:rsid w:val="006D5103"/>
    <w:rsid w:val="006D5D80"/>
    <w:rsid w:val="006D5DD7"/>
    <w:rsid w:val="006D6176"/>
    <w:rsid w:val="006D6C44"/>
    <w:rsid w:val="006D6D83"/>
    <w:rsid w:val="006D6FA2"/>
    <w:rsid w:val="006D757F"/>
    <w:rsid w:val="006D7E17"/>
    <w:rsid w:val="006D7E6F"/>
    <w:rsid w:val="006E0023"/>
    <w:rsid w:val="006E03B4"/>
    <w:rsid w:val="006E077B"/>
    <w:rsid w:val="006E19A4"/>
    <w:rsid w:val="006E1CC7"/>
    <w:rsid w:val="006E1E1F"/>
    <w:rsid w:val="006E2296"/>
    <w:rsid w:val="006E2328"/>
    <w:rsid w:val="006E3806"/>
    <w:rsid w:val="006E3B77"/>
    <w:rsid w:val="006E3CDE"/>
    <w:rsid w:val="006E4029"/>
    <w:rsid w:val="006E450E"/>
    <w:rsid w:val="006E4B14"/>
    <w:rsid w:val="006E4C97"/>
    <w:rsid w:val="006E4CA7"/>
    <w:rsid w:val="006E4F13"/>
    <w:rsid w:val="006E5412"/>
    <w:rsid w:val="006E543E"/>
    <w:rsid w:val="006E55F1"/>
    <w:rsid w:val="006E5B9A"/>
    <w:rsid w:val="006E5F56"/>
    <w:rsid w:val="006E6800"/>
    <w:rsid w:val="006E6BA8"/>
    <w:rsid w:val="006E71C2"/>
    <w:rsid w:val="006E71E1"/>
    <w:rsid w:val="006E771C"/>
    <w:rsid w:val="006F0040"/>
    <w:rsid w:val="006F01EE"/>
    <w:rsid w:val="006F0840"/>
    <w:rsid w:val="006F0A36"/>
    <w:rsid w:val="006F1168"/>
    <w:rsid w:val="006F1174"/>
    <w:rsid w:val="006F1189"/>
    <w:rsid w:val="006F18EB"/>
    <w:rsid w:val="006F19DA"/>
    <w:rsid w:val="006F1EB3"/>
    <w:rsid w:val="006F1F8A"/>
    <w:rsid w:val="006F31B3"/>
    <w:rsid w:val="006F3AD3"/>
    <w:rsid w:val="006F3E7B"/>
    <w:rsid w:val="006F4029"/>
    <w:rsid w:val="006F421C"/>
    <w:rsid w:val="006F4260"/>
    <w:rsid w:val="006F46FA"/>
    <w:rsid w:val="006F47B9"/>
    <w:rsid w:val="006F4D2B"/>
    <w:rsid w:val="006F4E47"/>
    <w:rsid w:val="006F5AC3"/>
    <w:rsid w:val="006F5ED9"/>
    <w:rsid w:val="006F5F30"/>
    <w:rsid w:val="006F6865"/>
    <w:rsid w:val="006F6970"/>
    <w:rsid w:val="006F703C"/>
    <w:rsid w:val="0070002A"/>
    <w:rsid w:val="00700127"/>
    <w:rsid w:val="00700274"/>
    <w:rsid w:val="00700CD6"/>
    <w:rsid w:val="00701204"/>
    <w:rsid w:val="007013ED"/>
    <w:rsid w:val="0070153A"/>
    <w:rsid w:val="0070162B"/>
    <w:rsid w:val="007019EA"/>
    <w:rsid w:val="00701AAE"/>
    <w:rsid w:val="00701DB0"/>
    <w:rsid w:val="007025BC"/>
    <w:rsid w:val="00702B2F"/>
    <w:rsid w:val="00702E40"/>
    <w:rsid w:val="00702FB7"/>
    <w:rsid w:val="0070346D"/>
    <w:rsid w:val="0070397E"/>
    <w:rsid w:val="007040CB"/>
    <w:rsid w:val="00704497"/>
    <w:rsid w:val="00704EE4"/>
    <w:rsid w:val="00706014"/>
    <w:rsid w:val="0070643F"/>
    <w:rsid w:val="0070683E"/>
    <w:rsid w:val="00706CE0"/>
    <w:rsid w:val="0070728E"/>
    <w:rsid w:val="007072E8"/>
    <w:rsid w:val="007075A4"/>
    <w:rsid w:val="007078DA"/>
    <w:rsid w:val="00707DB5"/>
    <w:rsid w:val="00710DF2"/>
    <w:rsid w:val="007112CE"/>
    <w:rsid w:val="00711426"/>
    <w:rsid w:val="00711479"/>
    <w:rsid w:val="00711541"/>
    <w:rsid w:val="0071290F"/>
    <w:rsid w:val="007129FB"/>
    <w:rsid w:val="00712E91"/>
    <w:rsid w:val="007138BD"/>
    <w:rsid w:val="0071393F"/>
    <w:rsid w:val="00713B5B"/>
    <w:rsid w:val="00714A1B"/>
    <w:rsid w:val="00714A8D"/>
    <w:rsid w:val="0071529A"/>
    <w:rsid w:val="007154B1"/>
    <w:rsid w:val="00715663"/>
    <w:rsid w:val="007156E9"/>
    <w:rsid w:val="00715C26"/>
    <w:rsid w:val="007160DC"/>
    <w:rsid w:val="0071634B"/>
    <w:rsid w:val="007163E7"/>
    <w:rsid w:val="007167E0"/>
    <w:rsid w:val="00716E4F"/>
    <w:rsid w:val="007178F8"/>
    <w:rsid w:val="007179E2"/>
    <w:rsid w:val="007203E3"/>
    <w:rsid w:val="007206EB"/>
    <w:rsid w:val="0072115D"/>
    <w:rsid w:val="007216D8"/>
    <w:rsid w:val="007219D1"/>
    <w:rsid w:val="0072204D"/>
    <w:rsid w:val="00722155"/>
    <w:rsid w:val="00722331"/>
    <w:rsid w:val="00722CEF"/>
    <w:rsid w:val="0072330A"/>
    <w:rsid w:val="00723436"/>
    <w:rsid w:val="00723EC3"/>
    <w:rsid w:val="00724197"/>
    <w:rsid w:val="0072438A"/>
    <w:rsid w:val="007244AD"/>
    <w:rsid w:val="00724854"/>
    <w:rsid w:val="007252E3"/>
    <w:rsid w:val="007253D4"/>
    <w:rsid w:val="00725440"/>
    <w:rsid w:val="00725A1D"/>
    <w:rsid w:val="00725A37"/>
    <w:rsid w:val="0072607E"/>
    <w:rsid w:val="0072613E"/>
    <w:rsid w:val="007266FB"/>
    <w:rsid w:val="00726767"/>
    <w:rsid w:val="00726EFB"/>
    <w:rsid w:val="0072705F"/>
    <w:rsid w:val="007272C8"/>
    <w:rsid w:val="00727872"/>
    <w:rsid w:val="0073027E"/>
    <w:rsid w:val="00730397"/>
    <w:rsid w:val="007306C4"/>
    <w:rsid w:val="00730803"/>
    <w:rsid w:val="00730BCA"/>
    <w:rsid w:val="00730F89"/>
    <w:rsid w:val="007316D0"/>
    <w:rsid w:val="00731934"/>
    <w:rsid w:val="00731B3B"/>
    <w:rsid w:val="00731BD3"/>
    <w:rsid w:val="0073203F"/>
    <w:rsid w:val="007324E0"/>
    <w:rsid w:val="0073295C"/>
    <w:rsid w:val="00732A6B"/>
    <w:rsid w:val="00732D75"/>
    <w:rsid w:val="00733477"/>
    <w:rsid w:val="00733543"/>
    <w:rsid w:val="0073370C"/>
    <w:rsid w:val="00733C8F"/>
    <w:rsid w:val="00734A24"/>
    <w:rsid w:val="00734AA6"/>
    <w:rsid w:val="00734B7C"/>
    <w:rsid w:val="0073516D"/>
    <w:rsid w:val="00735BB0"/>
    <w:rsid w:val="00735CFC"/>
    <w:rsid w:val="00735E33"/>
    <w:rsid w:val="00735E77"/>
    <w:rsid w:val="00735F6C"/>
    <w:rsid w:val="007362AD"/>
    <w:rsid w:val="007365B2"/>
    <w:rsid w:val="0073671D"/>
    <w:rsid w:val="00737B2D"/>
    <w:rsid w:val="00737DCE"/>
    <w:rsid w:val="00737FD1"/>
    <w:rsid w:val="007401FA"/>
    <w:rsid w:val="00740776"/>
    <w:rsid w:val="00740957"/>
    <w:rsid w:val="00740A00"/>
    <w:rsid w:val="00740F16"/>
    <w:rsid w:val="00741458"/>
    <w:rsid w:val="007419FF"/>
    <w:rsid w:val="007423B5"/>
    <w:rsid w:val="0074269B"/>
    <w:rsid w:val="0074294C"/>
    <w:rsid w:val="00745738"/>
    <w:rsid w:val="00745780"/>
    <w:rsid w:val="00745EDD"/>
    <w:rsid w:val="00746A7D"/>
    <w:rsid w:val="007471B1"/>
    <w:rsid w:val="00747563"/>
    <w:rsid w:val="00747621"/>
    <w:rsid w:val="00747A19"/>
    <w:rsid w:val="00747DD5"/>
    <w:rsid w:val="00750030"/>
    <w:rsid w:val="0075008A"/>
    <w:rsid w:val="00750251"/>
    <w:rsid w:val="00750342"/>
    <w:rsid w:val="007503DE"/>
    <w:rsid w:val="00750858"/>
    <w:rsid w:val="00750B65"/>
    <w:rsid w:val="00750EA2"/>
    <w:rsid w:val="007515FF"/>
    <w:rsid w:val="00751773"/>
    <w:rsid w:val="00751CF6"/>
    <w:rsid w:val="00751E4D"/>
    <w:rsid w:val="00753014"/>
    <w:rsid w:val="00753EFA"/>
    <w:rsid w:val="007541EE"/>
    <w:rsid w:val="007541F9"/>
    <w:rsid w:val="00754866"/>
    <w:rsid w:val="00754F89"/>
    <w:rsid w:val="007553BC"/>
    <w:rsid w:val="007556DA"/>
    <w:rsid w:val="00755BE3"/>
    <w:rsid w:val="0075608A"/>
    <w:rsid w:val="00756121"/>
    <w:rsid w:val="0075655E"/>
    <w:rsid w:val="00756C0A"/>
    <w:rsid w:val="00757055"/>
    <w:rsid w:val="00757924"/>
    <w:rsid w:val="00757EF6"/>
    <w:rsid w:val="00757F02"/>
    <w:rsid w:val="00757F7B"/>
    <w:rsid w:val="007602D2"/>
    <w:rsid w:val="00760BC4"/>
    <w:rsid w:val="00760C6C"/>
    <w:rsid w:val="007617C8"/>
    <w:rsid w:val="00762075"/>
    <w:rsid w:val="0076218B"/>
    <w:rsid w:val="00762218"/>
    <w:rsid w:val="0076278D"/>
    <w:rsid w:val="00762867"/>
    <w:rsid w:val="00762A8C"/>
    <w:rsid w:val="0076322E"/>
    <w:rsid w:val="00763483"/>
    <w:rsid w:val="00763505"/>
    <w:rsid w:val="00763FE6"/>
    <w:rsid w:val="00763FF1"/>
    <w:rsid w:val="00764332"/>
    <w:rsid w:val="007645E9"/>
    <w:rsid w:val="00764AF0"/>
    <w:rsid w:val="00764CD2"/>
    <w:rsid w:val="00764D56"/>
    <w:rsid w:val="00765476"/>
    <w:rsid w:val="00765E54"/>
    <w:rsid w:val="00766000"/>
    <w:rsid w:val="007661DE"/>
    <w:rsid w:val="007662CC"/>
    <w:rsid w:val="0076656A"/>
    <w:rsid w:val="00766BB1"/>
    <w:rsid w:val="00767328"/>
    <w:rsid w:val="00767517"/>
    <w:rsid w:val="00767A53"/>
    <w:rsid w:val="00767CA3"/>
    <w:rsid w:val="00770128"/>
    <w:rsid w:val="00770337"/>
    <w:rsid w:val="007705D5"/>
    <w:rsid w:val="007707F8"/>
    <w:rsid w:val="00770B28"/>
    <w:rsid w:val="00770C14"/>
    <w:rsid w:val="00770F2C"/>
    <w:rsid w:val="00771546"/>
    <w:rsid w:val="00771816"/>
    <w:rsid w:val="00771CDD"/>
    <w:rsid w:val="00772019"/>
    <w:rsid w:val="00772439"/>
    <w:rsid w:val="007724AC"/>
    <w:rsid w:val="0077272C"/>
    <w:rsid w:val="0077275F"/>
    <w:rsid w:val="00772AF8"/>
    <w:rsid w:val="00772D11"/>
    <w:rsid w:val="007732EA"/>
    <w:rsid w:val="00773D88"/>
    <w:rsid w:val="0077469D"/>
    <w:rsid w:val="0077597B"/>
    <w:rsid w:val="00776957"/>
    <w:rsid w:val="00776B55"/>
    <w:rsid w:val="00776B85"/>
    <w:rsid w:val="00776BA8"/>
    <w:rsid w:val="00776EC7"/>
    <w:rsid w:val="00776F9A"/>
    <w:rsid w:val="007776B1"/>
    <w:rsid w:val="0077774E"/>
    <w:rsid w:val="00777883"/>
    <w:rsid w:val="0077794F"/>
    <w:rsid w:val="00777BAF"/>
    <w:rsid w:val="00780220"/>
    <w:rsid w:val="00780531"/>
    <w:rsid w:val="00780909"/>
    <w:rsid w:val="007809F3"/>
    <w:rsid w:val="00780C25"/>
    <w:rsid w:val="00780DD6"/>
    <w:rsid w:val="00781014"/>
    <w:rsid w:val="00781209"/>
    <w:rsid w:val="00782034"/>
    <w:rsid w:val="007821A8"/>
    <w:rsid w:val="00782E6F"/>
    <w:rsid w:val="00782F8D"/>
    <w:rsid w:val="0078366D"/>
    <w:rsid w:val="00783B7E"/>
    <w:rsid w:val="00783F36"/>
    <w:rsid w:val="00784477"/>
    <w:rsid w:val="00784727"/>
    <w:rsid w:val="0078521D"/>
    <w:rsid w:val="00785E71"/>
    <w:rsid w:val="007862AA"/>
    <w:rsid w:val="007867A2"/>
    <w:rsid w:val="00786C0E"/>
    <w:rsid w:val="00786D3F"/>
    <w:rsid w:val="007874BE"/>
    <w:rsid w:val="00790514"/>
    <w:rsid w:val="00790C65"/>
    <w:rsid w:val="00790D54"/>
    <w:rsid w:val="00790FE1"/>
    <w:rsid w:val="007910F8"/>
    <w:rsid w:val="0079172B"/>
    <w:rsid w:val="00791775"/>
    <w:rsid w:val="0079274B"/>
    <w:rsid w:val="007928D5"/>
    <w:rsid w:val="0079295D"/>
    <w:rsid w:val="00793DB2"/>
    <w:rsid w:val="00793F3F"/>
    <w:rsid w:val="0079465D"/>
    <w:rsid w:val="00794A32"/>
    <w:rsid w:val="00794B3C"/>
    <w:rsid w:val="00794B7C"/>
    <w:rsid w:val="00794C23"/>
    <w:rsid w:val="007950A6"/>
    <w:rsid w:val="007960C7"/>
    <w:rsid w:val="00797ABF"/>
    <w:rsid w:val="007A0457"/>
    <w:rsid w:val="007A051E"/>
    <w:rsid w:val="007A0A24"/>
    <w:rsid w:val="007A0D8C"/>
    <w:rsid w:val="007A1141"/>
    <w:rsid w:val="007A1A7B"/>
    <w:rsid w:val="007A1F25"/>
    <w:rsid w:val="007A1F6F"/>
    <w:rsid w:val="007A206B"/>
    <w:rsid w:val="007A21F4"/>
    <w:rsid w:val="007A295F"/>
    <w:rsid w:val="007A2A4A"/>
    <w:rsid w:val="007A2D54"/>
    <w:rsid w:val="007A2E0E"/>
    <w:rsid w:val="007A31D4"/>
    <w:rsid w:val="007A32D0"/>
    <w:rsid w:val="007A38B7"/>
    <w:rsid w:val="007A39C4"/>
    <w:rsid w:val="007A3DA6"/>
    <w:rsid w:val="007A3DBA"/>
    <w:rsid w:val="007A3E12"/>
    <w:rsid w:val="007A44E3"/>
    <w:rsid w:val="007A4EE5"/>
    <w:rsid w:val="007A57A6"/>
    <w:rsid w:val="007A62B2"/>
    <w:rsid w:val="007A62B5"/>
    <w:rsid w:val="007A6773"/>
    <w:rsid w:val="007A67EC"/>
    <w:rsid w:val="007A77B0"/>
    <w:rsid w:val="007A7864"/>
    <w:rsid w:val="007A7B96"/>
    <w:rsid w:val="007A7BE4"/>
    <w:rsid w:val="007B04A9"/>
    <w:rsid w:val="007B0634"/>
    <w:rsid w:val="007B0A50"/>
    <w:rsid w:val="007B1139"/>
    <w:rsid w:val="007B124A"/>
    <w:rsid w:val="007B15BF"/>
    <w:rsid w:val="007B1EE6"/>
    <w:rsid w:val="007B21B5"/>
    <w:rsid w:val="007B225D"/>
    <w:rsid w:val="007B238F"/>
    <w:rsid w:val="007B2FC2"/>
    <w:rsid w:val="007B3373"/>
    <w:rsid w:val="007B349F"/>
    <w:rsid w:val="007B35F5"/>
    <w:rsid w:val="007B3D84"/>
    <w:rsid w:val="007B3EEB"/>
    <w:rsid w:val="007B47D9"/>
    <w:rsid w:val="007B4CDF"/>
    <w:rsid w:val="007B4D97"/>
    <w:rsid w:val="007B5015"/>
    <w:rsid w:val="007B507D"/>
    <w:rsid w:val="007B5FC5"/>
    <w:rsid w:val="007B622E"/>
    <w:rsid w:val="007B6DD7"/>
    <w:rsid w:val="007B6EA9"/>
    <w:rsid w:val="007B7A70"/>
    <w:rsid w:val="007B7B21"/>
    <w:rsid w:val="007C000C"/>
    <w:rsid w:val="007C03F8"/>
    <w:rsid w:val="007C04AD"/>
    <w:rsid w:val="007C07DB"/>
    <w:rsid w:val="007C0942"/>
    <w:rsid w:val="007C0DB4"/>
    <w:rsid w:val="007C1097"/>
    <w:rsid w:val="007C14D4"/>
    <w:rsid w:val="007C16DB"/>
    <w:rsid w:val="007C2234"/>
    <w:rsid w:val="007C24D4"/>
    <w:rsid w:val="007C250E"/>
    <w:rsid w:val="007C27F9"/>
    <w:rsid w:val="007C2BDB"/>
    <w:rsid w:val="007C3702"/>
    <w:rsid w:val="007C3C1F"/>
    <w:rsid w:val="007C450D"/>
    <w:rsid w:val="007C459D"/>
    <w:rsid w:val="007C4AF6"/>
    <w:rsid w:val="007C4EBE"/>
    <w:rsid w:val="007C4F24"/>
    <w:rsid w:val="007C549F"/>
    <w:rsid w:val="007C57AC"/>
    <w:rsid w:val="007C6BAB"/>
    <w:rsid w:val="007C6DC9"/>
    <w:rsid w:val="007C78F8"/>
    <w:rsid w:val="007C7C78"/>
    <w:rsid w:val="007D0813"/>
    <w:rsid w:val="007D09C7"/>
    <w:rsid w:val="007D0E08"/>
    <w:rsid w:val="007D15CC"/>
    <w:rsid w:val="007D170A"/>
    <w:rsid w:val="007D177E"/>
    <w:rsid w:val="007D1C2D"/>
    <w:rsid w:val="007D1CEB"/>
    <w:rsid w:val="007D1D58"/>
    <w:rsid w:val="007D2461"/>
    <w:rsid w:val="007D2742"/>
    <w:rsid w:val="007D2943"/>
    <w:rsid w:val="007D2AC2"/>
    <w:rsid w:val="007D3488"/>
    <w:rsid w:val="007D3FDE"/>
    <w:rsid w:val="007D41A3"/>
    <w:rsid w:val="007D42BC"/>
    <w:rsid w:val="007D47C6"/>
    <w:rsid w:val="007D487C"/>
    <w:rsid w:val="007D4E40"/>
    <w:rsid w:val="007D4FC7"/>
    <w:rsid w:val="007D5C4D"/>
    <w:rsid w:val="007D6142"/>
    <w:rsid w:val="007D6E2E"/>
    <w:rsid w:val="007D6F5C"/>
    <w:rsid w:val="007D7138"/>
    <w:rsid w:val="007D7700"/>
    <w:rsid w:val="007D7823"/>
    <w:rsid w:val="007E05EE"/>
    <w:rsid w:val="007E0797"/>
    <w:rsid w:val="007E137F"/>
    <w:rsid w:val="007E14B9"/>
    <w:rsid w:val="007E155E"/>
    <w:rsid w:val="007E23F4"/>
    <w:rsid w:val="007E2A59"/>
    <w:rsid w:val="007E3159"/>
    <w:rsid w:val="007E3676"/>
    <w:rsid w:val="007E3FFA"/>
    <w:rsid w:val="007E41B0"/>
    <w:rsid w:val="007E4EBB"/>
    <w:rsid w:val="007E5AED"/>
    <w:rsid w:val="007E5DC3"/>
    <w:rsid w:val="007E610B"/>
    <w:rsid w:val="007E714D"/>
    <w:rsid w:val="007E7284"/>
    <w:rsid w:val="007E72EA"/>
    <w:rsid w:val="007E732B"/>
    <w:rsid w:val="007E759B"/>
    <w:rsid w:val="007E7913"/>
    <w:rsid w:val="007E7BBC"/>
    <w:rsid w:val="007E7C10"/>
    <w:rsid w:val="007E7F76"/>
    <w:rsid w:val="007F0066"/>
    <w:rsid w:val="007F0267"/>
    <w:rsid w:val="007F03C1"/>
    <w:rsid w:val="007F0C94"/>
    <w:rsid w:val="007F0EC3"/>
    <w:rsid w:val="007F105D"/>
    <w:rsid w:val="007F11B4"/>
    <w:rsid w:val="007F1294"/>
    <w:rsid w:val="007F1381"/>
    <w:rsid w:val="007F18B4"/>
    <w:rsid w:val="007F1928"/>
    <w:rsid w:val="007F198D"/>
    <w:rsid w:val="007F1E5E"/>
    <w:rsid w:val="007F2110"/>
    <w:rsid w:val="007F21B5"/>
    <w:rsid w:val="007F295D"/>
    <w:rsid w:val="007F2C00"/>
    <w:rsid w:val="007F2E9D"/>
    <w:rsid w:val="007F3512"/>
    <w:rsid w:val="007F3A0C"/>
    <w:rsid w:val="007F3CB1"/>
    <w:rsid w:val="007F410E"/>
    <w:rsid w:val="007F4DCF"/>
    <w:rsid w:val="007F4FDE"/>
    <w:rsid w:val="007F55E1"/>
    <w:rsid w:val="007F5793"/>
    <w:rsid w:val="007F5AE9"/>
    <w:rsid w:val="007F5AF9"/>
    <w:rsid w:val="007F5B9C"/>
    <w:rsid w:val="007F5BDB"/>
    <w:rsid w:val="007F5F18"/>
    <w:rsid w:val="007F614D"/>
    <w:rsid w:val="007F786C"/>
    <w:rsid w:val="00800997"/>
    <w:rsid w:val="00800A10"/>
    <w:rsid w:val="00801CDD"/>
    <w:rsid w:val="00801ED2"/>
    <w:rsid w:val="00802127"/>
    <w:rsid w:val="00802CBB"/>
    <w:rsid w:val="008037BA"/>
    <w:rsid w:val="0080417E"/>
    <w:rsid w:val="008042B2"/>
    <w:rsid w:val="00804795"/>
    <w:rsid w:val="00804F7D"/>
    <w:rsid w:val="0080566E"/>
    <w:rsid w:val="00805A08"/>
    <w:rsid w:val="00805B6F"/>
    <w:rsid w:val="00806501"/>
    <w:rsid w:val="00806850"/>
    <w:rsid w:val="0080687B"/>
    <w:rsid w:val="0080704A"/>
    <w:rsid w:val="00807282"/>
    <w:rsid w:val="00807644"/>
    <w:rsid w:val="00807998"/>
    <w:rsid w:val="00807D67"/>
    <w:rsid w:val="00807E1B"/>
    <w:rsid w:val="00807E86"/>
    <w:rsid w:val="00810147"/>
    <w:rsid w:val="00810EC2"/>
    <w:rsid w:val="00810F0E"/>
    <w:rsid w:val="00811379"/>
    <w:rsid w:val="00811590"/>
    <w:rsid w:val="00811682"/>
    <w:rsid w:val="008116CC"/>
    <w:rsid w:val="00811B2B"/>
    <w:rsid w:val="00812BF5"/>
    <w:rsid w:val="008134D2"/>
    <w:rsid w:val="00813826"/>
    <w:rsid w:val="00814D20"/>
    <w:rsid w:val="00815C4B"/>
    <w:rsid w:val="00816616"/>
    <w:rsid w:val="0081737C"/>
    <w:rsid w:val="0082006B"/>
    <w:rsid w:val="00820118"/>
    <w:rsid w:val="00820376"/>
    <w:rsid w:val="00820432"/>
    <w:rsid w:val="00820890"/>
    <w:rsid w:val="00821655"/>
    <w:rsid w:val="00821691"/>
    <w:rsid w:val="00821BA9"/>
    <w:rsid w:val="00821ED7"/>
    <w:rsid w:val="008221C0"/>
    <w:rsid w:val="00822731"/>
    <w:rsid w:val="00822B4E"/>
    <w:rsid w:val="00822E8B"/>
    <w:rsid w:val="00823666"/>
    <w:rsid w:val="00823690"/>
    <w:rsid w:val="008236D2"/>
    <w:rsid w:val="0082448A"/>
    <w:rsid w:val="00824BAC"/>
    <w:rsid w:val="00825139"/>
    <w:rsid w:val="00825371"/>
    <w:rsid w:val="00825554"/>
    <w:rsid w:val="0082640A"/>
    <w:rsid w:val="008270F5"/>
    <w:rsid w:val="00827684"/>
    <w:rsid w:val="00830381"/>
    <w:rsid w:val="00830B0A"/>
    <w:rsid w:val="00831589"/>
    <w:rsid w:val="00831A24"/>
    <w:rsid w:val="00831B02"/>
    <w:rsid w:val="00832155"/>
    <w:rsid w:val="008328F7"/>
    <w:rsid w:val="00832E14"/>
    <w:rsid w:val="00832EE8"/>
    <w:rsid w:val="00833A35"/>
    <w:rsid w:val="00833C2C"/>
    <w:rsid w:val="00834546"/>
    <w:rsid w:val="00834E3D"/>
    <w:rsid w:val="00834FBB"/>
    <w:rsid w:val="008350CB"/>
    <w:rsid w:val="00835193"/>
    <w:rsid w:val="00835D54"/>
    <w:rsid w:val="00835FC8"/>
    <w:rsid w:val="0083638C"/>
    <w:rsid w:val="00836A46"/>
    <w:rsid w:val="00836A99"/>
    <w:rsid w:val="0084001F"/>
    <w:rsid w:val="0084050B"/>
    <w:rsid w:val="0084059C"/>
    <w:rsid w:val="008407A1"/>
    <w:rsid w:val="00840FF3"/>
    <w:rsid w:val="008411F3"/>
    <w:rsid w:val="0084146B"/>
    <w:rsid w:val="00841513"/>
    <w:rsid w:val="0084165C"/>
    <w:rsid w:val="008418A5"/>
    <w:rsid w:val="00841C01"/>
    <w:rsid w:val="00841F24"/>
    <w:rsid w:val="00842490"/>
    <w:rsid w:val="00842654"/>
    <w:rsid w:val="00842D12"/>
    <w:rsid w:val="00842E60"/>
    <w:rsid w:val="00843301"/>
    <w:rsid w:val="00843D2C"/>
    <w:rsid w:val="00843F93"/>
    <w:rsid w:val="0084411B"/>
    <w:rsid w:val="008444B5"/>
    <w:rsid w:val="008449CE"/>
    <w:rsid w:val="00844B57"/>
    <w:rsid w:val="00844FA9"/>
    <w:rsid w:val="008455A1"/>
    <w:rsid w:val="00845715"/>
    <w:rsid w:val="00845817"/>
    <w:rsid w:val="0084588B"/>
    <w:rsid w:val="00845AF6"/>
    <w:rsid w:val="00845D65"/>
    <w:rsid w:val="00846105"/>
    <w:rsid w:val="00846120"/>
    <w:rsid w:val="00846359"/>
    <w:rsid w:val="008466EE"/>
    <w:rsid w:val="008469C8"/>
    <w:rsid w:val="00846BD2"/>
    <w:rsid w:val="00846E2D"/>
    <w:rsid w:val="0084734E"/>
    <w:rsid w:val="008476FB"/>
    <w:rsid w:val="008500C5"/>
    <w:rsid w:val="008504C4"/>
    <w:rsid w:val="008508AE"/>
    <w:rsid w:val="00850A00"/>
    <w:rsid w:val="008513F7"/>
    <w:rsid w:val="00851822"/>
    <w:rsid w:val="00851B5F"/>
    <w:rsid w:val="00851E5E"/>
    <w:rsid w:val="008525DB"/>
    <w:rsid w:val="008528CE"/>
    <w:rsid w:val="00852D89"/>
    <w:rsid w:val="00853217"/>
    <w:rsid w:val="008534EA"/>
    <w:rsid w:val="00853BAC"/>
    <w:rsid w:val="00853FAD"/>
    <w:rsid w:val="008544B4"/>
    <w:rsid w:val="00854585"/>
    <w:rsid w:val="008546DE"/>
    <w:rsid w:val="00855357"/>
    <w:rsid w:val="00855E26"/>
    <w:rsid w:val="0085686F"/>
    <w:rsid w:val="008569EE"/>
    <w:rsid w:val="008572E1"/>
    <w:rsid w:val="00857359"/>
    <w:rsid w:val="00857FC8"/>
    <w:rsid w:val="00860819"/>
    <w:rsid w:val="00861DAC"/>
    <w:rsid w:val="00862050"/>
    <w:rsid w:val="00862D25"/>
    <w:rsid w:val="0086411D"/>
    <w:rsid w:val="0086412F"/>
    <w:rsid w:val="008642E4"/>
    <w:rsid w:val="00864632"/>
    <w:rsid w:val="00865529"/>
    <w:rsid w:val="00865928"/>
    <w:rsid w:val="008663CF"/>
    <w:rsid w:val="00866899"/>
    <w:rsid w:val="00866AC1"/>
    <w:rsid w:val="00866F88"/>
    <w:rsid w:val="0086710A"/>
    <w:rsid w:val="00867383"/>
    <w:rsid w:val="0086799B"/>
    <w:rsid w:val="00867EA1"/>
    <w:rsid w:val="00867F54"/>
    <w:rsid w:val="00870831"/>
    <w:rsid w:val="00870B21"/>
    <w:rsid w:val="00871783"/>
    <w:rsid w:val="00872326"/>
    <w:rsid w:val="008727FF"/>
    <w:rsid w:val="00872A41"/>
    <w:rsid w:val="00872AF9"/>
    <w:rsid w:val="00872E8A"/>
    <w:rsid w:val="0087328B"/>
    <w:rsid w:val="008735F2"/>
    <w:rsid w:val="00873D1F"/>
    <w:rsid w:val="00873FD1"/>
    <w:rsid w:val="008742E2"/>
    <w:rsid w:val="008743E2"/>
    <w:rsid w:val="00874498"/>
    <w:rsid w:val="008746F4"/>
    <w:rsid w:val="00874AD2"/>
    <w:rsid w:val="00874B21"/>
    <w:rsid w:val="0087576C"/>
    <w:rsid w:val="008758E0"/>
    <w:rsid w:val="00875B00"/>
    <w:rsid w:val="00875C62"/>
    <w:rsid w:val="00875C88"/>
    <w:rsid w:val="00875CA5"/>
    <w:rsid w:val="00875FEE"/>
    <w:rsid w:val="00876322"/>
    <w:rsid w:val="008769F2"/>
    <w:rsid w:val="00876D84"/>
    <w:rsid w:val="00876F86"/>
    <w:rsid w:val="00877027"/>
    <w:rsid w:val="0088071F"/>
    <w:rsid w:val="00880C34"/>
    <w:rsid w:val="0088133D"/>
    <w:rsid w:val="00881B21"/>
    <w:rsid w:val="00882B0E"/>
    <w:rsid w:val="00882B74"/>
    <w:rsid w:val="00882C38"/>
    <w:rsid w:val="00882F37"/>
    <w:rsid w:val="00884854"/>
    <w:rsid w:val="00884A12"/>
    <w:rsid w:val="00884F96"/>
    <w:rsid w:val="00884F99"/>
    <w:rsid w:val="00885347"/>
    <w:rsid w:val="00885362"/>
    <w:rsid w:val="0088538D"/>
    <w:rsid w:val="00885532"/>
    <w:rsid w:val="008857C4"/>
    <w:rsid w:val="0088585F"/>
    <w:rsid w:val="0088592D"/>
    <w:rsid w:val="00885FE1"/>
    <w:rsid w:val="008863F3"/>
    <w:rsid w:val="008867C0"/>
    <w:rsid w:val="00886C68"/>
    <w:rsid w:val="00886C8F"/>
    <w:rsid w:val="008873B2"/>
    <w:rsid w:val="00887CC9"/>
    <w:rsid w:val="00890A6F"/>
    <w:rsid w:val="008910EB"/>
    <w:rsid w:val="008910F1"/>
    <w:rsid w:val="00891BD2"/>
    <w:rsid w:val="00891C2F"/>
    <w:rsid w:val="00891E03"/>
    <w:rsid w:val="00892401"/>
    <w:rsid w:val="00893181"/>
    <w:rsid w:val="00893323"/>
    <w:rsid w:val="00893360"/>
    <w:rsid w:val="008933AF"/>
    <w:rsid w:val="008934F6"/>
    <w:rsid w:val="00893793"/>
    <w:rsid w:val="00894348"/>
    <w:rsid w:val="00894D1C"/>
    <w:rsid w:val="00895A6E"/>
    <w:rsid w:val="00895C98"/>
    <w:rsid w:val="008967E4"/>
    <w:rsid w:val="00896879"/>
    <w:rsid w:val="00896B6E"/>
    <w:rsid w:val="008972CA"/>
    <w:rsid w:val="00897B0C"/>
    <w:rsid w:val="00897C1E"/>
    <w:rsid w:val="008A0066"/>
    <w:rsid w:val="008A1075"/>
    <w:rsid w:val="008A1FE3"/>
    <w:rsid w:val="008A2264"/>
    <w:rsid w:val="008A2B45"/>
    <w:rsid w:val="008A37C8"/>
    <w:rsid w:val="008A3EB0"/>
    <w:rsid w:val="008A462B"/>
    <w:rsid w:val="008A4645"/>
    <w:rsid w:val="008A46F8"/>
    <w:rsid w:val="008A47A9"/>
    <w:rsid w:val="008A49B4"/>
    <w:rsid w:val="008A4BC8"/>
    <w:rsid w:val="008A4D66"/>
    <w:rsid w:val="008A4F5F"/>
    <w:rsid w:val="008A57E8"/>
    <w:rsid w:val="008A57F6"/>
    <w:rsid w:val="008A5C3A"/>
    <w:rsid w:val="008A5D60"/>
    <w:rsid w:val="008A60F8"/>
    <w:rsid w:val="008A62C8"/>
    <w:rsid w:val="008A6522"/>
    <w:rsid w:val="008A6574"/>
    <w:rsid w:val="008A7212"/>
    <w:rsid w:val="008A783F"/>
    <w:rsid w:val="008A78FB"/>
    <w:rsid w:val="008A7A17"/>
    <w:rsid w:val="008A7B84"/>
    <w:rsid w:val="008A7BCD"/>
    <w:rsid w:val="008B0350"/>
    <w:rsid w:val="008B042C"/>
    <w:rsid w:val="008B0623"/>
    <w:rsid w:val="008B0E33"/>
    <w:rsid w:val="008B13BF"/>
    <w:rsid w:val="008B2065"/>
    <w:rsid w:val="008B2F86"/>
    <w:rsid w:val="008B30CA"/>
    <w:rsid w:val="008B3110"/>
    <w:rsid w:val="008B3114"/>
    <w:rsid w:val="008B3D6D"/>
    <w:rsid w:val="008B3E99"/>
    <w:rsid w:val="008B3F72"/>
    <w:rsid w:val="008B4060"/>
    <w:rsid w:val="008B5021"/>
    <w:rsid w:val="008B54EA"/>
    <w:rsid w:val="008B5E0C"/>
    <w:rsid w:val="008B67CD"/>
    <w:rsid w:val="008B6D79"/>
    <w:rsid w:val="008B6E85"/>
    <w:rsid w:val="008B7357"/>
    <w:rsid w:val="008B7611"/>
    <w:rsid w:val="008B7B3D"/>
    <w:rsid w:val="008C00CB"/>
    <w:rsid w:val="008C102E"/>
    <w:rsid w:val="008C18F7"/>
    <w:rsid w:val="008C1CEA"/>
    <w:rsid w:val="008C241C"/>
    <w:rsid w:val="008C251B"/>
    <w:rsid w:val="008C260C"/>
    <w:rsid w:val="008C2781"/>
    <w:rsid w:val="008C285F"/>
    <w:rsid w:val="008C33C5"/>
    <w:rsid w:val="008C387C"/>
    <w:rsid w:val="008C3DE7"/>
    <w:rsid w:val="008C404E"/>
    <w:rsid w:val="008C4230"/>
    <w:rsid w:val="008C4D6A"/>
    <w:rsid w:val="008C63F6"/>
    <w:rsid w:val="008C6907"/>
    <w:rsid w:val="008C6DD4"/>
    <w:rsid w:val="008C7834"/>
    <w:rsid w:val="008D020B"/>
    <w:rsid w:val="008D02CE"/>
    <w:rsid w:val="008D04A4"/>
    <w:rsid w:val="008D0727"/>
    <w:rsid w:val="008D08C7"/>
    <w:rsid w:val="008D0BE1"/>
    <w:rsid w:val="008D0FF9"/>
    <w:rsid w:val="008D11BD"/>
    <w:rsid w:val="008D11CE"/>
    <w:rsid w:val="008D18C7"/>
    <w:rsid w:val="008D1D5E"/>
    <w:rsid w:val="008D1F5F"/>
    <w:rsid w:val="008D28D0"/>
    <w:rsid w:val="008D2E9B"/>
    <w:rsid w:val="008D3341"/>
    <w:rsid w:val="008D3B2C"/>
    <w:rsid w:val="008D3BF3"/>
    <w:rsid w:val="008D40BC"/>
    <w:rsid w:val="008D546A"/>
    <w:rsid w:val="008D5C8F"/>
    <w:rsid w:val="008D6AF5"/>
    <w:rsid w:val="008D6DEA"/>
    <w:rsid w:val="008D70DF"/>
    <w:rsid w:val="008D7414"/>
    <w:rsid w:val="008E0B39"/>
    <w:rsid w:val="008E0D80"/>
    <w:rsid w:val="008E0DE1"/>
    <w:rsid w:val="008E1344"/>
    <w:rsid w:val="008E15B2"/>
    <w:rsid w:val="008E188D"/>
    <w:rsid w:val="008E1E2D"/>
    <w:rsid w:val="008E2115"/>
    <w:rsid w:val="008E238F"/>
    <w:rsid w:val="008E2B7F"/>
    <w:rsid w:val="008E2D36"/>
    <w:rsid w:val="008E2D5C"/>
    <w:rsid w:val="008E3637"/>
    <w:rsid w:val="008E36F2"/>
    <w:rsid w:val="008E41CF"/>
    <w:rsid w:val="008E4543"/>
    <w:rsid w:val="008E4B4E"/>
    <w:rsid w:val="008E534C"/>
    <w:rsid w:val="008E552E"/>
    <w:rsid w:val="008E5AC1"/>
    <w:rsid w:val="008E5CAD"/>
    <w:rsid w:val="008E65A6"/>
    <w:rsid w:val="008E6DCF"/>
    <w:rsid w:val="008E6E4F"/>
    <w:rsid w:val="008E715F"/>
    <w:rsid w:val="008E78EB"/>
    <w:rsid w:val="008E7E4C"/>
    <w:rsid w:val="008F024A"/>
    <w:rsid w:val="008F06BA"/>
    <w:rsid w:val="008F077B"/>
    <w:rsid w:val="008F07DD"/>
    <w:rsid w:val="008F156D"/>
    <w:rsid w:val="008F2BDB"/>
    <w:rsid w:val="008F2F09"/>
    <w:rsid w:val="008F392F"/>
    <w:rsid w:val="008F3D97"/>
    <w:rsid w:val="008F3F6D"/>
    <w:rsid w:val="008F4591"/>
    <w:rsid w:val="008F4703"/>
    <w:rsid w:val="008F4B8B"/>
    <w:rsid w:val="008F4BA2"/>
    <w:rsid w:val="008F4E9C"/>
    <w:rsid w:val="008F5389"/>
    <w:rsid w:val="008F54F8"/>
    <w:rsid w:val="008F557B"/>
    <w:rsid w:val="008F5A5F"/>
    <w:rsid w:val="008F5A9F"/>
    <w:rsid w:val="008F603C"/>
    <w:rsid w:val="008F656C"/>
    <w:rsid w:val="008F7C5F"/>
    <w:rsid w:val="009003DE"/>
    <w:rsid w:val="009003FE"/>
    <w:rsid w:val="009004FF"/>
    <w:rsid w:val="009008B0"/>
    <w:rsid w:val="00900FAD"/>
    <w:rsid w:val="009010D6"/>
    <w:rsid w:val="0090131A"/>
    <w:rsid w:val="00901483"/>
    <w:rsid w:val="00901D34"/>
    <w:rsid w:val="00901D70"/>
    <w:rsid w:val="009020A6"/>
    <w:rsid w:val="00902521"/>
    <w:rsid w:val="00902838"/>
    <w:rsid w:val="009028AC"/>
    <w:rsid w:val="00902B9F"/>
    <w:rsid w:val="00902FCB"/>
    <w:rsid w:val="00903AA6"/>
    <w:rsid w:val="00903E49"/>
    <w:rsid w:val="00903E62"/>
    <w:rsid w:val="009040F0"/>
    <w:rsid w:val="009043DE"/>
    <w:rsid w:val="00904E25"/>
    <w:rsid w:val="00905397"/>
    <w:rsid w:val="00906525"/>
    <w:rsid w:val="00906CBA"/>
    <w:rsid w:val="00906FFE"/>
    <w:rsid w:val="00907267"/>
    <w:rsid w:val="00907327"/>
    <w:rsid w:val="00907770"/>
    <w:rsid w:val="00910563"/>
    <w:rsid w:val="00910D32"/>
    <w:rsid w:val="009113EA"/>
    <w:rsid w:val="00912003"/>
    <w:rsid w:val="009129DD"/>
    <w:rsid w:val="00912D0B"/>
    <w:rsid w:val="00913A08"/>
    <w:rsid w:val="00913EFC"/>
    <w:rsid w:val="00914B5C"/>
    <w:rsid w:val="00914F3F"/>
    <w:rsid w:val="0091589A"/>
    <w:rsid w:val="00915E65"/>
    <w:rsid w:val="00915F01"/>
    <w:rsid w:val="00916EBA"/>
    <w:rsid w:val="0091704A"/>
    <w:rsid w:val="00917959"/>
    <w:rsid w:val="00917A95"/>
    <w:rsid w:val="00917EA3"/>
    <w:rsid w:val="009201CB"/>
    <w:rsid w:val="00920252"/>
    <w:rsid w:val="009207F5"/>
    <w:rsid w:val="009207F6"/>
    <w:rsid w:val="00920D98"/>
    <w:rsid w:val="009218DF"/>
    <w:rsid w:val="00921AA0"/>
    <w:rsid w:val="00921EBB"/>
    <w:rsid w:val="00921FF4"/>
    <w:rsid w:val="0092212B"/>
    <w:rsid w:val="009222C2"/>
    <w:rsid w:val="009223E5"/>
    <w:rsid w:val="00922E0C"/>
    <w:rsid w:val="00922ED8"/>
    <w:rsid w:val="00923261"/>
    <w:rsid w:val="00923441"/>
    <w:rsid w:val="00923678"/>
    <w:rsid w:val="00923E7D"/>
    <w:rsid w:val="009242BC"/>
    <w:rsid w:val="00924BE1"/>
    <w:rsid w:val="00925CCD"/>
    <w:rsid w:val="00925D9F"/>
    <w:rsid w:val="009260CE"/>
    <w:rsid w:val="00926D5D"/>
    <w:rsid w:val="00926DAF"/>
    <w:rsid w:val="00927476"/>
    <w:rsid w:val="00927D6A"/>
    <w:rsid w:val="00930996"/>
    <w:rsid w:val="00930DB6"/>
    <w:rsid w:val="009312A8"/>
    <w:rsid w:val="00931A11"/>
    <w:rsid w:val="00931A61"/>
    <w:rsid w:val="00931E84"/>
    <w:rsid w:val="009327B7"/>
    <w:rsid w:val="009336B8"/>
    <w:rsid w:val="00934375"/>
    <w:rsid w:val="009345FC"/>
    <w:rsid w:val="00934776"/>
    <w:rsid w:val="0093484D"/>
    <w:rsid w:val="00934C87"/>
    <w:rsid w:val="00934F02"/>
    <w:rsid w:val="00934F0B"/>
    <w:rsid w:val="00935213"/>
    <w:rsid w:val="0093522F"/>
    <w:rsid w:val="009358BD"/>
    <w:rsid w:val="00935A2E"/>
    <w:rsid w:val="00936459"/>
    <w:rsid w:val="0093650F"/>
    <w:rsid w:val="00936703"/>
    <w:rsid w:val="00936770"/>
    <w:rsid w:val="00937029"/>
    <w:rsid w:val="00937186"/>
    <w:rsid w:val="00937CAB"/>
    <w:rsid w:val="00937D44"/>
    <w:rsid w:val="00937FEF"/>
    <w:rsid w:val="00940622"/>
    <w:rsid w:val="009407A1"/>
    <w:rsid w:val="0094109C"/>
    <w:rsid w:val="009411DA"/>
    <w:rsid w:val="00941367"/>
    <w:rsid w:val="00941AB1"/>
    <w:rsid w:val="00941B09"/>
    <w:rsid w:val="009422B0"/>
    <w:rsid w:val="00942B3C"/>
    <w:rsid w:val="00942C33"/>
    <w:rsid w:val="00942F44"/>
    <w:rsid w:val="00942FD4"/>
    <w:rsid w:val="0094328F"/>
    <w:rsid w:val="00943A57"/>
    <w:rsid w:val="00943CAF"/>
    <w:rsid w:val="00943EDB"/>
    <w:rsid w:val="00943F82"/>
    <w:rsid w:val="009441C1"/>
    <w:rsid w:val="00944449"/>
    <w:rsid w:val="00944926"/>
    <w:rsid w:val="009458C3"/>
    <w:rsid w:val="0094591A"/>
    <w:rsid w:val="00945A9D"/>
    <w:rsid w:val="00945DE7"/>
    <w:rsid w:val="0094660A"/>
    <w:rsid w:val="0094672C"/>
    <w:rsid w:val="009467E1"/>
    <w:rsid w:val="00946811"/>
    <w:rsid w:val="00946883"/>
    <w:rsid w:val="00946CFD"/>
    <w:rsid w:val="00947396"/>
    <w:rsid w:val="00947661"/>
    <w:rsid w:val="00947902"/>
    <w:rsid w:val="00950663"/>
    <w:rsid w:val="0095072F"/>
    <w:rsid w:val="009507BB"/>
    <w:rsid w:val="00950EFC"/>
    <w:rsid w:val="0095105D"/>
    <w:rsid w:val="00951160"/>
    <w:rsid w:val="00951457"/>
    <w:rsid w:val="00951827"/>
    <w:rsid w:val="00951F9B"/>
    <w:rsid w:val="0095221B"/>
    <w:rsid w:val="009525D6"/>
    <w:rsid w:val="00952EC5"/>
    <w:rsid w:val="00953220"/>
    <w:rsid w:val="00953652"/>
    <w:rsid w:val="00953AFE"/>
    <w:rsid w:val="009542CC"/>
    <w:rsid w:val="0095433C"/>
    <w:rsid w:val="00954893"/>
    <w:rsid w:val="0095639B"/>
    <w:rsid w:val="0095664C"/>
    <w:rsid w:val="0095670E"/>
    <w:rsid w:val="009570FF"/>
    <w:rsid w:val="00957765"/>
    <w:rsid w:val="00957896"/>
    <w:rsid w:val="00957E1B"/>
    <w:rsid w:val="00957E68"/>
    <w:rsid w:val="00957EC1"/>
    <w:rsid w:val="00960332"/>
    <w:rsid w:val="00960BC0"/>
    <w:rsid w:val="00961794"/>
    <w:rsid w:val="00961E95"/>
    <w:rsid w:val="00962125"/>
    <w:rsid w:val="009622FB"/>
    <w:rsid w:val="0096255F"/>
    <w:rsid w:val="00962F9E"/>
    <w:rsid w:val="009633DA"/>
    <w:rsid w:val="00963ABC"/>
    <w:rsid w:val="00963CE8"/>
    <w:rsid w:val="00963E53"/>
    <w:rsid w:val="00963EF7"/>
    <w:rsid w:val="0096471F"/>
    <w:rsid w:val="00964AED"/>
    <w:rsid w:val="00964D43"/>
    <w:rsid w:val="00965048"/>
    <w:rsid w:val="009653A0"/>
    <w:rsid w:val="009653D7"/>
    <w:rsid w:val="00965CEF"/>
    <w:rsid w:val="00966002"/>
    <w:rsid w:val="00966066"/>
    <w:rsid w:val="00966294"/>
    <w:rsid w:val="00966510"/>
    <w:rsid w:val="00966B92"/>
    <w:rsid w:val="00966EF7"/>
    <w:rsid w:val="00966FEF"/>
    <w:rsid w:val="009670E8"/>
    <w:rsid w:val="0096739D"/>
    <w:rsid w:val="0096767D"/>
    <w:rsid w:val="00967AB1"/>
    <w:rsid w:val="00967B47"/>
    <w:rsid w:val="00970002"/>
    <w:rsid w:val="00970140"/>
    <w:rsid w:val="00970854"/>
    <w:rsid w:val="00970C37"/>
    <w:rsid w:val="00970F8B"/>
    <w:rsid w:val="009715AA"/>
    <w:rsid w:val="00971632"/>
    <w:rsid w:val="00971D38"/>
    <w:rsid w:val="0097275A"/>
    <w:rsid w:val="00972FD1"/>
    <w:rsid w:val="00973C1D"/>
    <w:rsid w:val="00973F9C"/>
    <w:rsid w:val="00974427"/>
    <w:rsid w:val="009754C1"/>
    <w:rsid w:val="00975BFB"/>
    <w:rsid w:val="009766C0"/>
    <w:rsid w:val="00976EAB"/>
    <w:rsid w:val="009772F5"/>
    <w:rsid w:val="00977684"/>
    <w:rsid w:val="00977982"/>
    <w:rsid w:val="00977FB2"/>
    <w:rsid w:val="00980213"/>
    <w:rsid w:val="009809DE"/>
    <w:rsid w:val="00980EB5"/>
    <w:rsid w:val="0098127A"/>
    <w:rsid w:val="00981551"/>
    <w:rsid w:val="009817B1"/>
    <w:rsid w:val="00982695"/>
    <w:rsid w:val="009829C3"/>
    <w:rsid w:val="00982A89"/>
    <w:rsid w:val="00982B3C"/>
    <w:rsid w:val="00982FC1"/>
    <w:rsid w:val="0098327D"/>
    <w:rsid w:val="009832CD"/>
    <w:rsid w:val="009838CE"/>
    <w:rsid w:val="00983F12"/>
    <w:rsid w:val="009848C7"/>
    <w:rsid w:val="009848DF"/>
    <w:rsid w:val="00985091"/>
    <w:rsid w:val="009856EA"/>
    <w:rsid w:val="009859FC"/>
    <w:rsid w:val="00985F3C"/>
    <w:rsid w:val="00985FC0"/>
    <w:rsid w:val="009867A2"/>
    <w:rsid w:val="009868BF"/>
    <w:rsid w:val="00986C6D"/>
    <w:rsid w:val="00986E2C"/>
    <w:rsid w:val="00987236"/>
    <w:rsid w:val="00987345"/>
    <w:rsid w:val="0098757C"/>
    <w:rsid w:val="00987CC3"/>
    <w:rsid w:val="00987E2B"/>
    <w:rsid w:val="00990177"/>
    <w:rsid w:val="00990227"/>
    <w:rsid w:val="0099058F"/>
    <w:rsid w:val="00990966"/>
    <w:rsid w:val="00990ABF"/>
    <w:rsid w:val="00990C2D"/>
    <w:rsid w:val="009912C8"/>
    <w:rsid w:val="00991D43"/>
    <w:rsid w:val="00992DB0"/>
    <w:rsid w:val="00992F1F"/>
    <w:rsid w:val="0099421A"/>
    <w:rsid w:val="00994227"/>
    <w:rsid w:val="00994490"/>
    <w:rsid w:val="00994C3A"/>
    <w:rsid w:val="00996605"/>
    <w:rsid w:val="00997174"/>
    <w:rsid w:val="009978B6"/>
    <w:rsid w:val="00997BE7"/>
    <w:rsid w:val="009A0649"/>
    <w:rsid w:val="009A0ACD"/>
    <w:rsid w:val="009A1071"/>
    <w:rsid w:val="009A1619"/>
    <w:rsid w:val="009A183E"/>
    <w:rsid w:val="009A1AB0"/>
    <w:rsid w:val="009A2689"/>
    <w:rsid w:val="009A27DE"/>
    <w:rsid w:val="009A2829"/>
    <w:rsid w:val="009A2CB1"/>
    <w:rsid w:val="009A2CD2"/>
    <w:rsid w:val="009A341E"/>
    <w:rsid w:val="009A3E88"/>
    <w:rsid w:val="009A4A00"/>
    <w:rsid w:val="009A4A68"/>
    <w:rsid w:val="009A4D57"/>
    <w:rsid w:val="009A4FE2"/>
    <w:rsid w:val="009A539A"/>
    <w:rsid w:val="009A5501"/>
    <w:rsid w:val="009A568D"/>
    <w:rsid w:val="009A5C53"/>
    <w:rsid w:val="009A5CC9"/>
    <w:rsid w:val="009A5D1C"/>
    <w:rsid w:val="009A5D76"/>
    <w:rsid w:val="009A6121"/>
    <w:rsid w:val="009A65CD"/>
    <w:rsid w:val="009A6B3C"/>
    <w:rsid w:val="009A6D88"/>
    <w:rsid w:val="009A6E40"/>
    <w:rsid w:val="009A7937"/>
    <w:rsid w:val="009A7BDC"/>
    <w:rsid w:val="009A7E4D"/>
    <w:rsid w:val="009B045E"/>
    <w:rsid w:val="009B0496"/>
    <w:rsid w:val="009B050A"/>
    <w:rsid w:val="009B1310"/>
    <w:rsid w:val="009B1E60"/>
    <w:rsid w:val="009B224A"/>
    <w:rsid w:val="009B23D4"/>
    <w:rsid w:val="009B2608"/>
    <w:rsid w:val="009B2BA0"/>
    <w:rsid w:val="009B2DB6"/>
    <w:rsid w:val="009B335B"/>
    <w:rsid w:val="009B4196"/>
    <w:rsid w:val="009B4546"/>
    <w:rsid w:val="009B49CB"/>
    <w:rsid w:val="009B4F1F"/>
    <w:rsid w:val="009B5084"/>
    <w:rsid w:val="009B51D7"/>
    <w:rsid w:val="009B5BB8"/>
    <w:rsid w:val="009B5D61"/>
    <w:rsid w:val="009B5D82"/>
    <w:rsid w:val="009B5FBE"/>
    <w:rsid w:val="009B5FE0"/>
    <w:rsid w:val="009B626C"/>
    <w:rsid w:val="009B65B2"/>
    <w:rsid w:val="009B6892"/>
    <w:rsid w:val="009B68E2"/>
    <w:rsid w:val="009B6A52"/>
    <w:rsid w:val="009B73B4"/>
    <w:rsid w:val="009B7A48"/>
    <w:rsid w:val="009B7D61"/>
    <w:rsid w:val="009C02E5"/>
    <w:rsid w:val="009C062A"/>
    <w:rsid w:val="009C0D8F"/>
    <w:rsid w:val="009C1A15"/>
    <w:rsid w:val="009C1F18"/>
    <w:rsid w:val="009C24AF"/>
    <w:rsid w:val="009C2B52"/>
    <w:rsid w:val="009C3015"/>
    <w:rsid w:val="009C315F"/>
    <w:rsid w:val="009C36A2"/>
    <w:rsid w:val="009C3A35"/>
    <w:rsid w:val="009C3DF1"/>
    <w:rsid w:val="009C4755"/>
    <w:rsid w:val="009C4CA5"/>
    <w:rsid w:val="009C4D31"/>
    <w:rsid w:val="009C507C"/>
    <w:rsid w:val="009C58D7"/>
    <w:rsid w:val="009C5C18"/>
    <w:rsid w:val="009C6F24"/>
    <w:rsid w:val="009C7A61"/>
    <w:rsid w:val="009C7DF5"/>
    <w:rsid w:val="009D019E"/>
    <w:rsid w:val="009D05B9"/>
    <w:rsid w:val="009D1323"/>
    <w:rsid w:val="009D1775"/>
    <w:rsid w:val="009D1865"/>
    <w:rsid w:val="009D1DD5"/>
    <w:rsid w:val="009D1FEF"/>
    <w:rsid w:val="009D22F6"/>
    <w:rsid w:val="009D2773"/>
    <w:rsid w:val="009D319A"/>
    <w:rsid w:val="009D3384"/>
    <w:rsid w:val="009D3402"/>
    <w:rsid w:val="009D3907"/>
    <w:rsid w:val="009D3CBA"/>
    <w:rsid w:val="009D4519"/>
    <w:rsid w:val="009D5149"/>
    <w:rsid w:val="009D5585"/>
    <w:rsid w:val="009D5C26"/>
    <w:rsid w:val="009D61E0"/>
    <w:rsid w:val="009D6271"/>
    <w:rsid w:val="009D6334"/>
    <w:rsid w:val="009D6E16"/>
    <w:rsid w:val="009D6E6F"/>
    <w:rsid w:val="009D7282"/>
    <w:rsid w:val="009D735F"/>
    <w:rsid w:val="009D7509"/>
    <w:rsid w:val="009D77EF"/>
    <w:rsid w:val="009D7ECF"/>
    <w:rsid w:val="009E0309"/>
    <w:rsid w:val="009E0319"/>
    <w:rsid w:val="009E05DD"/>
    <w:rsid w:val="009E0AB9"/>
    <w:rsid w:val="009E0D2C"/>
    <w:rsid w:val="009E0D9F"/>
    <w:rsid w:val="009E1140"/>
    <w:rsid w:val="009E119C"/>
    <w:rsid w:val="009E1B71"/>
    <w:rsid w:val="009E1D07"/>
    <w:rsid w:val="009E2424"/>
    <w:rsid w:val="009E24D5"/>
    <w:rsid w:val="009E2603"/>
    <w:rsid w:val="009E2E32"/>
    <w:rsid w:val="009E3163"/>
    <w:rsid w:val="009E38FA"/>
    <w:rsid w:val="009E3A77"/>
    <w:rsid w:val="009E3C33"/>
    <w:rsid w:val="009E3C7F"/>
    <w:rsid w:val="009E3E12"/>
    <w:rsid w:val="009E3F50"/>
    <w:rsid w:val="009E4488"/>
    <w:rsid w:val="009E4A54"/>
    <w:rsid w:val="009E4CDF"/>
    <w:rsid w:val="009E4F00"/>
    <w:rsid w:val="009E510C"/>
    <w:rsid w:val="009E54F9"/>
    <w:rsid w:val="009E55DE"/>
    <w:rsid w:val="009E58EB"/>
    <w:rsid w:val="009E5A34"/>
    <w:rsid w:val="009E5C13"/>
    <w:rsid w:val="009E5DC7"/>
    <w:rsid w:val="009E61A0"/>
    <w:rsid w:val="009E633A"/>
    <w:rsid w:val="009E7F3B"/>
    <w:rsid w:val="009F0BA3"/>
    <w:rsid w:val="009F16D9"/>
    <w:rsid w:val="009F175A"/>
    <w:rsid w:val="009F1A78"/>
    <w:rsid w:val="009F1C67"/>
    <w:rsid w:val="009F1E7A"/>
    <w:rsid w:val="009F215C"/>
    <w:rsid w:val="009F2732"/>
    <w:rsid w:val="009F2B1F"/>
    <w:rsid w:val="009F2C7D"/>
    <w:rsid w:val="009F2F44"/>
    <w:rsid w:val="009F304C"/>
    <w:rsid w:val="009F48BD"/>
    <w:rsid w:val="009F4FD4"/>
    <w:rsid w:val="009F510E"/>
    <w:rsid w:val="009F5514"/>
    <w:rsid w:val="009F5D81"/>
    <w:rsid w:val="009F5F7B"/>
    <w:rsid w:val="009F611F"/>
    <w:rsid w:val="009F61F6"/>
    <w:rsid w:val="009F6BD7"/>
    <w:rsid w:val="009F7553"/>
    <w:rsid w:val="009F798D"/>
    <w:rsid w:val="009F7C48"/>
    <w:rsid w:val="00A000D2"/>
    <w:rsid w:val="00A006DA"/>
    <w:rsid w:val="00A0091A"/>
    <w:rsid w:val="00A00A0E"/>
    <w:rsid w:val="00A017E0"/>
    <w:rsid w:val="00A01C56"/>
    <w:rsid w:val="00A01F3E"/>
    <w:rsid w:val="00A0220A"/>
    <w:rsid w:val="00A023FA"/>
    <w:rsid w:val="00A02A60"/>
    <w:rsid w:val="00A02C3C"/>
    <w:rsid w:val="00A02CAA"/>
    <w:rsid w:val="00A02CE2"/>
    <w:rsid w:val="00A04119"/>
    <w:rsid w:val="00A04E0D"/>
    <w:rsid w:val="00A04E0F"/>
    <w:rsid w:val="00A04F53"/>
    <w:rsid w:val="00A05096"/>
    <w:rsid w:val="00A05680"/>
    <w:rsid w:val="00A056B3"/>
    <w:rsid w:val="00A056E4"/>
    <w:rsid w:val="00A05786"/>
    <w:rsid w:val="00A05D10"/>
    <w:rsid w:val="00A0616E"/>
    <w:rsid w:val="00A06FEA"/>
    <w:rsid w:val="00A07212"/>
    <w:rsid w:val="00A100E7"/>
    <w:rsid w:val="00A10895"/>
    <w:rsid w:val="00A11145"/>
    <w:rsid w:val="00A116DB"/>
    <w:rsid w:val="00A11787"/>
    <w:rsid w:val="00A119F1"/>
    <w:rsid w:val="00A11F84"/>
    <w:rsid w:val="00A12BFE"/>
    <w:rsid w:val="00A12E21"/>
    <w:rsid w:val="00A13B4D"/>
    <w:rsid w:val="00A13B6A"/>
    <w:rsid w:val="00A13D05"/>
    <w:rsid w:val="00A13F48"/>
    <w:rsid w:val="00A14ED3"/>
    <w:rsid w:val="00A15094"/>
    <w:rsid w:val="00A152F6"/>
    <w:rsid w:val="00A15364"/>
    <w:rsid w:val="00A156EF"/>
    <w:rsid w:val="00A16F02"/>
    <w:rsid w:val="00A17105"/>
    <w:rsid w:val="00A175CC"/>
    <w:rsid w:val="00A17710"/>
    <w:rsid w:val="00A17835"/>
    <w:rsid w:val="00A17B2A"/>
    <w:rsid w:val="00A2033D"/>
    <w:rsid w:val="00A20A06"/>
    <w:rsid w:val="00A20AF5"/>
    <w:rsid w:val="00A20E7D"/>
    <w:rsid w:val="00A214E1"/>
    <w:rsid w:val="00A21C9B"/>
    <w:rsid w:val="00A22006"/>
    <w:rsid w:val="00A22018"/>
    <w:rsid w:val="00A22022"/>
    <w:rsid w:val="00A2218B"/>
    <w:rsid w:val="00A22327"/>
    <w:rsid w:val="00A22AB5"/>
    <w:rsid w:val="00A22B9A"/>
    <w:rsid w:val="00A230DD"/>
    <w:rsid w:val="00A233F4"/>
    <w:rsid w:val="00A23485"/>
    <w:rsid w:val="00A23643"/>
    <w:rsid w:val="00A23CA7"/>
    <w:rsid w:val="00A23E5B"/>
    <w:rsid w:val="00A245A8"/>
    <w:rsid w:val="00A24611"/>
    <w:rsid w:val="00A24667"/>
    <w:rsid w:val="00A24C65"/>
    <w:rsid w:val="00A24F53"/>
    <w:rsid w:val="00A253A5"/>
    <w:rsid w:val="00A254FF"/>
    <w:rsid w:val="00A257AB"/>
    <w:rsid w:val="00A25C55"/>
    <w:rsid w:val="00A25C63"/>
    <w:rsid w:val="00A25C8D"/>
    <w:rsid w:val="00A262D4"/>
    <w:rsid w:val="00A263CF"/>
    <w:rsid w:val="00A264FB"/>
    <w:rsid w:val="00A2675D"/>
    <w:rsid w:val="00A26B63"/>
    <w:rsid w:val="00A26E9F"/>
    <w:rsid w:val="00A27B6D"/>
    <w:rsid w:val="00A27E48"/>
    <w:rsid w:val="00A27EF2"/>
    <w:rsid w:val="00A302E8"/>
    <w:rsid w:val="00A302ED"/>
    <w:rsid w:val="00A30553"/>
    <w:rsid w:val="00A308EB"/>
    <w:rsid w:val="00A31221"/>
    <w:rsid w:val="00A3122C"/>
    <w:rsid w:val="00A313A6"/>
    <w:rsid w:val="00A32416"/>
    <w:rsid w:val="00A32648"/>
    <w:rsid w:val="00A327BB"/>
    <w:rsid w:val="00A32F65"/>
    <w:rsid w:val="00A3318B"/>
    <w:rsid w:val="00A33379"/>
    <w:rsid w:val="00A34067"/>
    <w:rsid w:val="00A352D9"/>
    <w:rsid w:val="00A35683"/>
    <w:rsid w:val="00A3594E"/>
    <w:rsid w:val="00A3605F"/>
    <w:rsid w:val="00A372F0"/>
    <w:rsid w:val="00A37783"/>
    <w:rsid w:val="00A3790C"/>
    <w:rsid w:val="00A400D5"/>
    <w:rsid w:val="00A401C5"/>
    <w:rsid w:val="00A4094C"/>
    <w:rsid w:val="00A40B1E"/>
    <w:rsid w:val="00A416E5"/>
    <w:rsid w:val="00A41A1D"/>
    <w:rsid w:val="00A41F39"/>
    <w:rsid w:val="00A421D5"/>
    <w:rsid w:val="00A42686"/>
    <w:rsid w:val="00A42751"/>
    <w:rsid w:val="00A4299A"/>
    <w:rsid w:val="00A43732"/>
    <w:rsid w:val="00A43BC0"/>
    <w:rsid w:val="00A44881"/>
    <w:rsid w:val="00A4558B"/>
    <w:rsid w:val="00A45A50"/>
    <w:rsid w:val="00A46621"/>
    <w:rsid w:val="00A46C4D"/>
    <w:rsid w:val="00A46FB0"/>
    <w:rsid w:val="00A47201"/>
    <w:rsid w:val="00A47294"/>
    <w:rsid w:val="00A472C6"/>
    <w:rsid w:val="00A4784E"/>
    <w:rsid w:val="00A501B9"/>
    <w:rsid w:val="00A50796"/>
    <w:rsid w:val="00A50808"/>
    <w:rsid w:val="00A50BDD"/>
    <w:rsid w:val="00A50CFC"/>
    <w:rsid w:val="00A51134"/>
    <w:rsid w:val="00A51D91"/>
    <w:rsid w:val="00A5212F"/>
    <w:rsid w:val="00A521BC"/>
    <w:rsid w:val="00A523C1"/>
    <w:rsid w:val="00A528DF"/>
    <w:rsid w:val="00A52C0A"/>
    <w:rsid w:val="00A52D2B"/>
    <w:rsid w:val="00A52EA2"/>
    <w:rsid w:val="00A53213"/>
    <w:rsid w:val="00A532DF"/>
    <w:rsid w:val="00A5376B"/>
    <w:rsid w:val="00A541A2"/>
    <w:rsid w:val="00A543AA"/>
    <w:rsid w:val="00A5462F"/>
    <w:rsid w:val="00A55169"/>
    <w:rsid w:val="00A551A6"/>
    <w:rsid w:val="00A56157"/>
    <w:rsid w:val="00A56504"/>
    <w:rsid w:val="00A5668A"/>
    <w:rsid w:val="00A56843"/>
    <w:rsid w:val="00A569AC"/>
    <w:rsid w:val="00A56EE1"/>
    <w:rsid w:val="00A56FA9"/>
    <w:rsid w:val="00A5722A"/>
    <w:rsid w:val="00A5738F"/>
    <w:rsid w:val="00A573D4"/>
    <w:rsid w:val="00A57456"/>
    <w:rsid w:val="00A5769D"/>
    <w:rsid w:val="00A603AD"/>
    <w:rsid w:val="00A60750"/>
    <w:rsid w:val="00A618E4"/>
    <w:rsid w:val="00A6228C"/>
    <w:rsid w:val="00A622F7"/>
    <w:rsid w:val="00A62CBE"/>
    <w:rsid w:val="00A62E4D"/>
    <w:rsid w:val="00A6345D"/>
    <w:rsid w:val="00A63471"/>
    <w:rsid w:val="00A63DC1"/>
    <w:rsid w:val="00A640BB"/>
    <w:rsid w:val="00A647BB"/>
    <w:rsid w:val="00A648DE"/>
    <w:rsid w:val="00A6559D"/>
    <w:rsid w:val="00A656F3"/>
    <w:rsid w:val="00A65773"/>
    <w:rsid w:val="00A6585B"/>
    <w:rsid w:val="00A6587F"/>
    <w:rsid w:val="00A66809"/>
    <w:rsid w:val="00A66C20"/>
    <w:rsid w:val="00A674D1"/>
    <w:rsid w:val="00A67DCF"/>
    <w:rsid w:val="00A70066"/>
    <w:rsid w:val="00A70367"/>
    <w:rsid w:val="00A70834"/>
    <w:rsid w:val="00A70DBB"/>
    <w:rsid w:val="00A71411"/>
    <w:rsid w:val="00A71C8E"/>
    <w:rsid w:val="00A7230C"/>
    <w:rsid w:val="00A726BC"/>
    <w:rsid w:val="00A7276A"/>
    <w:rsid w:val="00A72FE7"/>
    <w:rsid w:val="00A7376F"/>
    <w:rsid w:val="00A73A5C"/>
    <w:rsid w:val="00A740E5"/>
    <w:rsid w:val="00A7458C"/>
    <w:rsid w:val="00A74D1B"/>
    <w:rsid w:val="00A74E97"/>
    <w:rsid w:val="00A7603D"/>
    <w:rsid w:val="00A768E5"/>
    <w:rsid w:val="00A7692F"/>
    <w:rsid w:val="00A76B12"/>
    <w:rsid w:val="00A76CC3"/>
    <w:rsid w:val="00A76D4C"/>
    <w:rsid w:val="00A76D8E"/>
    <w:rsid w:val="00A772D3"/>
    <w:rsid w:val="00A774C2"/>
    <w:rsid w:val="00A77837"/>
    <w:rsid w:val="00A77F61"/>
    <w:rsid w:val="00A800B2"/>
    <w:rsid w:val="00A80114"/>
    <w:rsid w:val="00A80138"/>
    <w:rsid w:val="00A80143"/>
    <w:rsid w:val="00A809D4"/>
    <w:rsid w:val="00A813E6"/>
    <w:rsid w:val="00A815E4"/>
    <w:rsid w:val="00A81DC7"/>
    <w:rsid w:val="00A82253"/>
    <w:rsid w:val="00A82768"/>
    <w:rsid w:val="00A831EA"/>
    <w:rsid w:val="00A83210"/>
    <w:rsid w:val="00A833DE"/>
    <w:rsid w:val="00A83A8B"/>
    <w:rsid w:val="00A84266"/>
    <w:rsid w:val="00A85D58"/>
    <w:rsid w:val="00A85E49"/>
    <w:rsid w:val="00A8636F"/>
    <w:rsid w:val="00A8639D"/>
    <w:rsid w:val="00A86A22"/>
    <w:rsid w:val="00A87764"/>
    <w:rsid w:val="00A87926"/>
    <w:rsid w:val="00A87A61"/>
    <w:rsid w:val="00A87C80"/>
    <w:rsid w:val="00A87E16"/>
    <w:rsid w:val="00A87EBF"/>
    <w:rsid w:val="00A87F7C"/>
    <w:rsid w:val="00A90144"/>
    <w:rsid w:val="00A90222"/>
    <w:rsid w:val="00A905E5"/>
    <w:rsid w:val="00A9077E"/>
    <w:rsid w:val="00A90C31"/>
    <w:rsid w:val="00A91E32"/>
    <w:rsid w:val="00A91FF8"/>
    <w:rsid w:val="00A93054"/>
    <w:rsid w:val="00A93911"/>
    <w:rsid w:val="00A96317"/>
    <w:rsid w:val="00A96401"/>
    <w:rsid w:val="00A9656A"/>
    <w:rsid w:val="00A96D6D"/>
    <w:rsid w:val="00A97337"/>
    <w:rsid w:val="00A97A83"/>
    <w:rsid w:val="00AA0060"/>
    <w:rsid w:val="00AA00BE"/>
    <w:rsid w:val="00AA0D57"/>
    <w:rsid w:val="00AA1872"/>
    <w:rsid w:val="00AA1C5C"/>
    <w:rsid w:val="00AA2A6E"/>
    <w:rsid w:val="00AA32B4"/>
    <w:rsid w:val="00AA3760"/>
    <w:rsid w:val="00AA3C48"/>
    <w:rsid w:val="00AA3EA6"/>
    <w:rsid w:val="00AA3F8C"/>
    <w:rsid w:val="00AA45ED"/>
    <w:rsid w:val="00AA488B"/>
    <w:rsid w:val="00AA4C0C"/>
    <w:rsid w:val="00AA5007"/>
    <w:rsid w:val="00AA54B4"/>
    <w:rsid w:val="00AA562C"/>
    <w:rsid w:val="00AA578E"/>
    <w:rsid w:val="00AA59A6"/>
    <w:rsid w:val="00AA5CE4"/>
    <w:rsid w:val="00AA61E6"/>
    <w:rsid w:val="00AA658A"/>
    <w:rsid w:val="00AA66D8"/>
    <w:rsid w:val="00AA6CD6"/>
    <w:rsid w:val="00AA6D72"/>
    <w:rsid w:val="00AA6F66"/>
    <w:rsid w:val="00AA7C97"/>
    <w:rsid w:val="00AB0B3B"/>
    <w:rsid w:val="00AB19EA"/>
    <w:rsid w:val="00AB1B98"/>
    <w:rsid w:val="00AB1CEB"/>
    <w:rsid w:val="00AB1F2E"/>
    <w:rsid w:val="00AB235B"/>
    <w:rsid w:val="00AB27A9"/>
    <w:rsid w:val="00AB3260"/>
    <w:rsid w:val="00AB326C"/>
    <w:rsid w:val="00AB32A7"/>
    <w:rsid w:val="00AB32C9"/>
    <w:rsid w:val="00AB3307"/>
    <w:rsid w:val="00AB338F"/>
    <w:rsid w:val="00AB3BB1"/>
    <w:rsid w:val="00AB3EB1"/>
    <w:rsid w:val="00AB3FC2"/>
    <w:rsid w:val="00AB4597"/>
    <w:rsid w:val="00AB532B"/>
    <w:rsid w:val="00AB5576"/>
    <w:rsid w:val="00AB5CAE"/>
    <w:rsid w:val="00AB649F"/>
    <w:rsid w:val="00AB6A3F"/>
    <w:rsid w:val="00AB74B2"/>
    <w:rsid w:val="00AB78E1"/>
    <w:rsid w:val="00AB7AC2"/>
    <w:rsid w:val="00AC02E1"/>
    <w:rsid w:val="00AC095F"/>
    <w:rsid w:val="00AC0A60"/>
    <w:rsid w:val="00AC0D43"/>
    <w:rsid w:val="00AC161A"/>
    <w:rsid w:val="00AC2338"/>
    <w:rsid w:val="00AC23D5"/>
    <w:rsid w:val="00AC28E8"/>
    <w:rsid w:val="00AC39C1"/>
    <w:rsid w:val="00AC3C98"/>
    <w:rsid w:val="00AC4E34"/>
    <w:rsid w:val="00AC5075"/>
    <w:rsid w:val="00AC521F"/>
    <w:rsid w:val="00AC6A86"/>
    <w:rsid w:val="00AC6BA6"/>
    <w:rsid w:val="00AC6CC9"/>
    <w:rsid w:val="00AC7308"/>
    <w:rsid w:val="00AC7A81"/>
    <w:rsid w:val="00AD047E"/>
    <w:rsid w:val="00AD0653"/>
    <w:rsid w:val="00AD066F"/>
    <w:rsid w:val="00AD0AE6"/>
    <w:rsid w:val="00AD0C89"/>
    <w:rsid w:val="00AD13EB"/>
    <w:rsid w:val="00AD1590"/>
    <w:rsid w:val="00AD15C2"/>
    <w:rsid w:val="00AD166C"/>
    <w:rsid w:val="00AD176A"/>
    <w:rsid w:val="00AD21E2"/>
    <w:rsid w:val="00AD2201"/>
    <w:rsid w:val="00AD2BC5"/>
    <w:rsid w:val="00AD2E5A"/>
    <w:rsid w:val="00AD3093"/>
    <w:rsid w:val="00AD408F"/>
    <w:rsid w:val="00AD4755"/>
    <w:rsid w:val="00AD4A8F"/>
    <w:rsid w:val="00AD51E2"/>
    <w:rsid w:val="00AD5930"/>
    <w:rsid w:val="00AD5A72"/>
    <w:rsid w:val="00AD5AB0"/>
    <w:rsid w:val="00AD5B07"/>
    <w:rsid w:val="00AD5C5D"/>
    <w:rsid w:val="00AD5EF4"/>
    <w:rsid w:val="00AD7066"/>
    <w:rsid w:val="00AD7198"/>
    <w:rsid w:val="00AD7267"/>
    <w:rsid w:val="00AD7286"/>
    <w:rsid w:val="00AD7A77"/>
    <w:rsid w:val="00AD7BAB"/>
    <w:rsid w:val="00AE0470"/>
    <w:rsid w:val="00AE05B7"/>
    <w:rsid w:val="00AE0B06"/>
    <w:rsid w:val="00AE0FFB"/>
    <w:rsid w:val="00AE1463"/>
    <w:rsid w:val="00AE14AF"/>
    <w:rsid w:val="00AE2784"/>
    <w:rsid w:val="00AE2827"/>
    <w:rsid w:val="00AE297B"/>
    <w:rsid w:val="00AE3009"/>
    <w:rsid w:val="00AE3255"/>
    <w:rsid w:val="00AE3F23"/>
    <w:rsid w:val="00AE422A"/>
    <w:rsid w:val="00AE4D6C"/>
    <w:rsid w:val="00AE50AC"/>
    <w:rsid w:val="00AE5259"/>
    <w:rsid w:val="00AE558B"/>
    <w:rsid w:val="00AE5A24"/>
    <w:rsid w:val="00AE5CD2"/>
    <w:rsid w:val="00AE6753"/>
    <w:rsid w:val="00AE6779"/>
    <w:rsid w:val="00AE69DE"/>
    <w:rsid w:val="00AE7781"/>
    <w:rsid w:val="00AE7FDA"/>
    <w:rsid w:val="00AF05AE"/>
    <w:rsid w:val="00AF0B2B"/>
    <w:rsid w:val="00AF11B9"/>
    <w:rsid w:val="00AF16B0"/>
    <w:rsid w:val="00AF1843"/>
    <w:rsid w:val="00AF198B"/>
    <w:rsid w:val="00AF1C9D"/>
    <w:rsid w:val="00AF2224"/>
    <w:rsid w:val="00AF2291"/>
    <w:rsid w:val="00AF2417"/>
    <w:rsid w:val="00AF2C9D"/>
    <w:rsid w:val="00AF2E81"/>
    <w:rsid w:val="00AF401A"/>
    <w:rsid w:val="00AF4121"/>
    <w:rsid w:val="00AF4262"/>
    <w:rsid w:val="00AF4715"/>
    <w:rsid w:val="00AF4B09"/>
    <w:rsid w:val="00AF4C03"/>
    <w:rsid w:val="00AF5033"/>
    <w:rsid w:val="00AF50C8"/>
    <w:rsid w:val="00AF52CB"/>
    <w:rsid w:val="00AF599E"/>
    <w:rsid w:val="00AF5BE6"/>
    <w:rsid w:val="00AF5E7C"/>
    <w:rsid w:val="00AF5F49"/>
    <w:rsid w:val="00AF661C"/>
    <w:rsid w:val="00AF6796"/>
    <w:rsid w:val="00AF6E5A"/>
    <w:rsid w:val="00AF7025"/>
    <w:rsid w:val="00AF73F6"/>
    <w:rsid w:val="00AF7B47"/>
    <w:rsid w:val="00AF7D6B"/>
    <w:rsid w:val="00AF7E3B"/>
    <w:rsid w:val="00AF7FB8"/>
    <w:rsid w:val="00B001E2"/>
    <w:rsid w:val="00B008D7"/>
    <w:rsid w:val="00B00CC3"/>
    <w:rsid w:val="00B013EE"/>
    <w:rsid w:val="00B0169E"/>
    <w:rsid w:val="00B01F40"/>
    <w:rsid w:val="00B02273"/>
    <w:rsid w:val="00B027D4"/>
    <w:rsid w:val="00B02861"/>
    <w:rsid w:val="00B02A10"/>
    <w:rsid w:val="00B02EF8"/>
    <w:rsid w:val="00B02FF5"/>
    <w:rsid w:val="00B0376A"/>
    <w:rsid w:val="00B03777"/>
    <w:rsid w:val="00B03A96"/>
    <w:rsid w:val="00B03E7D"/>
    <w:rsid w:val="00B03FDA"/>
    <w:rsid w:val="00B041DA"/>
    <w:rsid w:val="00B04274"/>
    <w:rsid w:val="00B044A0"/>
    <w:rsid w:val="00B04F8A"/>
    <w:rsid w:val="00B04FA8"/>
    <w:rsid w:val="00B052F1"/>
    <w:rsid w:val="00B05480"/>
    <w:rsid w:val="00B05AE3"/>
    <w:rsid w:val="00B05B55"/>
    <w:rsid w:val="00B05FF1"/>
    <w:rsid w:val="00B06309"/>
    <w:rsid w:val="00B066AE"/>
    <w:rsid w:val="00B06863"/>
    <w:rsid w:val="00B06C02"/>
    <w:rsid w:val="00B06CEF"/>
    <w:rsid w:val="00B06FB2"/>
    <w:rsid w:val="00B076C5"/>
    <w:rsid w:val="00B07914"/>
    <w:rsid w:val="00B10640"/>
    <w:rsid w:val="00B108AF"/>
    <w:rsid w:val="00B10CDA"/>
    <w:rsid w:val="00B115B8"/>
    <w:rsid w:val="00B11CF3"/>
    <w:rsid w:val="00B11CFC"/>
    <w:rsid w:val="00B124CA"/>
    <w:rsid w:val="00B12AED"/>
    <w:rsid w:val="00B13000"/>
    <w:rsid w:val="00B1335B"/>
    <w:rsid w:val="00B13663"/>
    <w:rsid w:val="00B139E8"/>
    <w:rsid w:val="00B13A0D"/>
    <w:rsid w:val="00B14237"/>
    <w:rsid w:val="00B1441B"/>
    <w:rsid w:val="00B14745"/>
    <w:rsid w:val="00B14B33"/>
    <w:rsid w:val="00B15779"/>
    <w:rsid w:val="00B157B9"/>
    <w:rsid w:val="00B15AEF"/>
    <w:rsid w:val="00B16493"/>
    <w:rsid w:val="00B1661E"/>
    <w:rsid w:val="00B167DF"/>
    <w:rsid w:val="00B16FCF"/>
    <w:rsid w:val="00B21BC4"/>
    <w:rsid w:val="00B22202"/>
    <w:rsid w:val="00B22E8A"/>
    <w:rsid w:val="00B23061"/>
    <w:rsid w:val="00B231EE"/>
    <w:rsid w:val="00B23532"/>
    <w:rsid w:val="00B23592"/>
    <w:rsid w:val="00B236ED"/>
    <w:rsid w:val="00B23729"/>
    <w:rsid w:val="00B23B5E"/>
    <w:rsid w:val="00B2438E"/>
    <w:rsid w:val="00B24504"/>
    <w:rsid w:val="00B2454E"/>
    <w:rsid w:val="00B2468D"/>
    <w:rsid w:val="00B25498"/>
    <w:rsid w:val="00B25A38"/>
    <w:rsid w:val="00B25E75"/>
    <w:rsid w:val="00B26652"/>
    <w:rsid w:val="00B2698A"/>
    <w:rsid w:val="00B26F01"/>
    <w:rsid w:val="00B279D1"/>
    <w:rsid w:val="00B27D3F"/>
    <w:rsid w:val="00B27E89"/>
    <w:rsid w:val="00B3005C"/>
    <w:rsid w:val="00B30157"/>
    <w:rsid w:val="00B3046D"/>
    <w:rsid w:val="00B306EA"/>
    <w:rsid w:val="00B30813"/>
    <w:rsid w:val="00B308B8"/>
    <w:rsid w:val="00B3098A"/>
    <w:rsid w:val="00B30DE4"/>
    <w:rsid w:val="00B31814"/>
    <w:rsid w:val="00B31B79"/>
    <w:rsid w:val="00B31CD1"/>
    <w:rsid w:val="00B31D84"/>
    <w:rsid w:val="00B31E2C"/>
    <w:rsid w:val="00B31F09"/>
    <w:rsid w:val="00B32458"/>
    <w:rsid w:val="00B3256D"/>
    <w:rsid w:val="00B33AA7"/>
    <w:rsid w:val="00B340A2"/>
    <w:rsid w:val="00B341B9"/>
    <w:rsid w:val="00B344F5"/>
    <w:rsid w:val="00B34EC6"/>
    <w:rsid w:val="00B35532"/>
    <w:rsid w:val="00B35ECC"/>
    <w:rsid w:val="00B36665"/>
    <w:rsid w:val="00B36916"/>
    <w:rsid w:val="00B36A83"/>
    <w:rsid w:val="00B36CEA"/>
    <w:rsid w:val="00B36EF7"/>
    <w:rsid w:val="00B37138"/>
    <w:rsid w:val="00B372B3"/>
    <w:rsid w:val="00B37624"/>
    <w:rsid w:val="00B37AA1"/>
    <w:rsid w:val="00B37D5C"/>
    <w:rsid w:val="00B40136"/>
    <w:rsid w:val="00B40815"/>
    <w:rsid w:val="00B4090E"/>
    <w:rsid w:val="00B40ADE"/>
    <w:rsid w:val="00B41337"/>
    <w:rsid w:val="00B41782"/>
    <w:rsid w:val="00B41E25"/>
    <w:rsid w:val="00B421DC"/>
    <w:rsid w:val="00B425AA"/>
    <w:rsid w:val="00B425B2"/>
    <w:rsid w:val="00B428BE"/>
    <w:rsid w:val="00B42AFD"/>
    <w:rsid w:val="00B42D82"/>
    <w:rsid w:val="00B4304A"/>
    <w:rsid w:val="00B43228"/>
    <w:rsid w:val="00B432AA"/>
    <w:rsid w:val="00B433DB"/>
    <w:rsid w:val="00B43532"/>
    <w:rsid w:val="00B43701"/>
    <w:rsid w:val="00B43ED5"/>
    <w:rsid w:val="00B441AE"/>
    <w:rsid w:val="00B4430E"/>
    <w:rsid w:val="00B444F2"/>
    <w:rsid w:val="00B44642"/>
    <w:rsid w:val="00B4472F"/>
    <w:rsid w:val="00B448A5"/>
    <w:rsid w:val="00B44A3A"/>
    <w:rsid w:val="00B44B05"/>
    <w:rsid w:val="00B44D82"/>
    <w:rsid w:val="00B45445"/>
    <w:rsid w:val="00B45904"/>
    <w:rsid w:val="00B4603C"/>
    <w:rsid w:val="00B46521"/>
    <w:rsid w:val="00B46C1C"/>
    <w:rsid w:val="00B46EB7"/>
    <w:rsid w:val="00B47506"/>
    <w:rsid w:val="00B476B9"/>
    <w:rsid w:val="00B5034C"/>
    <w:rsid w:val="00B50364"/>
    <w:rsid w:val="00B503C3"/>
    <w:rsid w:val="00B50F35"/>
    <w:rsid w:val="00B5157C"/>
    <w:rsid w:val="00B515B8"/>
    <w:rsid w:val="00B516C9"/>
    <w:rsid w:val="00B5177C"/>
    <w:rsid w:val="00B51869"/>
    <w:rsid w:val="00B519E7"/>
    <w:rsid w:val="00B51F9D"/>
    <w:rsid w:val="00B532F0"/>
    <w:rsid w:val="00B53689"/>
    <w:rsid w:val="00B5409A"/>
    <w:rsid w:val="00B54215"/>
    <w:rsid w:val="00B54B57"/>
    <w:rsid w:val="00B54C67"/>
    <w:rsid w:val="00B54D37"/>
    <w:rsid w:val="00B54F4F"/>
    <w:rsid w:val="00B54F8A"/>
    <w:rsid w:val="00B553F2"/>
    <w:rsid w:val="00B55C53"/>
    <w:rsid w:val="00B55C7B"/>
    <w:rsid w:val="00B55D71"/>
    <w:rsid w:val="00B5693A"/>
    <w:rsid w:val="00B5708B"/>
    <w:rsid w:val="00B57531"/>
    <w:rsid w:val="00B603A9"/>
    <w:rsid w:val="00B603C0"/>
    <w:rsid w:val="00B60EB8"/>
    <w:rsid w:val="00B60FF7"/>
    <w:rsid w:val="00B612F3"/>
    <w:rsid w:val="00B6169C"/>
    <w:rsid w:val="00B61FC7"/>
    <w:rsid w:val="00B61FE9"/>
    <w:rsid w:val="00B6229D"/>
    <w:rsid w:val="00B62724"/>
    <w:rsid w:val="00B638F3"/>
    <w:rsid w:val="00B64078"/>
    <w:rsid w:val="00B642E2"/>
    <w:rsid w:val="00B647BF"/>
    <w:rsid w:val="00B65008"/>
    <w:rsid w:val="00B65852"/>
    <w:rsid w:val="00B65F12"/>
    <w:rsid w:val="00B6671B"/>
    <w:rsid w:val="00B67278"/>
    <w:rsid w:val="00B67D85"/>
    <w:rsid w:val="00B706A4"/>
    <w:rsid w:val="00B70EE1"/>
    <w:rsid w:val="00B7112A"/>
    <w:rsid w:val="00B71304"/>
    <w:rsid w:val="00B71401"/>
    <w:rsid w:val="00B71643"/>
    <w:rsid w:val="00B71A89"/>
    <w:rsid w:val="00B71CB3"/>
    <w:rsid w:val="00B72BB1"/>
    <w:rsid w:val="00B72D56"/>
    <w:rsid w:val="00B72E67"/>
    <w:rsid w:val="00B72EEE"/>
    <w:rsid w:val="00B7380D"/>
    <w:rsid w:val="00B73863"/>
    <w:rsid w:val="00B7389D"/>
    <w:rsid w:val="00B73BA5"/>
    <w:rsid w:val="00B73CE1"/>
    <w:rsid w:val="00B74431"/>
    <w:rsid w:val="00B74C24"/>
    <w:rsid w:val="00B74C87"/>
    <w:rsid w:val="00B74FCE"/>
    <w:rsid w:val="00B74FDC"/>
    <w:rsid w:val="00B756F9"/>
    <w:rsid w:val="00B75901"/>
    <w:rsid w:val="00B75C30"/>
    <w:rsid w:val="00B75F12"/>
    <w:rsid w:val="00B761CB"/>
    <w:rsid w:val="00B76502"/>
    <w:rsid w:val="00B76860"/>
    <w:rsid w:val="00B76A17"/>
    <w:rsid w:val="00B76B1A"/>
    <w:rsid w:val="00B77AF0"/>
    <w:rsid w:val="00B77F10"/>
    <w:rsid w:val="00B80892"/>
    <w:rsid w:val="00B81193"/>
    <w:rsid w:val="00B81375"/>
    <w:rsid w:val="00B8155F"/>
    <w:rsid w:val="00B81A13"/>
    <w:rsid w:val="00B81BF0"/>
    <w:rsid w:val="00B826F4"/>
    <w:rsid w:val="00B828AA"/>
    <w:rsid w:val="00B82CC8"/>
    <w:rsid w:val="00B82D9A"/>
    <w:rsid w:val="00B8322C"/>
    <w:rsid w:val="00B83774"/>
    <w:rsid w:val="00B8386C"/>
    <w:rsid w:val="00B83E36"/>
    <w:rsid w:val="00B8464D"/>
    <w:rsid w:val="00B84812"/>
    <w:rsid w:val="00B8520B"/>
    <w:rsid w:val="00B85C2B"/>
    <w:rsid w:val="00B85C46"/>
    <w:rsid w:val="00B86039"/>
    <w:rsid w:val="00B86874"/>
    <w:rsid w:val="00B87087"/>
    <w:rsid w:val="00B872BC"/>
    <w:rsid w:val="00B87757"/>
    <w:rsid w:val="00B87896"/>
    <w:rsid w:val="00B87E59"/>
    <w:rsid w:val="00B90117"/>
    <w:rsid w:val="00B90197"/>
    <w:rsid w:val="00B90CBF"/>
    <w:rsid w:val="00B90D17"/>
    <w:rsid w:val="00B91224"/>
    <w:rsid w:val="00B918B4"/>
    <w:rsid w:val="00B921F0"/>
    <w:rsid w:val="00B922F8"/>
    <w:rsid w:val="00B9250C"/>
    <w:rsid w:val="00B9269D"/>
    <w:rsid w:val="00B92C50"/>
    <w:rsid w:val="00B93100"/>
    <w:rsid w:val="00B93786"/>
    <w:rsid w:val="00B93F6D"/>
    <w:rsid w:val="00B94B0E"/>
    <w:rsid w:val="00B94E7A"/>
    <w:rsid w:val="00B951D5"/>
    <w:rsid w:val="00B967F5"/>
    <w:rsid w:val="00B96A23"/>
    <w:rsid w:val="00B9772A"/>
    <w:rsid w:val="00B97B10"/>
    <w:rsid w:val="00BA0C4D"/>
    <w:rsid w:val="00BA0F7F"/>
    <w:rsid w:val="00BA23D2"/>
    <w:rsid w:val="00BA2B4E"/>
    <w:rsid w:val="00BA302F"/>
    <w:rsid w:val="00BA3280"/>
    <w:rsid w:val="00BA3A6E"/>
    <w:rsid w:val="00BA40A9"/>
    <w:rsid w:val="00BA4582"/>
    <w:rsid w:val="00BA47C5"/>
    <w:rsid w:val="00BA49C8"/>
    <w:rsid w:val="00BA4BAF"/>
    <w:rsid w:val="00BA504A"/>
    <w:rsid w:val="00BA50CA"/>
    <w:rsid w:val="00BA5182"/>
    <w:rsid w:val="00BA644D"/>
    <w:rsid w:val="00BA64C6"/>
    <w:rsid w:val="00BA67C8"/>
    <w:rsid w:val="00BA68B6"/>
    <w:rsid w:val="00BA6A1F"/>
    <w:rsid w:val="00BA7744"/>
    <w:rsid w:val="00BA7D10"/>
    <w:rsid w:val="00BA7EF3"/>
    <w:rsid w:val="00BB09A6"/>
    <w:rsid w:val="00BB09AC"/>
    <w:rsid w:val="00BB0D8F"/>
    <w:rsid w:val="00BB0F6E"/>
    <w:rsid w:val="00BB1059"/>
    <w:rsid w:val="00BB12BB"/>
    <w:rsid w:val="00BB13AA"/>
    <w:rsid w:val="00BB19D9"/>
    <w:rsid w:val="00BB2071"/>
    <w:rsid w:val="00BB22FF"/>
    <w:rsid w:val="00BB2DD4"/>
    <w:rsid w:val="00BB3A3B"/>
    <w:rsid w:val="00BB5163"/>
    <w:rsid w:val="00BB577F"/>
    <w:rsid w:val="00BB583A"/>
    <w:rsid w:val="00BB5B63"/>
    <w:rsid w:val="00BB5EA0"/>
    <w:rsid w:val="00BB6429"/>
    <w:rsid w:val="00BB6D5A"/>
    <w:rsid w:val="00BB6D83"/>
    <w:rsid w:val="00BB75ED"/>
    <w:rsid w:val="00BB7628"/>
    <w:rsid w:val="00BB7DA0"/>
    <w:rsid w:val="00BB7F72"/>
    <w:rsid w:val="00BC0270"/>
    <w:rsid w:val="00BC0F51"/>
    <w:rsid w:val="00BC0F60"/>
    <w:rsid w:val="00BC1529"/>
    <w:rsid w:val="00BC18F4"/>
    <w:rsid w:val="00BC1A7B"/>
    <w:rsid w:val="00BC2659"/>
    <w:rsid w:val="00BC2A6B"/>
    <w:rsid w:val="00BC2BF3"/>
    <w:rsid w:val="00BC2F02"/>
    <w:rsid w:val="00BC2F24"/>
    <w:rsid w:val="00BC36A5"/>
    <w:rsid w:val="00BC3A85"/>
    <w:rsid w:val="00BC3E6F"/>
    <w:rsid w:val="00BC4172"/>
    <w:rsid w:val="00BC4220"/>
    <w:rsid w:val="00BC467C"/>
    <w:rsid w:val="00BC47F6"/>
    <w:rsid w:val="00BC48DC"/>
    <w:rsid w:val="00BC4A92"/>
    <w:rsid w:val="00BC4BAA"/>
    <w:rsid w:val="00BC4DD5"/>
    <w:rsid w:val="00BC5CC4"/>
    <w:rsid w:val="00BC60A9"/>
    <w:rsid w:val="00BC677C"/>
    <w:rsid w:val="00BC6C11"/>
    <w:rsid w:val="00BC7097"/>
    <w:rsid w:val="00BC7797"/>
    <w:rsid w:val="00BD14F6"/>
    <w:rsid w:val="00BD2092"/>
    <w:rsid w:val="00BD24A2"/>
    <w:rsid w:val="00BD299B"/>
    <w:rsid w:val="00BD29FB"/>
    <w:rsid w:val="00BD2B04"/>
    <w:rsid w:val="00BD2C0C"/>
    <w:rsid w:val="00BD36A8"/>
    <w:rsid w:val="00BD3B39"/>
    <w:rsid w:val="00BD406F"/>
    <w:rsid w:val="00BD49A5"/>
    <w:rsid w:val="00BD4E6F"/>
    <w:rsid w:val="00BD547B"/>
    <w:rsid w:val="00BD5744"/>
    <w:rsid w:val="00BD626E"/>
    <w:rsid w:val="00BD6344"/>
    <w:rsid w:val="00BD6708"/>
    <w:rsid w:val="00BD6A52"/>
    <w:rsid w:val="00BD6D19"/>
    <w:rsid w:val="00BD6E53"/>
    <w:rsid w:val="00BD70B4"/>
    <w:rsid w:val="00BD70EF"/>
    <w:rsid w:val="00BD7532"/>
    <w:rsid w:val="00BD7670"/>
    <w:rsid w:val="00BD76A8"/>
    <w:rsid w:val="00BD7A73"/>
    <w:rsid w:val="00BD7B38"/>
    <w:rsid w:val="00BD7CFB"/>
    <w:rsid w:val="00BD7D4B"/>
    <w:rsid w:val="00BE0148"/>
    <w:rsid w:val="00BE0407"/>
    <w:rsid w:val="00BE08D9"/>
    <w:rsid w:val="00BE0C70"/>
    <w:rsid w:val="00BE0C86"/>
    <w:rsid w:val="00BE0FDC"/>
    <w:rsid w:val="00BE1267"/>
    <w:rsid w:val="00BE12C9"/>
    <w:rsid w:val="00BE14FD"/>
    <w:rsid w:val="00BE1B29"/>
    <w:rsid w:val="00BE2338"/>
    <w:rsid w:val="00BE23B2"/>
    <w:rsid w:val="00BE2B9D"/>
    <w:rsid w:val="00BE2E4B"/>
    <w:rsid w:val="00BE3169"/>
    <w:rsid w:val="00BE36BC"/>
    <w:rsid w:val="00BE38F0"/>
    <w:rsid w:val="00BE44FC"/>
    <w:rsid w:val="00BE48EF"/>
    <w:rsid w:val="00BE4AC9"/>
    <w:rsid w:val="00BE4F95"/>
    <w:rsid w:val="00BE50BC"/>
    <w:rsid w:val="00BE50C8"/>
    <w:rsid w:val="00BE6659"/>
    <w:rsid w:val="00BE6C33"/>
    <w:rsid w:val="00BE71EF"/>
    <w:rsid w:val="00BE755A"/>
    <w:rsid w:val="00BE7B56"/>
    <w:rsid w:val="00BE7D4E"/>
    <w:rsid w:val="00BE7DFA"/>
    <w:rsid w:val="00BE7E06"/>
    <w:rsid w:val="00BE7FED"/>
    <w:rsid w:val="00BF019C"/>
    <w:rsid w:val="00BF0767"/>
    <w:rsid w:val="00BF0894"/>
    <w:rsid w:val="00BF0E66"/>
    <w:rsid w:val="00BF0FBE"/>
    <w:rsid w:val="00BF1179"/>
    <w:rsid w:val="00BF1C22"/>
    <w:rsid w:val="00BF1FED"/>
    <w:rsid w:val="00BF20D0"/>
    <w:rsid w:val="00BF21A5"/>
    <w:rsid w:val="00BF2CEB"/>
    <w:rsid w:val="00BF33B0"/>
    <w:rsid w:val="00BF4922"/>
    <w:rsid w:val="00BF582F"/>
    <w:rsid w:val="00BF5C72"/>
    <w:rsid w:val="00BF5F67"/>
    <w:rsid w:val="00BF663F"/>
    <w:rsid w:val="00BF6714"/>
    <w:rsid w:val="00BF7457"/>
    <w:rsid w:val="00BF7B0E"/>
    <w:rsid w:val="00C002B2"/>
    <w:rsid w:val="00C004AB"/>
    <w:rsid w:val="00C00734"/>
    <w:rsid w:val="00C00919"/>
    <w:rsid w:val="00C02251"/>
    <w:rsid w:val="00C026A5"/>
    <w:rsid w:val="00C02AEA"/>
    <w:rsid w:val="00C02B79"/>
    <w:rsid w:val="00C02C0E"/>
    <w:rsid w:val="00C03C8C"/>
    <w:rsid w:val="00C03D9D"/>
    <w:rsid w:val="00C04B3C"/>
    <w:rsid w:val="00C05248"/>
    <w:rsid w:val="00C053D0"/>
    <w:rsid w:val="00C06205"/>
    <w:rsid w:val="00C0630D"/>
    <w:rsid w:val="00C063BA"/>
    <w:rsid w:val="00C06795"/>
    <w:rsid w:val="00C06839"/>
    <w:rsid w:val="00C07643"/>
    <w:rsid w:val="00C07D06"/>
    <w:rsid w:val="00C07D90"/>
    <w:rsid w:val="00C10DFE"/>
    <w:rsid w:val="00C11464"/>
    <w:rsid w:val="00C11A1F"/>
    <w:rsid w:val="00C11F25"/>
    <w:rsid w:val="00C12013"/>
    <w:rsid w:val="00C12044"/>
    <w:rsid w:val="00C1210B"/>
    <w:rsid w:val="00C12D0A"/>
    <w:rsid w:val="00C132B0"/>
    <w:rsid w:val="00C13546"/>
    <w:rsid w:val="00C135C8"/>
    <w:rsid w:val="00C13ABF"/>
    <w:rsid w:val="00C13D34"/>
    <w:rsid w:val="00C14496"/>
    <w:rsid w:val="00C14D6A"/>
    <w:rsid w:val="00C14E80"/>
    <w:rsid w:val="00C1510B"/>
    <w:rsid w:val="00C15BB9"/>
    <w:rsid w:val="00C16418"/>
    <w:rsid w:val="00C164F7"/>
    <w:rsid w:val="00C1729C"/>
    <w:rsid w:val="00C172B6"/>
    <w:rsid w:val="00C177B9"/>
    <w:rsid w:val="00C17A68"/>
    <w:rsid w:val="00C17CA6"/>
    <w:rsid w:val="00C17EE5"/>
    <w:rsid w:val="00C20CB3"/>
    <w:rsid w:val="00C21017"/>
    <w:rsid w:val="00C212D1"/>
    <w:rsid w:val="00C2185D"/>
    <w:rsid w:val="00C21AEB"/>
    <w:rsid w:val="00C21CA0"/>
    <w:rsid w:val="00C220DA"/>
    <w:rsid w:val="00C221D0"/>
    <w:rsid w:val="00C2224D"/>
    <w:rsid w:val="00C22AB4"/>
    <w:rsid w:val="00C22C6F"/>
    <w:rsid w:val="00C22C7A"/>
    <w:rsid w:val="00C22F7A"/>
    <w:rsid w:val="00C2396A"/>
    <w:rsid w:val="00C239C8"/>
    <w:rsid w:val="00C23A36"/>
    <w:rsid w:val="00C240E6"/>
    <w:rsid w:val="00C244B9"/>
    <w:rsid w:val="00C2499A"/>
    <w:rsid w:val="00C24A72"/>
    <w:rsid w:val="00C25CB7"/>
    <w:rsid w:val="00C25FEE"/>
    <w:rsid w:val="00C25FF1"/>
    <w:rsid w:val="00C261FD"/>
    <w:rsid w:val="00C26C82"/>
    <w:rsid w:val="00C26CFF"/>
    <w:rsid w:val="00C270D2"/>
    <w:rsid w:val="00C2717F"/>
    <w:rsid w:val="00C2795C"/>
    <w:rsid w:val="00C27A86"/>
    <w:rsid w:val="00C27B72"/>
    <w:rsid w:val="00C30518"/>
    <w:rsid w:val="00C30C3D"/>
    <w:rsid w:val="00C31954"/>
    <w:rsid w:val="00C31F39"/>
    <w:rsid w:val="00C320BD"/>
    <w:rsid w:val="00C327F7"/>
    <w:rsid w:val="00C32AD0"/>
    <w:rsid w:val="00C32C75"/>
    <w:rsid w:val="00C32E60"/>
    <w:rsid w:val="00C33078"/>
    <w:rsid w:val="00C3383C"/>
    <w:rsid w:val="00C33C7D"/>
    <w:rsid w:val="00C34239"/>
    <w:rsid w:val="00C349E9"/>
    <w:rsid w:val="00C34A37"/>
    <w:rsid w:val="00C352B7"/>
    <w:rsid w:val="00C35779"/>
    <w:rsid w:val="00C35C3E"/>
    <w:rsid w:val="00C35F33"/>
    <w:rsid w:val="00C36518"/>
    <w:rsid w:val="00C367CF"/>
    <w:rsid w:val="00C36A1A"/>
    <w:rsid w:val="00C36E66"/>
    <w:rsid w:val="00C408CD"/>
    <w:rsid w:val="00C4182E"/>
    <w:rsid w:val="00C418B8"/>
    <w:rsid w:val="00C4192B"/>
    <w:rsid w:val="00C4222F"/>
    <w:rsid w:val="00C42579"/>
    <w:rsid w:val="00C42687"/>
    <w:rsid w:val="00C42E85"/>
    <w:rsid w:val="00C43799"/>
    <w:rsid w:val="00C43B4F"/>
    <w:rsid w:val="00C43E4C"/>
    <w:rsid w:val="00C441D6"/>
    <w:rsid w:val="00C44304"/>
    <w:rsid w:val="00C4486C"/>
    <w:rsid w:val="00C44A4C"/>
    <w:rsid w:val="00C44AE3"/>
    <w:rsid w:val="00C4527C"/>
    <w:rsid w:val="00C463FC"/>
    <w:rsid w:val="00C4697E"/>
    <w:rsid w:val="00C46DFC"/>
    <w:rsid w:val="00C46E3C"/>
    <w:rsid w:val="00C4727A"/>
    <w:rsid w:val="00C47705"/>
    <w:rsid w:val="00C47D08"/>
    <w:rsid w:val="00C47F9F"/>
    <w:rsid w:val="00C502D2"/>
    <w:rsid w:val="00C50631"/>
    <w:rsid w:val="00C508AA"/>
    <w:rsid w:val="00C508FF"/>
    <w:rsid w:val="00C509E1"/>
    <w:rsid w:val="00C50CDB"/>
    <w:rsid w:val="00C50E69"/>
    <w:rsid w:val="00C510DA"/>
    <w:rsid w:val="00C5116C"/>
    <w:rsid w:val="00C516D4"/>
    <w:rsid w:val="00C51C91"/>
    <w:rsid w:val="00C5266C"/>
    <w:rsid w:val="00C52E6D"/>
    <w:rsid w:val="00C530BA"/>
    <w:rsid w:val="00C53332"/>
    <w:rsid w:val="00C534C3"/>
    <w:rsid w:val="00C53527"/>
    <w:rsid w:val="00C53584"/>
    <w:rsid w:val="00C53661"/>
    <w:rsid w:val="00C53AC3"/>
    <w:rsid w:val="00C54912"/>
    <w:rsid w:val="00C54AE1"/>
    <w:rsid w:val="00C5500F"/>
    <w:rsid w:val="00C55BCB"/>
    <w:rsid w:val="00C56AA9"/>
    <w:rsid w:val="00C56C3F"/>
    <w:rsid w:val="00C56D2E"/>
    <w:rsid w:val="00C56E15"/>
    <w:rsid w:val="00C57327"/>
    <w:rsid w:val="00C57FD6"/>
    <w:rsid w:val="00C60FF1"/>
    <w:rsid w:val="00C6187D"/>
    <w:rsid w:val="00C61C84"/>
    <w:rsid w:val="00C62434"/>
    <w:rsid w:val="00C6260D"/>
    <w:rsid w:val="00C62611"/>
    <w:rsid w:val="00C62F2B"/>
    <w:rsid w:val="00C64825"/>
    <w:rsid w:val="00C6544D"/>
    <w:rsid w:val="00C65451"/>
    <w:rsid w:val="00C65525"/>
    <w:rsid w:val="00C65D2A"/>
    <w:rsid w:val="00C66098"/>
    <w:rsid w:val="00C662DD"/>
    <w:rsid w:val="00C66D45"/>
    <w:rsid w:val="00C66F82"/>
    <w:rsid w:val="00C6719F"/>
    <w:rsid w:val="00C67B77"/>
    <w:rsid w:val="00C67C1A"/>
    <w:rsid w:val="00C67FD1"/>
    <w:rsid w:val="00C7039B"/>
    <w:rsid w:val="00C703F4"/>
    <w:rsid w:val="00C713BE"/>
    <w:rsid w:val="00C71555"/>
    <w:rsid w:val="00C717A5"/>
    <w:rsid w:val="00C71857"/>
    <w:rsid w:val="00C71B8A"/>
    <w:rsid w:val="00C72D81"/>
    <w:rsid w:val="00C72E4B"/>
    <w:rsid w:val="00C736A7"/>
    <w:rsid w:val="00C73A17"/>
    <w:rsid w:val="00C73AA3"/>
    <w:rsid w:val="00C740A6"/>
    <w:rsid w:val="00C75B4D"/>
    <w:rsid w:val="00C75F35"/>
    <w:rsid w:val="00C77164"/>
    <w:rsid w:val="00C774A0"/>
    <w:rsid w:val="00C77C7F"/>
    <w:rsid w:val="00C80826"/>
    <w:rsid w:val="00C808CF"/>
    <w:rsid w:val="00C80AAB"/>
    <w:rsid w:val="00C80B4B"/>
    <w:rsid w:val="00C81ED0"/>
    <w:rsid w:val="00C826A0"/>
    <w:rsid w:val="00C831D9"/>
    <w:rsid w:val="00C83331"/>
    <w:rsid w:val="00C8380A"/>
    <w:rsid w:val="00C83A33"/>
    <w:rsid w:val="00C83F90"/>
    <w:rsid w:val="00C84073"/>
    <w:rsid w:val="00C84C9A"/>
    <w:rsid w:val="00C84DDD"/>
    <w:rsid w:val="00C85CF8"/>
    <w:rsid w:val="00C85EB6"/>
    <w:rsid w:val="00C86219"/>
    <w:rsid w:val="00C862ED"/>
    <w:rsid w:val="00C8640E"/>
    <w:rsid w:val="00C868CF"/>
    <w:rsid w:val="00C86BA0"/>
    <w:rsid w:val="00C86DC3"/>
    <w:rsid w:val="00C87532"/>
    <w:rsid w:val="00C903FB"/>
    <w:rsid w:val="00C9072A"/>
    <w:rsid w:val="00C910E7"/>
    <w:rsid w:val="00C91566"/>
    <w:rsid w:val="00C92578"/>
    <w:rsid w:val="00C927AF"/>
    <w:rsid w:val="00C92ABD"/>
    <w:rsid w:val="00C92D9E"/>
    <w:rsid w:val="00C92E0B"/>
    <w:rsid w:val="00C92E17"/>
    <w:rsid w:val="00C93914"/>
    <w:rsid w:val="00C949ED"/>
    <w:rsid w:val="00C962E3"/>
    <w:rsid w:val="00C964B6"/>
    <w:rsid w:val="00C966B2"/>
    <w:rsid w:val="00C96E83"/>
    <w:rsid w:val="00C96F2A"/>
    <w:rsid w:val="00C97AB7"/>
    <w:rsid w:val="00C97C52"/>
    <w:rsid w:val="00C97F3A"/>
    <w:rsid w:val="00CA03BB"/>
    <w:rsid w:val="00CA043A"/>
    <w:rsid w:val="00CA043C"/>
    <w:rsid w:val="00CA0929"/>
    <w:rsid w:val="00CA1514"/>
    <w:rsid w:val="00CA1A12"/>
    <w:rsid w:val="00CA21B0"/>
    <w:rsid w:val="00CA249D"/>
    <w:rsid w:val="00CA424A"/>
    <w:rsid w:val="00CA50DE"/>
    <w:rsid w:val="00CA5547"/>
    <w:rsid w:val="00CA57FA"/>
    <w:rsid w:val="00CA5A22"/>
    <w:rsid w:val="00CA5D30"/>
    <w:rsid w:val="00CA5D9F"/>
    <w:rsid w:val="00CA5F47"/>
    <w:rsid w:val="00CA6769"/>
    <w:rsid w:val="00CA73A5"/>
    <w:rsid w:val="00CA756A"/>
    <w:rsid w:val="00CA780F"/>
    <w:rsid w:val="00CB05FB"/>
    <w:rsid w:val="00CB06EF"/>
    <w:rsid w:val="00CB083B"/>
    <w:rsid w:val="00CB0B9A"/>
    <w:rsid w:val="00CB0D15"/>
    <w:rsid w:val="00CB0EFD"/>
    <w:rsid w:val="00CB1CF7"/>
    <w:rsid w:val="00CB1E40"/>
    <w:rsid w:val="00CB1E90"/>
    <w:rsid w:val="00CB2166"/>
    <w:rsid w:val="00CB28CB"/>
    <w:rsid w:val="00CB37DE"/>
    <w:rsid w:val="00CB3F46"/>
    <w:rsid w:val="00CB45FA"/>
    <w:rsid w:val="00CB5415"/>
    <w:rsid w:val="00CB546D"/>
    <w:rsid w:val="00CB6058"/>
    <w:rsid w:val="00CB66BF"/>
    <w:rsid w:val="00CB740F"/>
    <w:rsid w:val="00CB7785"/>
    <w:rsid w:val="00CB7F4B"/>
    <w:rsid w:val="00CC011C"/>
    <w:rsid w:val="00CC01FF"/>
    <w:rsid w:val="00CC05EC"/>
    <w:rsid w:val="00CC0A4B"/>
    <w:rsid w:val="00CC1079"/>
    <w:rsid w:val="00CC108C"/>
    <w:rsid w:val="00CC1170"/>
    <w:rsid w:val="00CC1BFB"/>
    <w:rsid w:val="00CC1E53"/>
    <w:rsid w:val="00CC22B4"/>
    <w:rsid w:val="00CC27DF"/>
    <w:rsid w:val="00CC324C"/>
    <w:rsid w:val="00CC4783"/>
    <w:rsid w:val="00CC5046"/>
    <w:rsid w:val="00CC535B"/>
    <w:rsid w:val="00CC5441"/>
    <w:rsid w:val="00CC58E2"/>
    <w:rsid w:val="00CC66AF"/>
    <w:rsid w:val="00CC690B"/>
    <w:rsid w:val="00CC6922"/>
    <w:rsid w:val="00CC6A73"/>
    <w:rsid w:val="00CC6F48"/>
    <w:rsid w:val="00CC7271"/>
    <w:rsid w:val="00CC769F"/>
    <w:rsid w:val="00CD05AD"/>
    <w:rsid w:val="00CD0A2B"/>
    <w:rsid w:val="00CD0DCC"/>
    <w:rsid w:val="00CD0E49"/>
    <w:rsid w:val="00CD0FF8"/>
    <w:rsid w:val="00CD15E2"/>
    <w:rsid w:val="00CD1788"/>
    <w:rsid w:val="00CD2013"/>
    <w:rsid w:val="00CD2350"/>
    <w:rsid w:val="00CD23A6"/>
    <w:rsid w:val="00CD249E"/>
    <w:rsid w:val="00CD290A"/>
    <w:rsid w:val="00CD2C05"/>
    <w:rsid w:val="00CD30FD"/>
    <w:rsid w:val="00CD342B"/>
    <w:rsid w:val="00CD3459"/>
    <w:rsid w:val="00CD37F7"/>
    <w:rsid w:val="00CD3ACD"/>
    <w:rsid w:val="00CD47F3"/>
    <w:rsid w:val="00CD5349"/>
    <w:rsid w:val="00CD5D9A"/>
    <w:rsid w:val="00CD5DD5"/>
    <w:rsid w:val="00CD697E"/>
    <w:rsid w:val="00CD6E49"/>
    <w:rsid w:val="00CD73C2"/>
    <w:rsid w:val="00CD7E60"/>
    <w:rsid w:val="00CE0D60"/>
    <w:rsid w:val="00CE133E"/>
    <w:rsid w:val="00CE182E"/>
    <w:rsid w:val="00CE1BB5"/>
    <w:rsid w:val="00CE1E98"/>
    <w:rsid w:val="00CE21DE"/>
    <w:rsid w:val="00CE25B6"/>
    <w:rsid w:val="00CE29AD"/>
    <w:rsid w:val="00CE3A98"/>
    <w:rsid w:val="00CE3CEC"/>
    <w:rsid w:val="00CE41B8"/>
    <w:rsid w:val="00CE4FDB"/>
    <w:rsid w:val="00CE5081"/>
    <w:rsid w:val="00CE513D"/>
    <w:rsid w:val="00CE55A1"/>
    <w:rsid w:val="00CE577D"/>
    <w:rsid w:val="00CE59AD"/>
    <w:rsid w:val="00CE5CCD"/>
    <w:rsid w:val="00CE63B8"/>
    <w:rsid w:val="00CE6EC3"/>
    <w:rsid w:val="00CE7004"/>
    <w:rsid w:val="00CE74E3"/>
    <w:rsid w:val="00CF017B"/>
    <w:rsid w:val="00CF0773"/>
    <w:rsid w:val="00CF07A2"/>
    <w:rsid w:val="00CF0C48"/>
    <w:rsid w:val="00CF0C97"/>
    <w:rsid w:val="00CF154A"/>
    <w:rsid w:val="00CF175A"/>
    <w:rsid w:val="00CF1A5D"/>
    <w:rsid w:val="00CF1E51"/>
    <w:rsid w:val="00CF1F77"/>
    <w:rsid w:val="00CF2D41"/>
    <w:rsid w:val="00CF3026"/>
    <w:rsid w:val="00CF3077"/>
    <w:rsid w:val="00CF3111"/>
    <w:rsid w:val="00CF33FD"/>
    <w:rsid w:val="00CF390F"/>
    <w:rsid w:val="00CF39B6"/>
    <w:rsid w:val="00CF3C26"/>
    <w:rsid w:val="00CF46F8"/>
    <w:rsid w:val="00CF5248"/>
    <w:rsid w:val="00CF53ED"/>
    <w:rsid w:val="00CF59F5"/>
    <w:rsid w:val="00CF5A4D"/>
    <w:rsid w:val="00CF5A89"/>
    <w:rsid w:val="00CF5ADF"/>
    <w:rsid w:val="00CF7AAE"/>
    <w:rsid w:val="00CF7AF2"/>
    <w:rsid w:val="00CF7CEF"/>
    <w:rsid w:val="00D00616"/>
    <w:rsid w:val="00D00F32"/>
    <w:rsid w:val="00D01FA0"/>
    <w:rsid w:val="00D02252"/>
    <w:rsid w:val="00D026FD"/>
    <w:rsid w:val="00D03448"/>
    <w:rsid w:val="00D03FF5"/>
    <w:rsid w:val="00D047E4"/>
    <w:rsid w:val="00D0556B"/>
    <w:rsid w:val="00D056AF"/>
    <w:rsid w:val="00D05CA1"/>
    <w:rsid w:val="00D05FDB"/>
    <w:rsid w:val="00D06177"/>
    <w:rsid w:val="00D0625C"/>
    <w:rsid w:val="00D06AE9"/>
    <w:rsid w:val="00D10003"/>
    <w:rsid w:val="00D100F6"/>
    <w:rsid w:val="00D10B12"/>
    <w:rsid w:val="00D1192B"/>
    <w:rsid w:val="00D123C3"/>
    <w:rsid w:val="00D12A26"/>
    <w:rsid w:val="00D12E6B"/>
    <w:rsid w:val="00D13795"/>
    <w:rsid w:val="00D13F1D"/>
    <w:rsid w:val="00D14161"/>
    <w:rsid w:val="00D1452D"/>
    <w:rsid w:val="00D14736"/>
    <w:rsid w:val="00D14849"/>
    <w:rsid w:val="00D14B24"/>
    <w:rsid w:val="00D154B8"/>
    <w:rsid w:val="00D15937"/>
    <w:rsid w:val="00D15E80"/>
    <w:rsid w:val="00D162C8"/>
    <w:rsid w:val="00D16419"/>
    <w:rsid w:val="00D16815"/>
    <w:rsid w:val="00D16B94"/>
    <w:rsid w:val="00D17290"/>
    <w:rsid w:val="00D17A56"/>
    <w:rsid w:val="00D17E4D"/>
    <w:rsid w:val="00D203AC"/>
    <w:rsid w:val="00D2094C"/>
    <w:rsid w:val="00D2105C"/>
    <w:rsid w:val="00D215DC"/>
    <w:rsid w:val="00D21767"/>
    <w:rsid w:val="00D217A4"/>
    <w:rsid w:val="00D21D1B"/>
    <w:rsid w:val="00D21EC5"/>
    <w:rsid w:val="00D22327"/>
    <w:rsid w:val="00D2328A"/>
    <w:rsid w:val="00D23448"/>
    <w:rsid w:val="00D24127"/>
    <w:rsid w:val="00D24163"/>
    <w:rsid w:val="00D2429A"/>
    <w:rsid w:val="00D252F9"/>
    <w:rsid w:val="00D25734"/>
    <w:rsid w:val="00D2605C"/>
    <w:rsid w:val="00D261F9"/>
    <w:rsid w:val="00D262F9"/>
    <w:rsid w:val="00D26AC0"/>
    <w:rsid w:val="00D27C46"/>
    <w:rsid w:val="00D3046B"/>
    <w:rsid w:val="00D30C05"/>
    <w:rsid w:val="00D30F95"/>
    <w:rsid w:val="00D3108C"/>
    <w:rsid w:val="00D3173E"/>
    <w:rsid w:val="00D31BD1"/>
    <w:rsid w:val="00D31D2C"/>
    <w:rsid w:val="00D3282B"/>
    <w:rsid w:val="00D32C1E"/>
    <w:rsid w:val="00D32CED"/>
    <w:rsid w:val="00D332E7"/>
    <w:rsid w:val="00D3340C"/>
    <w:rsid w:val="00D33796"/>
    <w:rsid w:val="00D337AF"/>
    <w:rsid w:val="00D33A59"/>
    <w:rsid w:val="00D33A74"/>
    <w:rsid w:val="00D33C69"/>
    <w:rsid w:val="00D33CA0"/>
    <w:rsid w:val="00D3425A"/>
    <w:rsid w:val="00D34613"/>
    <w:rsid w:val="00D349E9"/>
    <w:rsid w:val="00D34E8B"/>
    <w:rsid w:val="00D36020"/>
    <w:rsid w:val="00D363E5"/>
    <w:rsid w:val="00D3693A"/>
    <w:rsid w:val="00D371CC"/>
    <w:rsid w:val="00D373A7"/>
    <w:rsid w:val="00D37C82"/>
    <w:rsid w:val="00D37D36"/>
    <w:rsid w:val="00D40490"/>
    <w:rsid w:val="00D40861"/>
    <w:rsid w:val="00D40A8D"/>
    <w:rsid w:val="00D40AF1"/>
    <w:rsid w:val="00D41086"/>
    <w:rsid w:val="00D411CA"/>
    <w:rsid w:val="00D41294"/>
    <w:rsid w:val="00D4129D"/>
    <w:rsid w:val="00D414A9"/>
    <w:rsid w:val="00D41C2B"/>
    <w:rsid w:val="00D41D6B"/>
    <w:rsid w:val="00D4223E"/>
    <w:rsid w:val="00D42E22"/>
    <w:rsid w:val="00D4414C"/>
    <w:rsid w:val="00D44B4D"/>
    <w:rsid w:val="00D44C55"/>
    <w:rsid w:val="00D45604"/>
    <w:rsid w:val="00D45886"/>
    <w:rsid w:val="00D45A72"/>
    <w:rsid w:val="00D45D80"/>
    <w:rsid w:val="00D45D91"/>
    <w:rsid w:val="00D45FB9"/>
    <w:rsid w:val="00D469E9"/>
    <w:rsid w:val="00D46F2E"/>
    <w:rsid w:val="00D4717F"/>
    <w:rsid w:val="00D47478"/>
    <w:rsid w:val="00D5009B"/>
    <w:rsid w:val="00D500EB"/>
    <w:rsid w:val="00D51757"/>
    <w:rsid w:val="00D51A45"/>
    <w:rsid w:val="00D51FCD"/>
    <w:rsid w:val="00D523B4"/>
    <w:rsid w:val="00D5257D"/>
    <w:rsid w:val="00D52C00"/>
    <w:rsid w:val="00D52C32"/>
    <w:rsid w:val="00D53FF6"/>
    <w:rsid w:val="00D54176"/>
    <w:rsid w:val="00D54785"/>
    <w:rsid w:val="00D54DEA"/>
    <w:rsid w:val="00D55314"/>
    <w:rsid w:val="00D553F8"/>
    <w:rsid w:val="00D554C7"/>
    <w:rsid w:val="00D562B5"/>
    <w:rsid w:val="00D56A1D"/>
    <w:rsid w:val="00D56B01"/>
    <w:rsid w:val="00D56B3F"/>
    <w:rsid w:val="00D56BD6"/>
    <w:rsid w:val="00D574A8"/>
    <w:rsid w:val="00D579F9"/>
    <w:rsid w:val="00D6034C"/>
    <w:rsid w:val="00D604A0"/>
    <w:rsid w:val="00D607F2"/>
    <w:rsid w:val="00D608D9"/>
    <w:rsid w:val="00D61543"/>
    <w:rsid w:val="00D617FA"/>
    <w:rsid w:val="00D621E5"/>
    <w:rsid w:val="00D6233C"/>
    <w:rsid w:val="00D62A96"/>
    <w:rsid w:val="00D62EFB"/>
    <w:rsid w:val="00D63196"/>
    <w:rsid w:val="00D633BC"/>
    <w:rsid w:val="00D637E2"/>
    <w:rsid w:val="00D63A48"/>
    <w:rsid w:val="00D641AF"/>
    <w:rsid w:val="00D64652"/>
    <w:rsid w:val="00D64E98"/>
    <w:rsid w:val="00D654A2"/>
    <w:rsid w:val="00D65594"/>
    <w:rsid w:val="00D65FD8"/>
    <w:rsid w:val="00D662C6"/>
    <w:rsid w:val="00D66905"/>
    <w:rsid w:val="00D66CCE"/>
    <w:rsid w:val="00D66D34"/>
    <w:rsid w:val="00D678C3"/>
    <w:rsid w:val="00D67C91"/>
    <w:rsid w:val="00D67EBB"/>
    <w:rsid w:val="00D701ED"/>
    <w:rsid w:val="00D707B6"/>
    <w:rsid w:val="00D70A59"/>
    <w:rsid w:val="00D7163D"/>
    <w:rsid w:val="00D71FF8"/>
    <w:rsid w:val="00D7227D"/>
    <w:rsid w:val="00D72641"/>
    <w:rsid w:val="00D72670"/>
    <w:rsid w:val="00D72A3E"/>
    <w:rsid w:val="00D72FDA"/>
    <w:rsid w:val="00D735CD"/>
    <w:rsid w:val="00D73989"/>
    <w:rsid w:val="00D73C26"/>
    <w:rsid w:val="00D73FF3"/>
    <w:rsid w:val="00D74579"/>
    <w:rsid w:val="00D74F8D"/>
    <w:rsid w:val="00D75154"/>
    <w:rsid w:val="00D75DAF"/>
    <w:rsid w:val="00D76196"/>
    <w:rsid w:val="00D76279"/>
    <w:rsid w:val="00D76CBB"/>
    <w:rsid w:val="00D777CB"/>
    <w:rsid w:val="00D77FCF"/>
    <w:rsid w:val="00D80670"/>
    <w:rsid w:val="00D80866"/>
    <w:rsid w:val="00D80A14"/>
    <w:rsid w:val="00D80BF8"/>
    <w:rsid w:val="00D8135E"/>
    <w:rsid w:val="00D8190F"/>
    <w:rsid w:val="00D81C0F"/>
    <w:rsid w:val="00D82B16"/>
    <w:rsid w:val="00D83386"/>
    <w:rsid w:val="00D83526"/>
    <w:rsid w:val="00D838FE"/>
    <w:rsid w:val="00D83B93"/>
    <w:rsid w:val="00D848A4"/>
    <w:rsid w:val="00D85042"/>
    <w:rsid w:val="00D85610"/>
    <w:rsid w:val="00D85C1F"/>
    <w:rsid w:val="00D85E4D"/>
    <w:rsid w:val="00D86121"/>
    <w:rsid w:val="00D866D6"/>
    <w:rsid w:val="00D86715"/>
    <w:rsid w:val="00D86FA0"/>
    <w:rsid w:val="00D87148"/>
    <w:rsid w:val="00D87705"/>
    <w:rsid w:val="00D87728"/>
    <w:rsid w:val="00D87B15"/>
    <w:rsid w:val="00D87B23"/>
    <w:rsid w:val="00D87E27"/>
    <w:rsid w:val="00D90050"/>
    <w:rsid w:val="00D907A8"/>
    <w:rsid w:val="00D90F93"/>
    <w:rsid w:val="00D91ADF"/>
    <w:rsid w:val="00D92815"/>
    <w:rsid w:val="00D928EC"/>
    <w:rsid w:val="00D93049"/>
    <w:rsid w:val="00D9359B"/>
    <w:rsid w:val="00D93F0F"/>
    <w:rsid w:val="00D94021"/>
    <w:rsid w:val="00D94E76"/>
    <w:rsid w:val="00D95433"/>
    <w:rsid w:val="00D972EF"/>
    <w:rsid w:val="00D977E1"/>
    <w:rsid w:val="00D978C6"/>
    <w:rsid w:val="00D97BA9"/>
    <w:rsid w:val="00D97F7B"/>
    <w:rsid w:val="00D97FE9"/>
    <w:rsid w:val="00DA007E"/>
    <w:rsid w:val="00DA02C1"/>
    <w:rsid w:val="00DA0905"/>
    <w:rsid w:val="00DA1528"/>
    <w:rsid w:val="00DA1621"/>
    <w:rsid w:val="00DA1C35"/>
    <w:rsid w:val="00DA2749"/>
    <w:rsid w:val="00DA278E"/>
    <w:rsid w:val="00DA2B69"/>
    <w:rsid w:val="00DA2C68"/>
    <w:rsid w:val="00DA2DFE"/>
    <w:rsid w:val="00DA337F"/>
    <w:rsid w:val="00DA3796"/>
    <w:rsid w:val="00DA43BF"/>
    <w:rsid w:val="00DA44EB"/>
    <w:rsid w:val="00DA4E98"/>
    <w:rsid w:val="00DA5722"/>
    <w:rsid w:val="00DA5A4B"/>
    <w:rsid w:val="00DA5FCD"/>
    <w:rsid w:val="00DA6C80"/>
    <w:rsid w:val="00DA700C"/>
    <w:rsid w:val="00DA7244"/>
    <w:rsid w:val="00DA772B"/>
    <w:rsid w:val="00DA7C6D"/>
    <w:rsid w:val="00DA7C8A"/>
    <w:rsid w:val="00DB0034"/>
    <w:rsid w:val="00DB032A"/>
    <w:rsid w:val="00DB0472"/>
    <w:rsid w:val="00DB04A9"/>
    <w:rsid w:val="00DB0847"/>
    <w:rsid w:val="00DB0869"/>
    <w:rsid w:val="00DB0C45"/>
    <w:rsid w:val="00DB116C"/>
    <w:rsid w:val="00DB1250"/>
    <w:rsid w:val="00DB13EE"/>
    <w:rsid w:val="00DB1920"/>
    <w:rsid w:val="00DB1CC4"/>
    <w:rsid w:val="00DB1F39"/>
    <w:rsid w:val="00DB28D9"/>
    <w:rsid w:val="00DB29CA"/>
    <w:rsid w:val="00DB2D27"/>
    <w:rsid w:val="00DB2FCF"/>
    <w:rsid w:val="00DB3109"/>
    <w:rsid w:val="00DB3F3F"/>
    <w:rsid w:val="00DB3F72"/>
    <w:rsid w:val="00DB41E0"/>
    <w:rsid w:val="00DB47A6"/>
    <w:rsid w:val="00DB4F36"/>
    <w:rsid w:val="00DB4FB8"/>
    <w:rsid w:val="00DB589B"/>
    <w:rsid w:val="00DB5DBD"/>
    <w:rsid w:val="00DB6138"/>
    <w:rsid w:val="00DB6834"/>
    <w:rsid w:val="00DB6EA1"/>
    <w:rsid w:val="00DB6F3E"/>
    <w:rsid w:val="00DB7BD4"/>
    <w:rsid w:val="00DB7CC3"/>
    <w:rsid w:val="00DC0080"/>
    <w:rsid w:val="00DC03DD"/>
    <w:rsid w:val="00DC0602"/>
    <w:rsid w:val="00DC0C66"/>
    <w:rsid w:val="00DC0C6D"/>
    <w:rsid w:val="00DC0D09"/>
    <w:rsid w:val="00DC0D62"/>
    <w:rsid w:val="00DC10D3"/>
    <w:rsid w:val="00DC228D"/>
    <w:rsid w:val="00DC25A8"/>
    <w:rsid w:val="00DC312F"/>
    <w:rsid w:val="00DC335F"/>
    <w:rsid w:val="00DC36E3"/>
    <w:rsid w:val="00DC3901"/>
    <w:rsid w:val="00DC3AF2"/>
    <w:rsid w:val="00DC46E4"/>
    <w:rsid w:val="00DC481D"/>
    <w:rsid w:val="00DC4A41"/>
    <w:rsid w:val="00DC4A47"/>
    <w:rsid w:val="00DC4AAC"/>
    <w:rsid w:val="00DC5122"/>
    <w:rsid w:val="00DC52E4"/>
    <w:rsid w:val="00DC5BFE"/>
    <w:rsid w:val="00DC64F0"/>
    <w:rsid w:val="00DC655F"/>
    <w:rsid w:val="00DC6847"/>
    <w:rsid w:val="00DC70D2"/>
    <w:rsid w:val="00DC770C"/>
    <w:rsid w:val="00DC77D6"/>
    <w:rsid w:val="00DD0084"/>
    <w:rsid w:val="00DD05C6"/>
    <w:rsid w:val="00DD071E"/>
    <w:rsid w:val="00DD0BA6"/>
    <w:rsid w:val="00DD0E22"/>
    <w:rsid w:val="00DD12AA"/>
    <w:rsid w:val="00DD13E7"/>
    <w:rsid w:val="00DD1450"/>
    <w:rsid w:val="00DD17AD"/>
    <w:rsid w:val="00DD1805"/>
    <w:rsid w:val="00DD1C88"/>
    <w:rsid w:val="00DD2029"/>
    <w:rsid w:val="00DD252C"/>
    <w:rsid w:val="00DD3126"/>
    <w:rsid w:val="00DD35FA"/>
    <w:rsid w:val="00DD3616"/>
    <w:rsid w:val="00DD3794"/>
    <w:rsid w:val="00DD3BF6"/>
    <w:rsid w:val="00DD491C"/>
    <w:rsid w:val="00DD5226"/>
    <w:rsid w:val="00DD53C8"/>
    <w:rsid w:val="00DD55E4"/>
    <w:rsid w:val="00DD5967"/>
    <w:rsid w:val="00DD5F6A"/>
    <w:rsid w:val="00DD6062"/>
    <w:rsid w:val="00DD6593"/>
    <w:rsid w:val="00DD6633"/>
    <w:rsid w:val="00DD74AD"/>
    <w:rsid w:val="00DD78AD"/>
    <w:rsid w:val="00DD7A34"/>
    <w:rsid w:val="00DE019A"/>
    <w:rsid w:val="00DE0CF6"/>
    <w:rsid w:val="00DE0D4E"/>
    <w:rsid w:val="00DE1225"/>
    <w:rsid w:val="00DE1684"/>
    <w:rsid w:val="00DE24B6"/>
    <w:rsid w:val="00DE255F"/>
    <w:rsid w:val="00DE2636"/>
    <w:rsid w:val="00DE3257"/>
    <w:rsid w:val="00DE37B7"/>
    <w:rsid w:val="00DE3832"/>
    <w:rsid w:val="00DE3E85"/>
    <w:rsid w:val="00DE3F53"/>
    <w:rsid w:val="00DE3FA0"/>
    <w:rsid w:val="00DE4116"/>
    <w:rsid w:val="00DE4465"/>
    <w:rsid w:val="00DE46CB"/>
    <w:rsid w:val="00DE4946"/>
    <w:rsid w:val="00DE499E"/>
    <w:rsid w:val="00DE5335"/>
    <w:rsid w:val="00DE57C8"/>
    <w:rsid w:val="00DE590A"/>
    <w:rsid w:val="00DE5D00"/>
    <w:rsid w:val="00DE5D40"/>
    <w:rsid w:val="00DE5F63"/>
    <w:rsid w:val="00DE5FA3"/>
    <w:rsid w:val="00DE60A8"/>
    <w:rsid w:val="00DE6558"/>
    <w:rsid w:val="00DE692B"/>
    <w:rsid w:val="00DE69A2"/>
    <w:rsid w:val="00DE7492"/>
    <w:rsid w:val="00DE74E3"/>
    <w:rsid w:val="00DE757A"/>
    <w:rsid w:val="00DE78DD"/>
    <w:rsid w:val="00DE7A30"/>
    <w:rsid w:val="00DE7AC6"/>
    <w:rsid w:val="00DF078A"/>
    <w:rsid w:val="00DF07F9"/>
    <w:rsid w:val="00DF0840"/>
    <w:rsid w:val="00DF0FCA"/>
    <w:rsid w:val="00DF115C"/>
    <w:rsid w:val="00DF11A9"/>
    <w:rsid w:val="00DF14A8"/>
    <w:rsid w:val="00DF2060"/>
    <w:rsid w:val="00DF2062"/>
    <w:rsid w:val="00DF209A"/>
    <w:rsid w:val="00DF24D5"/>
    <w:rsid w:val="00DF2E0E"/>
    <w:rsid w:val="00DF30E1"/>
    <w:rsid w:val="00DF3657"/>
    <w:rsid w:val="00DF44D1"/>
    <w:rsid w:val="00DF4FF6"/>
    <w:rsid w:val="00DF5376"/>
    <w:rsid w:val="00DF5516"/>
    <w:rsid w:val="00DF6313"/>
    <w:rsid w:val="00DF6398"/>
    <w:rsid w:val="00DF696B"/>
    <w:rsid w:val="00DF6ABD"/>
    <w:rsid w:val="00DF6B58"/>
    <w:rsid w:val="00DF6F20"/>
    <w:rsid w:val="00DF7005"/>
    <w:rsid w:val="00DF748B"/>
    <w:rsid w:val="00DF7889"/>
    <w:rsid w:val="00DF7CB6"/>
    <w:rsid w:val="00DF7D21"/>
    <w:rsid w:val="00E0079E"/>
    <w:rsid w:val="00E0083C"/>
    <w:rsid w:val="00E00ACF"/>
    <w:rsid w:val="00E0113A"/>
    <w:rsid w:val="00E01726"/>
    <w:rsid w:val="00E017A0"/>
    <w:rsid w:val="00E01816"/>
    <w:rsid w:val="00E01D5A"/>
    <w:rsid w:val="00E024EC"/>
    <w:rsid w:val="00E0278F"/>
    <w:rsid w:val="00E02DAA"/>
    <w:rsid w:val="00E02FBB"/>
    <w:rsid w:val="00E0306F"/>
    <w:rsid w:val="00E033CD"/>
    <w:rsid w:val="00E034F0"/>
    <w:rsid w:val="00E038E8"/>
    <w:rsid w:val="00E046CA"/>
    <w:rsid w:val="00E050B2"/>
    <w:rsid w:val="00E05305"/>
    <w:rsid w:val="00E057FB"/>
    <w:rsid w:val="00E06482"/>
    <w:rsid w:val="00E06772"/>
    <w:rsid w:val="00E06F2D"/>
    <w:rsid w:val="00E06FFB"/>
    <w:rsid w:val="00E0739B"/>
    <w:rsid w:val="00E07A39"/>
    <w:rsid w:val="00E1050F"/>
    <w:rsid w:val="00E10858"/>
    <w:rsid w:val="00E111ED"/>
    <w:rsid w:val="00E114B7"/>
    <w:rsid w:val="00E12B18"/>
    <w:rsid w:val="00E137B5"/>
    <w:rsid w:val="00E137F1"/>
    <w:rsid w:val="00E14A14"/>
    <w:rsid w:val="00E14DE0"/>
    <w:rsid w:val="00E14FFF"/>
    <w:rsid w:val="00E15287"/>
    <w:rsid w:val="00E15914"/>
    <w:rsid w:val="00E15AA9"/>
    <w:rsid w:val="00E15E63"/>
    <w:rsid w:val="00E161CD"/>
    <w:rsid w:val="00E16371"/>
    <w:rsid w:val="00E16CD4"/>
    <w:rsid w:val="00E170B1"/>
    <w:rsid w:val="00E179FE"/>
    <w:rsid w:val="00E17FC8"/>
    <w:rsid w:val="00E205A5"/>
    <w:rsid w:val="00E206FD"/>
    <w:rsid w:val="00E20BCD"/>
    <w:rsid w:val="00E20FE0"/>
    <w:rsid w:val="00E2134C"/>
    <w:rsid w:val="00E214DA"/>
    <w:rsid w:val="00E21E01"/>
    <w:rsid w:val="00E221CA"/>
    <w:rsid w:val="00E223A9"/>
    <w:rsid w:val="00E22E23"/>
    <w:rsid w:val="00E23101"/>
    <w:rsid w:val="00E234FD"/>
    <w:rsid w:val="00E23871"/>
    <w:rsid w:val="00E23B8F"/>
    <w:rsid w:val="00E23CD0"/>
    <w:rsid w:val="00E23D23"/>
    <w:rsid w:val="00E2472D"/>
    <w:rsid w:val="00E2482E"/>
    <w:rsid w:val="00E24D72"/>
    <w:rsid w:val="00E24D75"/>
    <w:rsid w:val="00E24F75"/>
    <w:rsid w:val="00E250FB"/>
    <w:rsid w:val="00E25A6F"/>
    <w:rsid w:val="00E25C9B"/>
    <w:rsid w:val="00E26094"/>
    <w:rsid w:val="00E2658F"/>
    <w:rsid w:val="00E26C92"/>
    <w:rsid w:val="00E26F18"/>
    <w:rsid w:val="00E27362"/>
    <w:rsid w:val="00E27A75"/>
    <w:rsid w:val="00E27BD7"/>
    <w:rsid w:val="00E30287"/>
    <w:rsid w:val="00E30A0B"/>
    <w:rsid w:val="00E30B7D"/>
    <w:rsid w:val="00E310CA"/>
    <w:rsid w:val="00E32B9A"/>
    <w:rsid w:val="00E33357"/>
    <w:rsid w:val="00E33772"/>
    <w:rsid w:val="00E33BE8"/>
    <w:rsid w:val="00E33E28"/>
    <w:rsid w:val="00E33FD3"/>
    <w:rsid w:val="00E34156"/>
    <w:rsid w:val="00E34AD7"/>
    <w:rsid w:val="00E34CC9"/>
    <w:rsid w:val="00E353B5"/>
    <w:rsid w:val="00E357BA"/>
    <w:rsid w:val="00E35BD0"/>
    <w:rsid w:val="00E361BA"/>
    <w:rsid w:val="00E362F5"/>
    <w:rsid w:val="00E364AA"/>
    <w:rsid w:val="00E36D28"/>
    <w:rsid w:val="00E3747F"/>
    <w:rsid w:val="00E37576"/>
    <w:rsid w:val="00E37E48"/>
    <w:rsid w:val="00E37FC2"/>
    <w:rsid w:val="00E40B81"/>
    <w:rsid w:val="00E41088"/>
    <w:rsid w:val="00E4116F"/>
    <w:rsid w:val="00E41350"/>
    <w:rsid w:val="00E413E0"/>
    <w:rsid w:val="00E414C1"/>
    <w:rsid w:val="00E419E9"/>
    <w:rsid w:val="00E425D6"/>
    <w:rsid w:val="00E42B2D"/>
    <w:rsid w:val="00E43374"/>
    <w:rsid w:val="00E436ED"/>
    <w:rsid w:val="00E4404A"/>
    <w:rsid w:val="00E445CA"/>
    <w:rsid w:val="00E44606"/>
    <w:rsid w:val="00E44875"/>
    <w:rsid w:val="00E44FBB"/>
    <w:rsid w:val="00E45092"/>
    <w:rsid w:val="00E45521"/>
    <w:rsid w:val="00E45876"/>
    <w:rsid w:val="00E45CFD"/>
    <w:rsid w:val="00E46344"/>
    <w:rsid w:val="00E463A3"/>
    <w:rsid w:val="00E466E0"/>
    <w:rsid w:val="00E46765"/>
    <w:rsid w:val="00E46985"/>
    <w:rsid w:val="00E46B4E"/>
    <w:rsid w:val="00E46CE4"/>
    <w:rsid w:val="00E47791"/>
    <w:rsid w:val="00E50039"/>
    <w:rsid w:val="00E502CE"/>
    <w:rsid w:val="00E508AC"/>
    <w:rsid w:val="00E51077"/>
    <w:rsid w:val="00E51298"/>
    <w:rsid w:val="00E51327"/>
    <w:rsid w:val="00E5187A"/>
    <w:rsid w:val="00E530E8"/>
    <w:rsid w:val="00E539AF"/>
    <w:rsid w:val="00E53B52"/>
    <w:rsid w:val="00E53C43"/>
    <w:rsid w:val="00E53F51"/>
    <w:rsid w:val="00E5408A"/>
    <w:rsid w:val="00E54656"/>
    <w:rsid w:val="00E546B4"/>
    <w:rsid w:val="00E54769"/>
    <w:rsid w:val="00E54F38"/>
    <w:rsid w:val="00E55041"/>
    <w:rsid w:val="00E55A8F"/>
    <w:rsid w:val="00E55BC6"/>
    <w:rsid w:val="00E560A9"/>
    <w:rsid w:val="00E56269"/>
    <w:rsid w:val="00E56600"/>
    <w:rsid w:val="00E56A4C"/>
    <w:rsid w:val="00E56F42"/>
    <w:rsid w:val="00E5711E"/>
    <w:rsid w:val="00E57A60"/>
    <w:rsid w:val="00E57E89"/>
    <w:rsid w:val="00E60236"/>
    <w:rsid w:val="00E6044B"/>
    <w:rsid w:val="00E609AB"/>
    <w:rsid w:val="00E60ABE"/>
    <w:rsid w:val="00E60D66"/>
    <w:rsid w:val="00E611A9"/>
    <w:rsid w:val="00E6147B"/>
    <w:rsid w:val="00E616BE"/>
    <w:rsid w:val="00E61CBA"/>
    <w:rsid w:val="00E624DB"/>
    <w:rsid w:val="00E626A9"/>
    <w:rsid w:val="00E626E7"/>
    <w:rsid w:val="00E62B61"/>
    <w:rsid w:val="00E62F2E"/>
    <w:rsid w:val="00E63904"/>
    <w:rsid w:val="00E64B05"/>
    <w:rsid w:val="00E64FA5"/>
    <w:rsid w:val="00E6501C"/>
    <w:rsid w:val="00E6555B"/>
    <w:rsid w:val="00E65684"/>
    <w:rsid w:val="00E658B7"/>
    <w:rsid w:val="00E65DC9"/>
    <w:rsid w:val="00E661CE"/>
    <w:rsid w:val="00E665CC"/>
    <w:rsid w:val="00E671B3"/>
    <w:rsid w:val="00E677E3"/>
    <w:rsid w:val="00E6789E"/>
    <w:rsid w:val="00E704B6"/>
    <w:rsid w:val="00E70735"/>
    <w:rsid w:val="00E70812"/>
    <w:rsid w:val="00E70BB4"/>
    <w:rsid w:val="00E70ED3"/>
    <w:rsid w:val="00E710F8"/>
    <w:rsid w:val="00E71375"/>
    <w:rsid w:val="00E71989"/>
    <w:rsid w:val="00E71B33"/>
    <w:rsid w:val="00E72089"/>
    <w:rsid w:val="00E7216C"/>
    <w:rsid w:val="00E723FA"/>
    <w:rsid w:val="00E731A0"/>
    <w:rsid w:val="00E731EC"/>
    <w:rsid w:val="00E737F8"/>
    <w:rsid w:val="00E73923"/>
    <w:rsid w:val="00E739C3"/>
    <w:rsid w:val="00E73C13"/>
    <w:rsid w:val="00E7418E"/>
    <w:rsid w:val="00E742CD"/>
    <w:rsid w:val="00E7460E"/>
    <w:rsid w:val="00E74671"/>
    <w:rsid w:val="00E74A28"/>
    <w:rsid w:val="00E74A84"/>
    <w:rsid w:val="00E75312"/>
    <w:rsid w:val="00E75484"/>
    <w:rsid w:val="00E75DD0"/>
    <w:rsid w:val="00E7781F"/>
    <w:rsid w:val="00E77A18"/>
    <w:rsid w:val="00E77B79"/>
    <w:rsid w:val="00E77DA0"/>
    <w:rsid w:val="00E80370"/>
    <w:rsid w:val="00E80560"/>
    <w:rsid w:val="00E80BD4"/>
    <w:rsid w:val="00E80C61"/>
    <w:rsid w:val="00E8119D"/>
    <w:rsid w:val="00E81494"/>
    <w:rsid w:val="00E815E7"/>
    <w:rsid w:val="00E81B6E"/>
    <w:rsid w:val="00E81D26"/>
    <w:rsid w:val="00E81E91"/>
    <w:rsid w:val="00E82036"/>
    <w:rsid w:val="00E82201"/>
    <w:rsid w:val="00E822BD"/>
    <w:rsid w:val="00E822CD"/>
    <w:rsid w:val="00E82E08"/>
    <w:rsid w:val="00E83283"/>
    <w:rsid w:val="00E83448"/>
    <w:rsid w:val="00E84160"/>
    <w:rsid w:val="00E8458A"/>
    <w:rsid w:val="00E847D5"/>
    <w:rsid w:val="00E84A3E"/>
    <w:rsid w:val="00E84A45"/>
    <w:rsid w:val="00E8594A"/>
    <w:rsid w:val="00E859C2"/>
    <w:rsid w:val="00E85D1A"/>
    <w:rsid w:val="00E85E15"/>
    <w:rsid w:val="00E85FF4"/>
    <w:rsid w:val="00E86211"/>
    <w:rsid w:val="00E86511"/>
    <w:rsid w:val="00E86721"/>
    <w:rsid w:val="00E86894"/>
    <w:rsid w:val="00E86CE2"/>
    <w:rsid w:val="00E86E56"/>
    <w:rsid w:val="00E8705E"/>
    <w:rsid w:val="00E87A52"/>
    <w:rsid w:val="00E901ED"/>
    <w:rsid w:val="00E90713"/>
    <w:rsid w:val="00E90C18"/>
    <w:rsid w:val="00E90D84"/>
    <w:rsid w:val="00E90F80"/>
    <w:rsid w:val="00E9165C"/>
    <w:rsid w:val="00E91A56"/>
    <w:rsid w:val="00E92651"/>
    <w:rsid w:val="00E9266E"/>
    <w:rsid w:val="00E92836"/>
    <w:rsid w:val="00E934FE"/>
    <w:rsid w:val="00E9403C"/>
    <w:rsid w:val="00E9419C"/>
    <w:rsid w:val="00E94214"/>
    <w:rsid w:val="00E94956"/>
    <w:rsid w:val="00E94A4C"/>
    <w:rsid w:val="00E94B07"/>
    <w:rsid w:val="00E94CDC"/>
    <w:rsid w:val="00E94FF5"/>
    <w:rsid w:val="00E95310"/>
    <w:rsid w:val="00E95984"/>
    <w:rsid w:val="00E95B05"/>
    <w:rsid w:val="00E96331"/>
    <w:rsid w:val="00E963E6"/>
    <w:rsid w:val="00E96D50"/>
    <w:rsid w:val="00E96E35"/>
    <w:rsid w:val="00E9728F"/>
    <w:rsid w:val="00E97836"/>
    <w:rsid w:val="00E97B8B"/>
    <w:rsid w:val="00EA0881"/>
    <w:rsid w:val="00EA0A7D"/>
    <w:rsid w:val="00EA0CD2"/>
    <w:rsid w:val="00EA0CF3"/>
    <w:rsid w:val="00EA126D"/>
    <w:rsid w:val="00EA206C"/>
    <w:rsid w:val="00EA21D9"/>
    <w:rsid w:val="00EA2495"/>
    <w:rsid w:val="00EA2886"/>
    <w:rsid w:val="00EA2FDC"/>
    <w:rsid w:val="00EA381A"/>
    <w:rsid w:val="00EA402B"/>
    <w:rsid w:val="00EA4591"/>
    <w:rsid w:val="00EA47EB"/>
    <w:rsid w:val="00EA50C9"/>
    <w:rsid w:val="00EA6436"/>
    <w:rsid w:val="00EA74B0"/>
    <w:rsid w:val="00EA763A"/>
    <w:rsid w:val="00EA7648"/>
    <w:rsid w:val="00EA7E6D"/>
    <w:rsid w:val="00EB1394"/>
    <w:rsid w:val="00EB1870"/>
    <w:rsid w:val="00EB1979"/>
    <w:rsid w:val="00EB2022"/>
    <w:rsid w:val="00EB22B6"/>
    <w:rsid w:val="00EB2AFC"/>
    <w:rsid w:val="00EB2C2A"/>
    <w:rsid w:val="00EB2CA9"/>
    <w:rsid w:val="00EB2D31"/>
    <w:rsid w:val="00EB36AB"/>
    <w:rsid w:val="00EB37D3"/>
    <w:rsid w:val="00EB3B34"/>
    <w:rsid w:val="00EB46D0"/>
    <w:rsid w:val="00EB4E08"/>
    <w:rsid w:val="00EB4E7D"/>
    <w:rsid w:val="00EB55DE"/>
    <w:rsid w:val="00EB63EB"/>
    <w:rsid w:val="00EB6449"/>
    <w:rsid w:val="00EB6988"/>
    <w:rsid w:val="00EB7AD6"/>
    <w:rsid w:val="00EC0446"/>
    <w:rsid w:val="00EC0508"/>
    <w:rsid w:val="00EC0703"/>
    <w:rsid w:val="00EC09DF"/>
    <w:rsid w:val="00EC0DE9"/>
    <w:rsid w:val="00EC11D3"/>
    <w:rsid w:val="00EC14CC"/>
    <w:rsid w:val="00EC1591"/>
    <w:rsid w:val="00EC23E1"/>
    <w:rsid w:val="00EC2C31"/>
    <w:rsid w:val="00EC3149"/>
    <w:rsid w:val="00EC3AF1"/>
    <w:rsid w:val="00EC43B3"/>
    <w:rsid w:val="00EC44F3"/>
    <w:rsid w:val="00EC4DEB"/>
    <w:rsid w:val="00EC52FC"/>
    <w:rsid w:val="00EC59F0"/>
    <w:rsid w:val="00EC59F1"/>
    <w:rsid w:val="00EC61D1"/>
    <w:rsid w:val="00EC6336"/>
    <w:rsid w:val="00EC64E8"/>
    <w:rsid w:val="00EC665A"/>
    <w:rsid w:val="00EC66A4"/>
    <w:rsid w:val="00EC6A44"/>
    <w:rsid w:val="00EC6DE4"/>
    <w:rsid w:val="00EC7117"/>
    <w:rsid w:val="00EC73EF"/>
    <w:rsid w:val="00EC7548"/>
    <w:rsid w:val="00EC7CC0"/>
    <w:rsid w:val="00EC7F74"/>
    <w:rsid w:val="00ED0E66"/>
    <w:rsid w:val="00ED16DC"/>
    <w:rsid w:val="00ED208B"/>
    <w:rsid w:val="00ED28AA"/>
    <w:rsid w:val="00ED2B16"/>
    <w:rsid w:val="00ED2BA5"/>
    <w:rsid w:val="00ED2E2B"/>
    <w:rsid w:val="00ED32D1"/>
    <w:rsid w:val="00ED3736"/>
    <w:rsid w:val="00ED47B6"/>
    <w:rsid w:val="00ED48B8"/>
    <w:rsid w:val="00ED4D3D"/>
    <w:rsid w:val="00ED4F64"/>
    <w:rsid w:val="00ED5338"/>
    <w:rsid w:val="00ED5BF7"/>
    <w:rsid w:val="00ED5C03"/>
    <w:rsid w:val="00ED5DA2"/>
    <w:rsid w:val="00ED6D10"/>
    <w:rsid w:val="00ED7A1C"/>
    <w:rsid w:val="00ED7D08"/>
    <w:rsid w:val="00ED7F77"/>
    <w:rsid w:val="00EE008F"/>
    <w:rsid w:val="00EE02D2"/>
    <w:rsid w:val="00EE08B7"/>
    <w:rsid w:val="00EE1D3B"/>
    <w:rsid w:val="00EE2700"/>
    <w:rsid w:val="00EE2809"/>
    <w:rsid w:val="00EE30D8"/>
    <w:rsid w:val="00EE3117"/>
    <w:rsid w:val="00EE31A2"/>
    <w:rsid w:val="00EE31F9"/>
    <w:rsid w:val="00EE3324"/>
    <w:rsid w:val="00EE39EC"/>
    <w:rsid w:val="00EE41B5"/>
    <w:rsid w:val="00EE4EA2"/>
    <w:rsid w:val="00EE51E3"/>
    <w:rsid w:val="00EE567D"/>
    <w:rsid w:val="00EE59C3"/>
    <w:rsid w:val="00EE5EA8"/>
    <w:rsid w:val="00EE61EB"/>
    <w:rsid w:val="00EE6CBC"/>
    <w:rsid w:val="00EE77CA"/>
    <w:rsid w:val="00EE7AC6"/>
    <w:rsid w:val="00EE7D89"/>
    <w:rsid w:val="00EE7E31"/>
    <w:rsid w:val="00EF05E7"/>
    <w:rsid w:val="00EF0766"/>
    <w:rsid w:val="00EF0972"/>
    <w:rsid w:val="00EF0FC2"/>
    <w:rsid w:val="00EF156D"/>
    <w:rsid w:val="00EF160D"/>
    <w:rsid w:val="00EF1703"/>
    <w:rsid w:val="00EF17A9"/>
    <w:rsid w:val="00EF17B1"/>
    <w:rsid w:val="00EF1B79"/>
    <w:rsid w:val="00EF1D6C"/>
    <w:rsid w:val="00EF22A6"/>
    <w:rsid w:val="00EF234C"/>
    <w:rsid w:val="00EF2490"/>
    <w:rsid w:val="00EF2CA3"/>
    <w:rsid w:val="00EF3457"/>
    <w:rsid w:val="00EF35AD"/>
    <w:rsid w:val="00EF3A49"/>
    <w:rsid w:val="00EF3B86"/>
    <w:rsid w:val="00EF3D9C"/>
    <w:rsid w:val="00EF3FE5"/>
    <w:rsid w:val="00EF42A3"/>
    <w:rsid w:val="00EF42AB"/>
    <w:rsid w:val="00EF442B"/>
    <w:rsid w:val="00EF44E7"/>
    <w:rsid w:val="00EF4D35"/>
    <w:rsid w:val="00EF4E1E"/>
    <w:rsid w:val="00EF4E82"/>
    <w:rsid w:val="00EF5034"/>
    <w:rsid w:val="00EF52B4"/>
    <w:rsid w:val="00EF58E8"/>
    <w:rsid w:val="00EF661E"/>
    <w:rsid w:val="00EF66C3"/>
    <w:rsid w:val="00EF6A2F"/>
    <w:rsid w:val="00EF6FD0"/>
    <w:rsid w:val="00EF756A"/>
    <w:rsid w:val="00EF7BA2"/>
    <w:rsid w:val="00EF7BD8"/>
    <w:rsid w:val="00EF7EAD"/>
    <w:rsid w:val="00F0009E"/>
    <w:rsid w:val="00F00682"/>
    <w:rsid w:val="00F01105"/>
    <w:rsid w:val="00F0112B"/>
    <w:rsid w:val="00F0125E"/>
    <w:rsid w:val="00F0189F"/>
    <w:rsid w:val="00F027DF"/>
    <w:rsid w:val="00F02C46"/>
    <w:rsid w:val="00F030B7"/>
    <w:rsid w:val="00F03C25"/>
    <w:rsid w:val="00F03C95"/>
    <w:rsid w:val="00F0420D"/>
    <w:rsid w:val="00F044C7"/>
    <w:rsid w:val="00F0480C"/>
    <w:rsid w:val="00F04D3D"/>
    <w:rsid w:val="00F04EF0"/>
    <w:rsid w:val="00F054CC"/>
    <w:rsid w:val="00F0626E"/>
    <w:rsid w:val="00F0627B"/>
    <w:rsid w:val="00F069B4"/>
    <w:rsid w:val="00F06F5B"/>
    <w:rsid w:val="00F07056"/>
    <w:rsid w:val="00F076FE"/>
    <w:rsid w:val="00F07A9D"/>
    <w:rsid w:val="00F07E67"/>
    <w:rsid w:val="00F10221"/>
    <w:rsid w:val="00F1037D"/>
    <w:rsid w:val="00F10419"/>
    <w:rsid w:val="00F10715"/>
    <w:rsid w:val="00F1073E"/>
    <w:rsid w:val="00F108BF"/>
    <w:rsid w:val="00F109F7"/>
    <w:rsid w:val="00F10E88"/>
    <w:rsid w:val="00F10F93"/>
    <w:rsid w:val="00F110C6"/>
    <w:rsid w:val="00F114EA"/>
    <w:rsid w:val="00F1161B"/>
    <w:rsid w:val="00F11C2A"/>
    <w:rsid w:val="00F1213F"/>
    <w:rsid w:val="00F12566"/>
    <w:rsid w:val="00F13083"/>
    <w:rsid w:val="00F13314"/>
    <w:rsid w:val="00F13960"/>
    <w:rsid w:val="00F13DFF"/>
    <w:rsid w:val="00F1419C"/>
    <w:rsid w:val="00F141D2"/>
    <w:rsid w:val="00F143EC"/>
    <w:rsid w:val="00F149CA"/>
    <w:rsid w:val="00F151A0"/>
    <w:rsid w:val="00F15825"/>
    <w:rsid w:val="00F16200"/>
    <w:rsid w:val="00F1635D"/>
    <w:rsid w:val="00F16DBF"/>
    <w:rsid w:val="00F17082"/>
    <w:rsid w:val="00F17304"/>
    <w:rsid w:val="00F20A4C"/>
    <w:rsid w:val="00F20B6C"/>
    <w:rsid w:val="00F21003"/>
    <w:rsid w:val="00F212A3"/>
    <w:rsid w:val="00F213D2"/>
    <w:rsid w:val="00F213F1"/>
    <w:rsid w:val="00F2148A"/>
    <w:rsid w:val="00F215A0"/>
    <w:rsid w:val="00F21642"/>
    <w:rsid w:val="00F21782"/>
    <w:rsid w:val="00F21899"/>
    <w:rsid w:val="00F21E31"/>
    <w:rsid w:val="00F223E6"/>
    <w:rsid w:val="00F22857"/>
    <w:rsid w:val="00F22CCE"/>
    <w:rsid w:val="00F22D78"/>
    <w:rsid w:val="00F23143"/>
    <w:rsid w:val="00F2330A"/>
    <w:rsid w:val="00F237C8"/>
    <w:rsid w:val="00F2388E"/>
    <w:rsid w:val="00F240E8"/>
    <w:rsid w:val="00F24A78"/>
    <w:rsid w:val="00F24C54"/>
    <w:rsid w:val="00F24F92"/>
    <w:rsid w:val="00F2559E"/>
    <w:rsid w:val="00F25877"/>
    <w:rsid w:val="00F2694C"/>
    <w:rsid w:val="00F26DD0"/>
    <w:rsid w:val="00F275E0"/>
    <w:rsid w:val="00F276CF"/>
    <w:rsid w:val="00F27BA4"/>
    <w:rsid w:val="00F27DB3"/>
    <w:rsid w:val="00F27FB3"/>
    <w:rsid w:val="00F30469"/>
    <w:rsid w:val="00F30473"/>
    <w:rsid w:val="00F30ACD"/>
    <w:rsid w:val="00F310D8"/>
    <w:rsid w:val="00F312F9"/>
    <w:rsid w:val="00F319CE"/>
    <w:rsid w:val="00F31DC1"/>
    <w:rsid w:val="00F31FB4"/>
    <w:rsid w:val="00F324CD"/>
    <w:rsid w:val="00F32500"/>
    <w:rsid w:val="00F32D31"/>
    <w:rsid w:val="00F32D5C"/>
    <w:rsid w:val="00F33073"/>
    <w:rsid w:val="00F33571"/>
    <w:rsid w:val="00F33A72"/>
    <w:rsid w:val="00F34918"/>
    <w:rsid w:val="00F34A3B"/>
    <w:rsid w:val="00F34A3F"/>
    <w:rsid w:val="00F34ECF"/>
    <w:rsid w:val="00F34F98"/>
    <w:rsid w:val="00F355D6"/>
    <w:rsid w:val="00F35657"/>
    <w:rsid w:val="00F359F1"/>
    <w:rsid w:val="00F35B45"/>
    <w:rsid w:val="00F35D86"/>
    <w:rsid w:val="00F35EB5"/>
    <w:rsid w:val="00F367DB"/>
    <w:rsid w:val="00F369EE"/>
    <w:rsid w:val="00F37285"/>
    <w:rsid w:val="00F37414"/>
    <w:rsid w:val="00F37694"/>
    <w:rsid w:val="00F37934"/>
    <w:rsid w:val="00F40D63"/>
    <w:rsid w:val="00F40DCF"/>
    <w:rsid w:val="00F40F8D"/>
    <w:rsid w:val="00F41E18"/>
    <w:rsid w:val="00F420D5"/>
    <w:rsid w:val="00F4221A"/>
    <w:rsid w:val="00F424F1"/>
    <w:rsid w:val="00F42533"/>
    <w:rsid w:val="00F42BDB"/>
    <w:rsid w:val="00F42CB9"/>
    <w:rsid w:val="00F43034"/>
    <w:rsid w:val="00F43528"/>
    <w:rsid w:val="00F435BC"/>
    <w:rsid w:val="00F438D2"/>
    <w:rsid w:val="00F43D7D"/>
    <w:rsid w:val="00F44038"/>
    <w:rsid w:val="00F44523"/>
    <w:rsid w:val="00F445F3"/>
    <w:rsid w:val="00F44FC2"/>
    <w:rsid w:val="00F455E1"/>
    <w:rsid w:val="00F4568A"/>
    <w:rsid w:val="00F45749"/>
    <w:rsid w:val="00F45BD8"/>
    <w:rsid w:val="00F45D8D"/>
    <w:rsid w:val="00F46342"/>
    <w:rsid w:val="00F467D8"/>
    <w:rsid w:val="00F46A60"/>
    <w:rsid w:val="00F46C4D"/>
    <w:rsid w:val="00F46E82"/>
    <w:rsid w:val="00F46E91"/>
    <w:rsid w:val="00F46EBC"/>
    <w:rsid w:val="00F4733C"/>
    <w:rsid w:val="00F47422"/>
    <w:rsid w:val="00F47917"/>
    <w:rsid w:val="00F479C1"/>
    <w:rsid w:val="00F508A2"/>
    <w:rsid w:val="00F510F1"/>
    <w:rsid w:val="00F51850"/>
    <w:rsid w:val="00F51CA6"/>
    <w:rsid w:val="00F51CB9"/>
    <w:rsid w:val="00F51F3C"/>
    <w:rsid w:val="00F51FE9"/>
    <w:rsid w:val="00F52598"/>
    <w:rsid w:val="00F526A8"/>
    <w:rsid w:val="00F53365"/>
    <w:rsid w:val="00F533CC"/>
    <w:rsid w:val="00F537A2"/>
    <w:rsid w:val="00F53E20"/>
    <w:rsid w:val="00F546CA"/>
    <w:rsid w:val="00F547DA"/>
    <w:rsid w:val="00F55259"/>
    <w:rsid w:val="00F553E7"/>
    <w:rsid w:val="00F5592A"/>
    <w:rsid w:val="00F55D4E"/>
    <w:rsid w:val="00F56340"/>
    <w:rsid w:val="00F57466"/>
    <w:rsid w:val="00F5794A"/>
    <w:rsid w:val="00F60B39"/>
    <w:rsid w:val="00F615F0"/>
    <w:rsid w:val="00F61E8B"/>
    <w:rsid w:val="00F62DDA"/>
    <w:rsid w:val="00F63BF0"/>
    <w:rsid w:val="00F64092"/>
    <w:rsid w:val="00F640F7"/>
    <w:rsid w:val="00F64421"/>
    <w:rsid w:val="00F64D9D"/>
    <w:rsid w:val="00F6553D"/>
    <w:rsid w:val="00F6560C"/>
    <w:rsid w:val="00F65DD0"/>
    <w:rsid w:val="00F66424"/>
    <w:rsid w:val="00F664DD"/>
    <w:rsid w:val="00F66B75"/>
    <w:rsid w:val="00F66F20"/>
    <w:rsid w:val="00F67204"/>
    <w:rsid w:val="00F70148"/>
    <w:rsid w:val="00F70535"/>
    <w:rsid w:val="00F70576"/>
    <w:rsid w:val="00F7095F"/>
    <w:rsid w:val="00F71036"/>
    <w:rsid w:val="00F719EF"/>
    <w:rsid w:val="00F72135"/>
    <w:rsid w:val="00F7294D"/>
    <w:rsid w:val="00F734D5"/>
    <w:rsid w:val="00F742CE"/>
    <w:rsid w:val="00F74809"/>
    <w:rsid w:val="00F749BE"/>
    <w:rsid w:val="00F74C2B"/>
    <w:rsid w:val="00F74E4D"/>
    <w:rsid w:val="00F75C80"/>
    <w:rsid w:val="00F76092"/>
    <w:rsid w:val="00F760AF"/>
    <w:rsid w:val="00F7729D"/>
    <w:rsid w:val="00F77575"/>
    <w:rsid w:val="00F77919"/>
    <w:rsid w:val="00F77A11"/>
    <w:rsid w:val="00F77F14"/>
    <w:rsid w:val="00F802E8"/>
    <w:rsid w:val="00F80659"/>
    <w:rsid w:val="00F80B7A"/>
    <w:rsid w:val="00F80E9B"/>
    <w:rsid w:val="00F81295"/>
    <w:rsid w:val="00F81FB0"/>
    <w:rsid w:val="00F8205B"/>
    <w:rsid w:val="00F82819"/>
    <w:rsid w:val="00F82B5A"/>
    <w:rsid w:val="00F832BB"/>
    <w:rsid w:val="00F83C32"/>
    <w:rsid w:val="00F83E9D"/>
    <w:rsid w:val="00F83EDD"/>
    <w:rsid w:val="00F840D3"/>
    <w:rsid w:val="00F84839"/>
    <w:rsid w:val="00F84B04"/>
    <w:rsid w:val="00F85003"/>
    <w:rsid w:val="00F850EE"/>
    <w:rsid w:val="00F8573D"/>
    <w:rsid w:val="00F85AD8"/>
    <w:rsid w:val="00F8631A"/>
    <w:rsid w:val="00F86AB2"/>
    <w:rsid w:val="00F86BB5"/>
    <w:rsid w:val="00F86DEE"/>
    <w:rsid w:val="00F87846"/>
    <w:rsid w:val="00F879C4"/>
    <w:rsid w:val="00F87D91"/>
    <w:rsid w:val="00F87F22"/>
    <w:rsid w:val="00F902AF"/>
    <w:rsid w:val="00F909FB"/>
    <w:rsid w:val="00F911CD"/>
    <w:rsid w:val="00F918DB"/>
    <w:rsid w:val="00F928D6"/>
    <w:rsid w:val="00F92D0F"/>
    <w:rsid w:val="00F92E71"/>
    <w:rsid w:val="00F93131"/>
    <w:rsid w:val="00F93AAB"/>
    <w:rsid w:val="00F941CF"/>
    <w:rsid w:val="00F9447E"/>
    <w:rsid w:val="00F945AF"/>
    <w:rsid w:val="00F9487F"/>
    <w:rsid w:val="00F94BEC"/>
    <w:rsid w:val="00F94E30"/>
    <w:rsid w:val="00F95427"/>
    <w:rsid w:val="00F95CB0"/>
    <w:rsid w:val="00F95FAD"/>
    <w:rsid w:val="00F9625E"/>
    <w:rsid w:val="00F96582"/>
    <w:rsid w:val="00F96DB7"/>
    <w:rsid w:val="00F97809"/>
    <w:rsid w:val="00F97DB2"/>
    <w:rsid w:val="00F97E51"/>
    <w:rsid w:val="00FA004C"/>
    <w:rsid w:val="00FA03CA"/>
    <w:rsid w:val="00FA0A57"/>
    <w:rsid w:val="00FA16FE"/>
    <w:rsid w:val="00FA1840"/>
    <w:rsid w:val="00FA1848"/>
    <w:rsid w:val="00FA1885"/>
    <w:rsid w:val="00FA1B21"/>
    <w:rsid w:val="00FA1DFA"/>
    <w:rsid w:val="00FA2547"/>
    <w:rsid w:val="00FA2AFF"/>
    <w:rsid w:val="00FA2E24"/>
    <w:rsid w:val="00FA356F"/>
    <w:rsid w:val="00FA3643"/>
    <w:rsid w:val="00FA3710"/>
    <w:rsid w:val="00FA3738"/>
    <w:rsid w:val="00FA391F"/>
    <w:rsid w:val="00FA4678"/>
    <w:rsid w:val="00FA4BA9"/>
    <w:rsid w:val="00FA4BD1"/>
    <w:rsid w:val="00FA4D12"/>
    <w:rsid w:val="00FA4F34"/>
    <w:rsid w:val="00FA58A3"/>
    <w:rsid w:val="00FA5C1F"/>
    <w:rsid w:val="00FA5E47"/>
    <w:rsid w:val="00FA5E56"/>
    <w:rsid w:val="00FA6AC9"/>
    <w:rsid w:val="00FA6DB3"/>
    <w:rsid w:val="00FA6E5D"/>
    <w:rsid w:val="00FA71DC"/>
    <w:rsid w:val="00FA725C"/>
    <w:rsid w:val="00FA73F5"/>
    <w:rsid w:val="00FA765E"/>
    <w:rsid w:val="00FA7A72"/>
    <w:rsid w:val="00FA7CC5"/>
    <w:rsid w:val="00FB0644"/>
    <w:rsid w:val="00FB1386"/>
    <w:rsid w:val="00FB16AA"/>
    <w:rsid w:val="00FB1A24"/>
    <w:rsid w:val="00FB1A77"/>
    <w:rsid w:val="00FB1D43"/>
    <w:rsid w:val="00FB1DC6"/>
    <w:rsid w:val="00FB232E"/>
    <w:rsid w:val="00FB23F0"/>
    <w:rsid w:val="00FB257C"/>
    <w:rsid w:val="00FB25BA"/>
    <w:rsid w:val="00FB2AFF"/>
    <w:rsid w:val="00FB2B94"/>
    <w:rsid w:val="00FB3656"/>
    <w:rsid w:val="00FB396A"/>
    <w:rsid w:val="00FB3AF2"/>
    <w:rsid w:val="00FB3F39"/>
    <w:rsid w:val="00FB409C"/>
    <w:rsid w:val="00FB4855"/>
    <w:rsid w:val="00FB491A"/>
    <w:rsid w:val="00FB4CD8"/>
    <w:rsid w:val="00FB510E"/>
    <w:rsid w:val="00FB557F"/>
    <w:rsid w:val="00FB565A"/>
    <w:rsid w:val="00FB589E"/>
    <w:rsid w:val="00FB5C43"/>
    <w:rsid w:val="00FB5EF1"/>
    <w:rsid w:val="00FB6138"/>
    <w:rsid w:val="00FB6836"/>
    <w:rsid w:val="00FB6A3F"/>
    <w:rsid w:val="00FB6E97"/>
    <w:rsid w:val="00FB74D8"/>
    <w:rsid w:val="00FB76DB"/>
    <w:rsid w:val="00FB779C"/>
    <w:rsid w:val="00FB7916"/>
    <w:rsid w:val="00FB7923"/>
    <w:rsid w:val="00FC0398"/>
    <w:rsid w:val="00FC042C"/>
    <w:rsid w:val="00FC0FC9"/>
    <w:rsid w:val="00FC10A4"/>
    <w:rsid w:val="00FC159C"/>
    <w:rsid w:val="00FC18D4"/>
    <w:rsid w:val="00FC1C3F"/>
    <w:rsid w:val="00FC1E29"/>
    <w:rsid w:val="00FC25EA"/>
    <w:rsid w:val="00FC2E7B"/>
    <w:rsid w:val="00FC3075"/>
    <w:rsid w:val="00FC3A1E"/>
    <w:rsid w:val="00FC48E4"/>
    <w:rsid w:val="00FC4F9E"/>
    <w:rsid w:val="00FC50F4"/>
    <w:rsid w:val="00FC5178"/>
    <w:rsid w:val="00FC55FA"/>
    <w:rsid w:val="00FC5A51"/>
    <w:rsid w:val="00FC5B47"/>
    <w:rsid w:val="00FC61D1"/>
    <w:rsid w:val="00FC6C57"/>
    <w:rsid w:val="00FC7815"/>
    <w:rsid w:val="00FC7A1C"/>
    <w:rsid w:val="00FC7BBA"/>
    <w:rsid w:val="00FC7F14"/>
    <w:rsid w:val="00FD0159"/>
    <w:rsid w:val="00FD03F3"/>
    <w:rsid w:val="00FD0591"/>
    <w:rsid w:val="00FD0692"/>
    <w:rsid w:val="00FD0899"/>
    <w:rsid w:val="00FD0FC5"/>
    <w:rsid w:val="00FD1636"/>
    <w:rsid w:val="00FD16EF"/>
    <w:rsid w:val="00FD1A21"/>
    <w:rsid w:val="00FD1D1C"/>
    <w:rsid w:val="00FD1FAC"/>
    <w:rsid w:val="00FD2134"/>
    <w:rsid w:val="00FD2500"/>
    <w:rsid w:val="00FD27BE"/>
    <w:rsid w:val="00FD2A15"/>
    <w:rsid w:val="00FD2D0B"/>
    <w:rsid w:val="00FD3C6C"/>
    <w:rsid w:val="00FD3C95"/>
    <w:rsid w:val="00FD409C"/>
    <w:rsid w:val="00FD4929"/>
    <w:rsid w:val="00FD4D01"/>
    <w:rsid w:val="00FD5636"/>
    <w:rsid w:val="00FD6404"/>
    <w:rsid w:val="00FD6A9F"/>
    <w:rsid w:val="00FD6D0B"/>
    <w:rsid w:val="00FD6E79"/>
    <w:rsid w:val="00FD72AD"/>
    <w:rsid w:val="00FD72E4"/>
    <w:rsid w:val="00FD7E89"/>
    <w:rsid w:val="00FE0177"/>
    <w:rsid w:val="00FE065D"/>
    <w:rsid w:val="00FE06EE"/>
    <w:rsid w:val="00FE07A0"/>
    <w:rsid w:val="00FE0885"/>
    <w:rsid w:val="00FE09D3"/>
    <w:rsid w:val="00FE0E6A"/>
    <w:rsid w:val="00FE16E6"/>
    <w:rsid w:val="00FE185E"/>
    <w:rsid w:val="00FE1B3B"/>
    <w:rsid w:val="00FE1BCD"/>
    <w:rsid w:val="00FE1C5B"/>
    <w:rsid w:val="00FE1F96"/>
    <w:rsid w:val="00FE277F"/>
    <w:rsid w:val="00FE27EC"/>
    <w:rsid w:val="00FE2956"/>
    <w:rsid w:val="00FE3683"/>
    <w:rsid w:val="00FE4223"/>
    <w:rsid w:val="00FE4366"/>
    <w:rsid w:val="00FE43AF"/>
    <w:rsid w:val="00FE4722"/>
    <w:rsid w:val="00FE5279"/>
    <w:rsid w:val="00FE5729"/>
    <w:rsid w:val="00FE589A"/>
    <w:rsid w:val="00FE596B"/>
    <w:rsid w:val="00FE5BCC"/>
    <w:rsid w:val="00FE5BF8"/>
    <w:rsid w:val="00FE601A"/>
    <w:rsid w:val="00FE60A9"/>
    <w:rsid w:val="00FE66D3"/>
    <w:rsid w:val="00FE6D9E"/>
    <w:rsid w:val="00FE71F9"/>
    <w:rsid w:val="00FE72A3"/>
    <w:rsid w:val="00FE7DBE"/>
    <w:rsid w:val="00FF0788"/>
    <w:rsid w:val="00FF11C5"/>
    <w:rsid w:val="00FF1274"/>
    <w:rsid w:val="00FF1481"/>
    <w:rsid w:val="00FF1567"/>
    <w:rsid w:val="00FF160D"/>
    <w:rsid w:val="00FF1EF0"/>
    <w:rsid w:val="00FF2477"/>
    <w:rsid w:val="00FF2A44"/>
    <w:rsid w:val="00FF3482"/>
    <w:rsid w:val="00FF3E50"/>
    <w:rsid w:val="00FF43DE"/>
    <w:rsid w:val="00FF48F1"/>
    <w:rsid w:val="00FF4A0F"/>
    <w:rsid w:val="00FF4F7C"/>
    <w:rsid w:val="00FF5283"/>
    <w:rsid w:val="00FF58BA"/>
    <w:rsid w:val="00FF5D92"/>
    <w:rsid w:val="00FF5DD4"/>
    <w:rsid w:val="00FF64C4"/>
    <w:rsid w:val="00FF6B9F"/>
    <w:rsid w:val="00FF761F"/>
    <w:rsid w:val="00FF7703"/>
    <w:rsid w:val="00FF7724"/>
    <w:rsid w:val="00FF7A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641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5AA"/>
  </w:style>
  <w:style w:type="paragraph" w:styleId="Heading1">
    <w:name w:val="heading 1"/>
    <w:basedOn w:val="Normal"/>
    <w:next w:val="Normal"/>
    <w:link w:val="Heading1Char"/>
    <w:uiPriority w:val="9"/>
    <w:qFormat/>
    <w:rsid w:val="004D5D50"/>
    <w:pPr>
      <w:keepNext/>
      <w:keepLines/>
      <w:spacing w:before="360" w:after="80" w:line="276" w:lineRule="auto"/>
      <w:outlineLvl w:val="0"/>
    </w:pPr>
    <w:rPr>
      <w:rFonts w:asciiTheme="majorHAnsi" w:eastAsiaTheme="majorEastAsia" w:hAnsiTheme="majorHAnsi" w:cstheme="majorBidi"/>
      <w:color w:val="2E74B5" w:themeColor="accent1" w:themeShade="BF"/>
      <w:sz w:val="40"/>
      <w:szCs w:val="40"/>
      <w:lang w:val="en-GB"/>
    </w:rPr>
  </w:style>
  <w:style w:type="paragraph" w:styleId="Heading2">
    <w:name w:val="heading 2"/>
    <w:basedOn w:val="Normal"/>
    <w:next w:val="Normal"/>
    <w:link w:val="Heading2Char"/>
    <w:uiPriority w:val="9"/>
    <w:semiHidden/>
    <w:unhideWhenUsed/>
    <w:qFormat/>
    <w:rsid w:val="004D5D50"/>
    <w:pPr>
      <w:keepNext/>
      <w:keepLines/>
      <w:spacing w:before="160" w:after="80" w:line="276" w:lineRule="auto"/>
      <w:outlineLvl w:val="1"/>
    </w:pPr>
    <w:rPr>
      <w:rFonts w:asciiTheme="majorHAnsi" w:eastAsiaTheme="majorEastAsia" w:hAnsiTheme="majorHAnsi" w:cstheme="majorBidi"/>
      <w:color w:val="2E74B5" w:themeColor="accent1" w:themeShade="BF"/>
      <w:sz w:val="32"/>
      <w:szCs w:val="32"/>
      <w:lang w:val="en-GB"/>
    </w:rPr>
  </w:style>
  <w:style w:type="paragraph" w:styleId="Heading3">
    <w:name w:val="heading 3"/>
    <w:basedOn w:val="Normal"/>
    <w:next w:val="Normal"/>
    <w:link w:val="Heading3Char"/>
    <w:uiPriority w:val="9"/>
    <w:semiHidden/>
    <w:unhideWhenUsed/>
    <w:qFormat/>
    <w:rsid w:val="004D5D50"/>
    <w:pPr>
      <w:keepNext/>
      <w:keepLines/>
      <w:spacing w:before="160" w:after="80" w:line="276" w:lineRule="auto"/>
      <w:outlineLvl w:val="2"/>
    </w:pPr>
    <w:rPr>
      <w:rFonts w:eastAsiaTheme="majorEastAsia" w:cstheme="majorBidi"/>
      <w:color w:val="2E74B5" w:themeColor="accent1" w:themeShade="BF"/>
      <w:sz w:val="28"/>
      <w:szCs w:val="28"/>
      <w:lang w:val="en-GB"/>
    </w:rPr>
  </w:style>
  <w:style w:type="paragraph" w:styleId="Heading4">
    <w:name w:val="heading 4"/>
    <w:basedOn w:val="Normal"/>
    <w:next w:val="Normal"/>
    <w:link w:val="Heading4Char"/>
    <w:uiPriority w:val="9"/>
    <w:semiHidden/>
    <w:unhideWhenUsed/>
    <w:qFormat/>
    <w:rsid w:val="004D5D50"/>
    <w:pPr>
      <w:keepNext/>
      <w:keepLines/>
      <w:spacing w:before="80" w:after="40" w:line="276" w:lineRule="auto"/>
      <w:outlineLvl w:val="3"/>
    </w:pPr>
    <w:rPr>
      <w:rFonts w:eastAsiaTheme="majorEastAsia" w:cstheme="majorBidi"/>
      <w:i/>
      <w:iCs/>
      <w:color w:val="2E74B5" w:themeColor="accent1" w:themeShade="BF"/>
      <w:lang w:val="en-GB"/>
    </w:rPr>
  </w:style>
  <w:style w:type="paragraph" w:styleId="Heading5">
    <w:name w:val="heading 5"/>
    <w:basedOn w:val="Normal"/>
    <w:next w:val="Normal"/>
    <w:link w:val="Heading5Char"/>
    <w:uiPriority w:val="9"/>
    <w:semiHidden/>
    <w:unhideWhenUsed/>
    <w:qFormat/>
    <w:rsid w:val="004D5D50"/>
    <w:pPr>
      <w:keepNext/>
      <w:keepLines/>
      <w:spacing w:before="80" w:after="40" w:line="276" w:lineRule="auto"/>
      <w:outlineLvl w:val="4"/>
    </w:pPr>
    <w:rPr>
      <w:rFonts w:eastAsiaTheme="majorEastAsia" w:cstheme="majorBidi"/>
      <w:color w:val="2E74B5" w:themeColor="accent1" w:themeShade="BF"/>
      <w:lang w:val="en-GB"/>
    </w:rPr>
  </w:style>
  <w:style w:type="paragraph" w:styleId="Heading6">
    <w:name w:val="heading 6"/>
    <w:basedOn w:val="Normal"/>
    <w:next w:val="Normal"/>
    <w:link w:val="Heading6Char"/>
    <w:uiPriority w:val="9"/>
    <w:semiHidden/>
    <w:unhideWhenUsed/>
    <w:qFormat/>
    <w:rsid w:val="004D5D50"/>
    <w:pPr>
      <w:keepNext/>
      <w:keepLines/>
      <w:spacing w:before="40" w:after="0" w:line="276" w:lineRule="auto"/>
      <w:outlineLvl w:val="5"/>
    </w:pPr>
    <w:rPr>
      <w:rFonts w:eastAsiaTheme="majorEastAsia"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4D5D50"/>
    <w:pPr>
      <w:keepNext/>
      <w:keepLines/>
      <w:spacing w:before="40" w:after="0" w:line="276" w:lineRule="auto"/>
      <w:outlineLvl w:val="6"/>
    </w:pPr>
    <w:rPr>
      <w:rFonts w:eastAsiaTheme="majorEastAsia"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4D5D50"/>
    <w:pPr>
      <w:keepNext/>
      <w:keepLines/>
      <w:spacing w:after="0" w:line="276" w:lineRule="auto"/>
      <w:outlineLvl w:val="7"/>
    </w:pPr>
    <w:rPr>
      <w:rFonts w:eastAsiaTheme="majorEastAsia"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4D5D50"/>
    <w:pPr>
      <w:keepNext/>
      <w:keepLines/>
      <w:spacing w:after="0" w:line="276" w:lineRule="auto"/>
      <w:outlineLvl w:val="8"/>
    </w:pPr>
    <w:rPr>
      <w:rFonts w:eastAsiaTheme="majorEastAsia"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15AA"/>
    <w:rPr>
      <w:color w:val="0563C1" w:themeColor="hyperlink"/>
      <w:u w:val="single"/>
    </w:rPr>
  </w:style>
  <w:style w:type="paragraph" w:styleId="Header">
    <w:name w:val="header"/>
    <w:basedOn w:val="Normal"/>
    <w:link w:val="HeaderChar"/>
    <w:uiPriority w:val="99"/>
    <w:unhideWhenUsed/>
    <w:rsid w:val="005C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CA4"/>
  </w:style>
  <w:style w:type="paragraph" w:styleId="Footer">
    <w:name w:val="footer"/>
    <w:basedOn w:val="Normal"/>
    <w:link w:val="FooterChar"/>
    <w:uiPriority w:val="99"/>
    <w:unhideWhenUsed/>
    <w:rsid w:val="005C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CA4"/>
  </w:style>
  <w:style w:type="paragraph" w:styleId="ListParagraph">
    <w:name w:val="List Paragraph"/>
    <w:basedOn w:val="Normal"/>
    <w:uiPriority w:val="34"/>
    <w:qFormat/>
    <w:rsid w:val="009A4A00"/>
    <w:pPr>
      <w:ind w:left="720"/>
      <w:contextualSpacing/>
    </w:pPr>
  </w:style>
  <w:style w:type="paragraph" w:styleId="FootnoteText">
    <w:name w:val="footnote text"/>
    <w:basedOn w:val="Normal"/>
    <w:link w:val="FootnoteTextChar"/>
    <w:uiPriority w:val="99"/>
    <w:unhideWhenUsed/>
    <w:rsid w:val="00D4223E"/>
    <w:pPr>
      <w:spacing w:after="0" w:line="240" w:lineRule="auto"/>
    </w:pPr>
    <w:rPr>
      <w:sz w:val="20"/>
      <w:szCs w:val="20"/>
    </w:rPr>
  </w:style>
  <w:style w:type="character" w:customStyle="1" w:styleId="FootnoteTextChar">
    <w:name w:val="Footnote Text Char"/>
    <w:basedOn w:val="DefaultParagraphFont"/>
    <w:link w:val="FootnoteText"/>
    <w:uiPriority w:val="99"/>
    <w:rsid w:val="00D4223E"/>
    <w:rPr>
      <w:sz w:val="20"/>
      <w:szCs w:val="20"/>
    </w:rPr>
  </w:style>
  <w:style w:type="character" w:styleId="FootnoteReference">
    <w:name w:val="footnote reference"/>
    <w:basedOn w:val="DefaultParagraphFont"/>
    <w:uiPriority w:val="99"/>
    <w:semiHidden/>
    <w:unhideWhenUsed/>
    <w:rsid w:val="00D4223E"/>
    <w:rPr>
      <w:vertAlign w:val="superscript"/>
    </w:rPr>
  </w:style>
  <w:style w:type="character" w:styleId="CommentReference">
    <w:name w:val="annotation reference"/>
    <w:basedOn w:val="DefaultParagraphFont"/>
    <w:uiPriority w:val="99"/>
    <w:semiHidden/>
    <w:unhideWhenUsed/>
    <w:rsid w:val="00583458"/>
    <w:rPr>
      <w:sz w:val="16"/>
      <w:szCs w:val="16"/>
    </w:rPr>
  </w:style>
  <w:style w:type="paragraph" w:styleId="CommentText">
    <w:name w:val="annotation text"/>
    <w:basedOn w:val="Normal"/>
    <w:link w:val="CommentTextChar"/>
    <w:uiPriority w:val="99"/>
    <w:unhideWhenUsed/>
    <w:rsid w:val="00583458"/>
    <w:pPr>
      <w:spacing w:line="240" w:lineRule="auto"/>
    </w:pPr>
    <w:rPr>
      <w:sz w:val="20"/>
      <w:szCs w:val="20"/>
    </w:rPr>
  </w:style>
  <w:style w:type="character" w:customStyle="1" w:styleId="CommentTextChar">
    <w:name w:val="Comment Text Char"/>
    <w:basedOn w:val="DefaultParagraphFont"/>
    <w:link w:val="CommentText"/>
    <w:uiPriority w:val="99"/>
    <w:rsid w:val="00583458"/>
    <w:rPr>
      <w:sz w:val="20"/>
      <w:szCs w:val="20"/>
    </w:rPr>
  </w:style>
  <w:style w:type="paragraph" w:styleId="CommentSubject">
    <w:name w:val="annotation subject"/>
    <w:basedOn w:val="CommentText"/>
    <w:next w:val="CommentText"/>
    <w:link w:val="CommentSubjectChar"/>
    <w:uiPriority w:val="99"/>
    <w:semiHidden/>
    <w:unhideWhenUsed/>
    <w:rsid w:val="00583458"/>
    <w:rPr>
      <w:b/>
      <w:bCs/>
    </w:rPr>
  </w:style>
  <w:style w:type="character" w:customStyle="1" w:styleId="CommentSubjectChar">
    <w:name w:val="Comment Subject Char"/>
    <w:basedOn w:val="CommentTextChar"/>
    <w:link w:val="CommentSubject"/>
    <w:uiPriority w:val="99"/>
    <w:semiHidden/>
    <w:rsid w:val="00583458"/>
    <w:rPr>
      <w:b/>
      <w:bCs/>
      <w:sz w:val="20"/>
      <w:szCs w:val="20"/>
    </w:rPr>
  </w:style>
  <w:style w:type="paragraph" w:styleId="BalloonText">
    <w:name w:val="Balloon Text"/>
    <w:basedOn w:val="Normal"/>
    <w:link w:val="BalloonTextChar"/>
    <w:uiPriority w:val="99"/>
    <w:semiHidden/>
    <w:unhideWhenUsed/>
    <w:rsid w:val="00583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458"/>
    <w:rPr>
      <w:rFonts w:ascii="Segoe UI" w:hAnsi="Segoe UI" w:cs="Segoe UI"/>
      <w:sz w:val="18"/>
      <w:szCs w:val="18"/>
    </w:rPr>
  </w:style>
  <w:style w:type="character" w:styleId="PlaceholderText">
    <w:name w:val="Placeholder Text"/>
    <w:basedOn w:val="DefaultParagraphFont"/>
    <w:uiPriority w:val="99"/>
    <w:semiHidden/>
    <w:rsid w:val="00D1452D"/>
    <w:rPr>
      <w:color w:val="808080"/>
    </w:rPr>
  </w:style>
  <w:style w:type="paragraph" w:styleId="Revision">
    <w:name w:val="Revision"/>
    <w:hidden/>
    <w:uiPriority w:val="99"/>
    <w:semiHidden/>
    <w:rsid w:val="006135AA"/>
    <w:pPr>
      <w:spacing w:after="0" w:line="240" w:lineRule="auto"/>
    </w:pPr>
  </w:style>
  <w:style w:type="character" w:customStyle="1" w:styleId="UnresolvedMention1">
    <w:name w:val="Unresolved Mention1"/>
    <w:basedOn w:val="DefaultParagraphFont"/>
    <w:uiPriority w:val="99"/>
    <w:semiHidden/>
    <w:unhideWhenUsed/>
    <w:rsid w:val="003C0DC8"/>
    <w:rPr>
      <w:color w:val="605E5C"/>
      <w:shd w:val="clear" w:color="auto" w:fill="E1DFDD"/>
    </w:rPr>
  </w:style>
  <w:style w:type="character" w:styleId="FollowedHyperlink">
    <w:name w:val="FollowedHyperlink"/>
    <w:basedOn w:val="DefaultParagraphFont"/>
    <w:uiPriority w:val="99"/>
    <w:semiHidden/>
    <w:unhideWhenUsed/>
    <w:rsid w:val="00575E6E"/>
    <w:rPr>
      <w:color w:val="954F72" w:themeColor="followedHyperlink"/>
      <w:u w:val="single"/>
    </w:rPr>
  </w:style>
  <w:style w:type="character" w:styleId="HTMLCite">
    <w:name w:val="HTML Cite"/>
    <w:basedOn w:val="DefaultParagraphFont"/>
    <w:uiPriority w:val="99"/>
    <w:semiHidden/>
    <w:unhideWhenUsed/>
    <w:rsid w:val="00D866D6"/>
    <w:rPr>
      <w:i/>
      <w:iCs/>
    </w:rPr>
  </w:style>
  <w:style w:type="character" w:customStyle="1" w:styleId="UnresolvedMention2">
    <w:name w:val="Unresolved Mention2"/>
    <w:basedOn w:val="DefaultParagraphFont"/>
    <w:uiPriority w:val="99"/>
    <w:semiHidden/>
    <w:unhideWhenUsed/>
    <w:rsid w:val="00D866D6"/>
    <w:rPr>
      <w:color w:val="605E5C"/>
      <w:shd w:val="clear" w:color="auto" w:fill="E1DFDD"/>
    </w:rPr>
  </w:style>
  <w:style w:type="paragraph" w:customStyle="1" w:styleId="EndNoteBibliographyTitle">
    <w:name w:val="EndNote Bibliography Title"/>
    <w:basedOn w:val="Normal"/>
    <w:link w:val="EndNoteBibliographyTitleChar"/>
    <w:rsid w:val="00AD2E5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D2E5A"/>
    <w:rPr>
      <w:rFonts w:ascii="Calibri" w:hAnsi="Calibri" w:cs="Calibri"/>
      <w:noProof/>
      <w:lang w:val="en-US"/>
    </w:rPr>
  </w:style>
  <w:style w:type="paragraph" w:customStyle="1" w:styleId="EndNoteBibliography">
    <w:name w:val="EndNote Bibliography"/>
    <w:basedOn w:val="Normal"/>
    <w:link w:val="EndNoteBibliographyChar"/>
    <w:rsid w:val="00AD2E5A"/>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AD2E5A"/>
    <w:rPr>
      <w:rFonts w:ascii="Calibri" w:hAnsi="Calibri" w:cs="Calibri"/>
      <w:noProof/>
      <w:lang w:val="en-US"/>
    </w:rPr>
  </w:style>
  <w:style w:type="character" w:styleId="UnresolvedMention">
    <w:name w:val="Unresolved Mention"/>
    <w:basedOn w:val="DefaultParagraphFont"/>
    <w:uiPriority w:val="99"/>
    <w:semiHidden/>
    <w:unhideWhenUsed/>
    <w:rsid w:val="003F46A8"/>
    <w:rPr>
      <w:color w:val="605E5C"/>
      <w:shd w:val="clear" w:color="auto" w:fill="E1DFDD"/>
    </w:rPr>
  </w:style>
  <w:style w:type="paragraph" w:styleId="NormalWeb">
    <w:name w:val="Normal (Web)"/>
    <w:basedOn w:val="Normal"/>
    <w:uiPriority w:val="99"/>
    <w:semiHidden/>
    <w:unhideWhenUsed/>
    <w:rsid w:val="00A4094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1Char">
    <w:name w:val="Heading 1 Char"/>
    <w:basedOn w:val="DefaultParagraphFont"/>
    <w:link w:val="Heading1"/>
    <w:uiPriority w:val="9"/>
    <w:rsid w:val="004D5D50"/>
    <w:rPr>
      <w:rFonts w:asciiTheme="majorHAnsi" w:eastAsiaTheme="majorEastAsia" w:hAnsiTheme="majorHAnsi" w:cstheme="majorBidi"/>
      <w:color w:val="2E74B5" w:themeColor="accent1" w:themeShade="BF"/>
      <w:sz w:val="40"/>
      <w:szCs w:val="40"/>
      <w:lang w:val="en-GB"/>
    </w:rPr>
  </w:style>
  <w:style w:type="character" w:customStyle="1" w:styleId="Heading2Char">
    <w:name w:val="Heading 2 Char"/>
    <w:basedOn w:val="DefaultParagraphFont"/>
    <w:link w:val="Heading2"/>
    <w:uiPriority w:val="9"/>
    <w:semiHidden/>
    <w:rsid w:val="004D5D50"/>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semiHidden/>
    <w:rsid w:val="004D5D50"/>
    <w:rPr>
      <w:rFonts w:eastAsiaTheme="majorEastAsia" w:cstheme="majorBidi"/>
      <w:color w:val="2E74B5" w:themeColor="accent1" w:themeShade="BF"/>
      <w:sz w:val="28"/>
      <w:szCs w:val="28"/>
      <w:lang w:val="en-GB"/>
    </w:rPr>
  </w:style>
  <w:style w:type="character" w:customStyle="1" w:styleId="Heading4Char">
    <w:name w:val="Heading 4 Char"/>
    <w:basedOn w:val="DefaultParagraphFont"/>
    <w:link w:val="Heading4"/>
    <w:uiPriority w:val="9"/>
    <w:semiHidden/>
    <w:rsid w:val="004D5D50"/>
    <w:rPr>
      <w:rFonts w:eastAsiaTheme="majorEastAsia"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4D5D50"/>
    <w:rPr>
      <w:rFonts w:eastAsiaTheme="majorEastAsia" w:cstheme="majorBidi"/>
      <w:color w:val="2E74B5" w:themeColor="accent1" w:themeShade="BF"/>
      <w:lang w:val="en-GB"/>
    </w:rPr>
  </w:style>
  <w:style w:type="character" w:customStyle="1" w:styleId="Heading6Char">
    <w:name w:val="Heading 6 Char"/>
    <w:basedOn w:val="DefaultParagraphFont"/>
    <w:link w:val="Heading6"/>
    <w:uiPriority w:val="9"/>
    <w:semiHidden/>
    <w:rsid w:val="004D5D5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D5D5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D5D5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D5D5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D5D50"/>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4D5D5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D5D50"/>
    <w:pPr>
      <w:numPr>
        <w:ilvl w:val="1"/>
      </w:numPr>
      <w:spacing w:after="200" w:line="276" w:lineRule="auto"/>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4D5D5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D5D50"/>
    <w:pPr>
      <w:spacing w:before="160" w:after="200" w:line="276" w:lineRule="auto"/>
      <w:jc w:val="center"/>
    </w:pPr>
    <w:rPr>
      <w:i/>
      <w:iCs/>
      <w:color w:val="404040" w:themeColor="text1" w:themeTint="BF"/>
      <w:lang w:val="en-GB"/>
    </w:rPr>
  </w:style>
  <w:style w:type="character" w:customStyle="1" w:styleId="QuoteChar">
    <w:name w:val="Quote Char"/>
    <w:basedOn w:val="DefaultParagraphFont"/>
    <w:link w:val="Quote"/>
    <w:uiPriority w:val="29"/>
    <w:rsid w:val="004D5D50"/>
    <w:rPr>
      <w:i/>
      <w:iCs/>
      <w:color w:val="404040" w:themeColor="text1" w:themeTint="BF"/>
      <w:lang w:val="en-GB"/>
    </w:rPr>
  </w:style>
  <w:style w:type="character" w:styleId="IntenseEmphasis">
    <w:name w:val="Intense Emphasis"/>
    <w:basedOn w:val="DefaultParagraphFont"/>
    <w:uiPriority w:val="21"/>
    <w:qFormat/>
    <w:rsid w:val="004D5D50"/>
    <w:rPr>
      <w:i/>
      <w:iCs/>
      <w:color w:val="2E74B5" w:themeColor="accent1" w:themeShade="BF"/>
    </w:rPr>
  </w:style>
  <w:style w:type="paragraph" w:styleId="IntenseQuote">
    <w:name w:val="Intense Quote"/>
    <w:basedOn w:val="Normal"/>
    <w:next w:val="Normal"/>
    <w:link w:val="IntenseQuoteChar"/>
    <w:uiPriority w:val="30"/>
    <w:qFormat/>
    <w:rsid w:val="004D5D50"/>
    <w:pPr>
      <w:pBdr>
        <w:top w:val="single" w:sz="4" w:space="10" w:color="2E74B5" w:themeColor="accent1" w:themeShade="BF"/>
        <w:bottom w:val="single" w:sz="4" w:space="10" w:color="2E74B5" w:themeColor="accent1" w:themeShade="BF"/>
      </w:pBdr>
      <w:spacing w:before="360" w:after="360" w:line="276" w:lineRule="auto"/>
      <w:ind w:left="864" w:right="864"/>
      <w:jc w:val="center"/>
    </w:pPr>
    <w:rPr>
      <w:i/>
      <w:iCs/>
      <w:color w:val="2E74B5" w:themeColor="accent1" w:themeShade="BF"/>
      <w:lang w:val="en-GB"/>
    </w:rPr>
  </w:style>
  <w:style w:type="character" w:customStyle="1" w:styleId="IntenseQuoteChar">
    <w:name w:val="Intense Quote Char"/>
    <w:basedOn w:val="DefaultParagraphFont"/>
    <w:link w:val="IntenseQuote"/>
    <w:uiPriority w:val="30"/>
    <w:rsid w:val="004D5D50"/>
    <w:rPr>
      <w:i/>
      <w:iCs/>
      <w:color w:val="2E74B5" w:themeColor="accent1" w:themeShade="BF"/>
      <w:lang w:val="en-GB"/>
    </w:rPr>
  </w:style>
  <w:style w:type="character" w:styleId="IntenseReference">
    <w:name w:val="Intense Reference"/>
    <w:basedOn w:val="DefaultParagraphFont"/>
    <w:uiPriority w:val="32"/>
    <w:qFormat/>
    <w:rsid w:val="004D5D50"/>
    <w:rPr>
      <w:b/>
      <w:bCs/>
      <w:smallCaps/>
      <w:color w:val="2E74B5" w:themeColor="accent1" w:themeShade="BF"/>
      <w:spacing w:val="5"/>
    </w:rPr>
  </w:style>
  <w:style w:type="paragraph" w:customStyle="1" w:styleId="Default">
    <w:name w:val="Default"/>
    <w:rsid w:val="004D5D50"/>
    <w:pPr>
      <w:autoSpaceDE w:val="0"/>
      <w:autoSpaceDN w:val="0"/>
      <w:adjustRightInd w:val="0"/>
      <w:spacing w:after="0" w:line="240" w:lineRule="auto"/>
    </w:pPr>
    <w:rPr>
      <w:rFonts w:ascii="Code" w:hAnsi="Code" w:cs="Code"/>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3917">
      <w:bodyDiv w:val="1"/>
      <w:marLeft w:val="0"/>
      <w:marRight w:val="0"/>
      <w:marTop w:val="0"/>
      <w:marBottom w:val="0"/>
      <w:divBdr>
        <w:top w:val="none" w:sz="0" w:space="0" w:color="auto"/>
        <w:left w:val="none" w:sz="0" w:space="0" w:color="auto"/>
        <w:bottom w:val="none" w:sz="0" w:space="0" w:color="auto"/>
        <w:right w:val="none" w:sz="0" w:space="0" w:color="auto"/>
      </w:divBdr>
    </w:div>
    <w:div w:id="83112958">
      <w:bodyDiv w:val="1"/>
      <w:marLeft w:val="0"/>
      <w:marRight w:val="0"/>
      <w:marTop w:val="0"/>
      <w:marBottom w:val="0"/>
      <w:divBdr>
        <w:top w:val="none" w:sz="0" w:space="0" w:color="auto"/>
        <w:left w:val="none" w:sz="0" w:space="0" w:color="auto"/>
        <w:bottom w:val="none" w:sz="0" w:space="0" w:color="auto"/>
        <w:right w:val="none" w:sz="0" w:space="0" w:color="auto"/>
      </w:divBdr>
    </w:div>
    <w:div w:id="103155818">
      <w:bodyDiv w:val="1"/>
      <w:marLeft w:val="0"/>
      <w:marRight w:val="0"/>
      <w:marTop w:val="0"/>
      <w:marBottom w:val="0"/>
      <w:divBdr>
        <w:top w:val="none" w:sz="0" w:space="0" w:color="auto"/>
        <w:left w:val="none" w:sz="0" w:space="0" w:color="auto"/>
        <w:bottom w:val="none" w:sz="0" w:space="0" w:color="auto"/>
        <w:right w:val="none" w:sz="0" w:space="0" w:color="auto"/>
      </w:divBdr>
    </w:div>
    <w:div w:id="134300646">
      <w:bodyDiv w:val="1"/>
      <w:marLeft w:val="0"/>
      <w:marRight w:val="0"/>
      <w:marTop w:val="0"/>
      <w:marBottom w:val="0"/>
      <w:divBdr>
        <w:top w:val="none" w:sz="0" w:space="0" w:color="auto"/>
        <w:left w:val="none" w:sz="0" w:space="0" w:color="auto"/>
        <w:bottom w:val="none" w:sz="0" w:space="0" w:color="auto"/>
        <w:right w:val="none" w:sz="0" w:space="0" w:color="auto"/>
      </w:divBdr>
    </w:div>
    <w:div w:id="181672052">
      <w:bodyDiv w:val="1"/>
      <w:marLeft w:val="0"/>
      <w:marRight w:val="0"/>
      <w:marTop w:val="0"/>
      <w:marBottom w:val="0"/>
      <w:divBdr>
        <w:top w:val="none" w:sz="0" w:space="0" w:color="auto"/>
        <w:left w:val="none" w:sz="0" w:space="0" w:color="auto"/>
        <w:bottom w:val="none" w:sz="0" w:space="0" w:color="auto"/>
        <w:right w:val="none" w:sz="0" w:space="0" w:color="auto"/>
      </w:divBdr>
    </w:div>
    <w:div w:id="189882909">
      <w:bodyDiv w:val="1"/>
      <w:marLeft w:val="0"/>
      <w:marRight w:val="0"/>
      <w:marTop w:val="0"/>
      <w:marBottom w:val="0"/>
      <w:divBdr>
        <w:top w:val="none" w:sz="0" w:space="0" w:color="auto"/>
        <w:left w:val="none" w:sz="0" w:space="0" w:color="auto"/>
        <w:bottom w:val="none" w:sz="0" w:space="0" w:color="auto"/>
        <w:right w:val="none" w:sz="0" w:space="0" w:color="auto"/>
      </w:divBdr>
    </w:div>
    <w:div w:id="235215275">
      <w:bodyDiv w:val="1"/>
      <w:marLeft w:val="0"/>
      <w:marRight w:val="0"/>
      <w:marTop w:val="0"/>
      <w:marBottom w:val="0"/>
      <w:divBdr>
        <w:top w:val="none" w:sz="0" w:space="0" w:color="auto"/>
        <w:left w:val="none" w:sz="0" w:space="0" w:color="auto"/>
        <w:bottom w:val="none" w:sz="0" w:space="0" w:color="auto"/>
        <w:right w:val="none" w:sz="0" w:space="0" w:color="auto"/>
      </w:divBdr>
    </w:div>
    <w:div w:id="246890430">
      <w:bodyDiv w:val="1"/>
      <w:marLeft w:val="0"/>
      <w:marRight w:val="0"/>
      <w:marTop w:val="0"/>
      <w:marBottom w:val="0"/>
      <w:divBdr>
        <w:top w:val="none" w:sz="0" w:space="0" w:color="auto"/>
        <w:left w:val="none" w:sz="0" w:space="0" w:color="auto"/>
        <w:bottom w:val="none" w:sz="0" w:space="0" w:color="auto"/>
        <w:right w:val="none" w:sz="0" w:space="0" w:color="auto"/>
      </w:divBdr>
    </w:div>
    <w:div w:id="250546325">
      <w:bodyDiv w:val="1"/>
      <w:marLeft w:val="0"/>
      <w:marRight w:val="0"/>
      <w:marTop w:val="0"/>
      <w:marBottom w:val="0"/>
      <w:divBdr>
        <w:top w:val="none" w:sz="0" w:space="0" w:color="auto"/>
        <w:left w:val="none" w:sz="0" w:space="0" w:color="auto"/>
        <w:bottom w:val="none" w:sz="0" w:space="0" w:color="auto"/>
        <w:right w:val="none" w:sz="0" w:space="0" w:color="auto"/>
      </w:divBdr>
    </w:div>
    <w:div w:id="284779030">
      <w:bodyDiv w:val="1"/>
      <w:marLeft w:val="0"/>
      <w:marRight w:val="0"/>
      <w:marTop w:val="0"/>
      <w:marBottom w:val="0"/>
      <w:divBdr>
        <w:top w:val="none" w:sz="0" w:space="0" w:color="auto"/>
        <w:left w:val="none" w:sz="0" w:space="0" w:color="auto"/>
        <w:bottom w:val="none" w:sz="0" w:space="0" w:color="auto"/>
        <w:right w:val="none" w:sz="0" w:space="0" w:color="auto"/>
      </w:divBdr>
    </w:div>
    <w:div w:id="359282470">
      <w:bodyDiv w:val="1"/>
      <w:marLeft w:val="0"/>
      <w:marRight w:val="0"/>
      <w:marTop w:val="0"/>
      <w:marBottom w:val="0"/>
      <w:divBdr>
        <w:top w:val="none" w:sz="0" w:space="0" w:color="auto"/>
        <w:left w:val="none" w:sz="0" w:space="0" w:color="auto"/>
        <w:bottom w:val="none" w:sz="0" w:space="0" w:color="auto"/>
        <w:right w:val="none" w:sz="0" w:space="0" w:color="auto"/>
      </w:divBdr>
    </w:div>
    <w:div w:id="374501692">
      <w:bodyDiv w:val="1"/>
      <w:marLeft w:val="0"/>
      <w:marRight w:val="0"/>
      <w:marTop w:val="0"/>
      <w:marBottom w:val="0"/>
      <w:divBdr>
        <w:top w:val="none" w:sz="0" w:space="0" w:color="auto"/>
        <w:left w:val="none" w:sz="0" w:space="0" w:color="auto"/>
        <w:bottom w:val="none" w:sz="0" w:space="0" w:color="auto"/>
        <w:right w:val="none" w:sz="0" w:space="0" w:color="auto"/>
      </w:divBdr>
    </w:div>
    <w:div w:id="384716070">
      <w:bodyDiv w:val="1"/>
      <w:marLeft w:val="0"/>
      <w:marRight w:val="0"/>
      <w:marTop w:val="0"/>
      <w:marBottom w:val="0"/>
      <w:divBdr>
        <w:top w:val="none" w:sz="0" w:space="0" w:color="auto"/>
        <w:left w:val="none" w:sz="0" w:space="0" w:color="auto"/>
        <w:bottom w:val="none" w:sz="0" w:space="0" w:color="auto"/>
        <w:right w:val="none" w:sz="0" w:space="0" w:color="auto"/>
      </w:divBdr>
    </w:div>
    <w:div w:id="495653877">
      <w:bodyDiv w:val="1"/>
      <w:marLeft w:val="0"/>
      <w:marRight w:val="0"/>
      <w:marTop w:val="0"/>
      <w:marBottom w:val="0"/>
      <w:divBdr>
        <w:top w:val="none" w:sz="0" w:space="0" w:color="auto"/>
        <w:left w:val="none" w:sz="0" w:space="0" w:color="auto"/>
        <w:bottom w:val="none" w:sz="0" w:space="0" w:color="auto"/>
        <w:right w:val="none" w:sz="0" w:space="0" w:color="auto"/>
      </w:divBdr>
      <w:divsChild>
        <w:div w:id="308899715">
          <w:marLeft w:val="0"/>
          <w:marRight w:val="0"/>
          <w:marTop w:val="0"/>
          <w:marBottom w:val="0"/>
          <w:divBdr>
            <w:top w:val="none" w:sz="0" w:space="0" w:color="auto"/>
            <w:left w:val="none" w:sz="0" w:space="0" w:color="auto"/>
            <w:bottom w:val="none" w:sz="0" w:space="0" w:color="auto"/>
            <w:right w:val="none" w:sz="0" w:space="0" w:color="auto"/>
          </w:divBdr>
        </w:div>
      </w:divsChild>
    </w:div>
    <w:div w:id="520051169">
      <w:bodyDiv w:val="1"/>
      <w:marLeft w:val="0"/>
      <w:marRight w:val="0"/>
      <w:marTop w:val="0"/>
      <w:marBottom w:val="0"/>
      <w:divBdr>
        <w:top w:val="none" w:sz="0" w:space="0" w:color="auto"/>
        <w:left w:val="none" w:sz="0" w:space="0" w:color="auto"/>
        <w:bottom w:val="none" w:sz="0" w:space="0" w:color="auto"/>
        <w:right w:val="none" w:sz="0" w:space="0" w:color="auto"/>
      </w:divBdr>
    </w:div>
    <w:div w:id="552430774">
      <w:bodyDiv w:val="1"/>
      <w:marLeft w:val="0"/>
      <w:marRight w:val="0"/>
      <w:marTop w:val="0"/>
      <w:marBottom w:val="0"/>
      <w:divBdr>
        <w:top w:val="none" w:sz="0" w:space="0" w:color="auto"/>
        <w:left w:val="none" w:sz="0" w:space="0" w:color="auto"/>
        <w:bottom w:val="none" w:sz="0" w:space="0" w:color="auto"/>
        <w:right w:val="none" w:sz="0" w:space="0" w:color="auto"/>
      </w:divBdr>
    </w:div>
    <w:div w:id="563880059">
      <w:bodyDiv w:val="1"/>
      <w:marLeft w:val="0"/>
      <w:marRight w:val="0"/>
      <w:marTop w:val="0"/>
      <w:marBottom w:val="0"/>
      <w:divBdr>
        <w:top w:val="none" w:sz="0" w:space="0" w:color="auto"/>
        <w:left w:val="none" w:sz="0" w:space="0" w:color="auto"/>
        <w:bottom w:val="none" w:sz="0" w:space="0" w:color="auto"/>
        <w:right w:val="none" w:sz="0" w:space="0" w:color="auto"/>
      </w:divBdr>
    </w:div>
    <w:div w:id="565074632">
      <w:bodyDiv w:val="1"/>
      <w:marLeft w:val="0"/>
      <w:marRight w:val="0"/>
      <w:marTop w:val="0"/>
      <w:marBottom w:val="0"/>
      <w:divBdr>
        <w:top w:val="none" w:sz="0" w:space="0" w:color="auto"/>
        <w:left w:val="none" w:sz="0" w:space="0" w:color="auto"/>
        <w:bottom w:val="none" w:sz="0" w:space="0" w:color="auto"/>
        <w:right w:val="none" w:sz="0" w:space="0" w:color="auto"/>
      </w:divBdr>
    </w:div>
    <w:div w:id="667292573">
      <w:bodyDiv w:val="1"/>
      <w:marLeft w:val="0"/>
      <w:marRight w:val="0"/>
      <w:marTop w:val="0"/>
      <w:marBottom w:val="0"/>
      <w:divBdr>
        <w:top w:val="none" w:sz="0" w:space="0" w:color="auto"/>
        <w:left w:val="none" w:sz="0" w:space="0" w:color="auto"/>
        <w:bottom w:val="none" w:sz="0" w:space="0" w:color="auto"/>
        <w:right w:val="none" w:sz="0" w:space="0" w:color="auto"/>
      </w:divBdr>
    </w:div>
    <w:div w:id="694773352">
      <w:bodyDiv w:val="1"/>
      <w:marLeft w:val="0"/>
      <w:marRight w:val="0"/>
      <w:marTop w:val="0"/>
      <w:marBottom w:val="0"/>
      <w:divBdr>
        <w:top w:val="none" w:sz="0" w:space="0" w:color="auto"/>
        <w:left w:val="none" w:sz="0" w:space="0" w:color="auto"/>
        <w:bottom w:val="none" w:sz="0" w:space="0" w:color="auto"/>
        <w:right w:val="none" w:sz="0" w:space="0" w:color="auto"/>
      </w:divBdr>
    </w:div>
    <w:div w:id="716855150">
      <w:bodyDiv w:val="1"/>
      <w:marLeft w:val="0"/>
      <w:marRight w:val="0"/>
      <w:marTop w:val="0"/>
      <w:marBottom w:val="0"/>
      <w:divBdr>
        <w:top w:val="none" w:sz="0" w:space="0" w:color="auto"/>
        <w:left w:val="none" w:sz="0" w:space="0" w:color="auto"/>
        <w:bottom w:val="none" w:sz="0" w:space="0" w:color="auto"/>
        <w:right w:val="none" w:sz="0" w:space="0" w:color="auto"/>
      </w:divBdr>
    </w:div>
    <w:div w:id="733311320">
      <w:bodyDiv w:val="1"/>
      <w:marLeft w:val="0"/>
      <w:marRight w:val="0"/>
      <w:marTop w:val="0"/>
      <w:marBottom w:val="0"/>
      <w:divBdr>
        <w:top w:val="none" w:sz="0" w:space="0" w:color="auto"/>
        <w:left w:val="none" w:sz="0" w:space="0" w:color="auto"/>
        <w:bottom w:val="none" w:sz="0" w:space="0" w:color="auto"/>
        <w:right w:val="none" w:sz="0" w:space="0" w:color="auto"/>
      </w:divBdr>
    </w:div>
    <w:div w:id="748650172">
      <w:bodyDiv w:val="1"/>
      <w:marLeft w:val="0"/>
      <w:marRight w:val="0"/>
      <w:marTop w:val="0"/>
      <w:marBottom w:val="0"/>
      <w:divBdr>
        <w:top w:val="none" w:sz="0" w:space="0" w:color="auto"/>
        <w:left w:val="none" w:sz="0" w:space="0" w:color="auto"/>
        <w:bottom w:val="none" w:sz="0" w:space="0" w:color="auto"/>
        <w:right w:val="none" w:sz="0" w:space="0" w:color="auto"/>
      </w:divBdr>
    </w:div>
    <w:div w:id="795223869">
      <w:bodyDiv w:val="1"/>
      <w:marLeft w:val="0"/>
      <w:marRight w:val="0"/>
      <w:marTop w:val="0"/>
      <w:marBottom w:val="0"/>
      <w:divBdr>
        <w:top w:val="none" w:sz="0" w:space="0" w:color="auto"/>
        <w:left w:val="none" w:sz="0" w:space="0" w:color="auto"/>
        <w:bottom w:val="none" w:sz="0" w:space="0" w:color="auto"/>
        <w:right w:val="none" w:sz="0" w:space="0" w:color="auto"/>
      </w:divBdr>
    </w:div>
    <w:div w:id="816216894">
      <w:bodyDiv w:val="1"/>
      <w:marLeft w:val="0"/>
      <w:marRight w:val="0"/>
      <w:marTop w:val="0"/>
      <w:marBottom w:val="0"/>
      <w:divBdr>
        <w:top w:val="none" w:sz="0" w:space="0" w:color="auto"/>
        <w:left w:val="none" w:sz="0" w:space="0" w:color="auto"/>
        <w:bottom w:val="none" w:sz="0" w:space="0" w:color="auto"/>
        <w:right w:val="none" w:sz="0" w:space="0" w:color="auto"/>
      </w:divBdr>
    </w:div>
    <w:div w:id="844855805">
      <w:bodyDiv w:val="1"/>
      <w:marLeft w:val="0"/>
      <w:marRight w:val="0"/>
      <w:marTop w:val="0"/>
      <w:marBottom w:val="0"/>
      <w:divBdr>
        <w:top w:val="none" w:sz="0" w:space="0" w:color="auto"/>
        <w:left w:val="none" w:sz="0" w:space="0" w:color="auto"/>
        <w:bottom w:val="none" w:sz="0" w:space="0" w:color="auto"/>
        <w:right w:val="none" w:sz="0" w:space="0" w:color="auto"/>
      </w:divBdr>
    </w:div>
    <w:div w:id="879517408">
      <w:bodyDiv w:val="1"/>
      <w:marLeft w:val="0"/>
      <w:marRight w:val="0"/>
      <w:marTop w:val="0"/>
      <w:marBottom w:val="0"/>
      <w:divBdr>
        <w:top w:val="none" w:sz="0" w:space="0" w:color="auto"/>
        <w:left w:val="none" w:sz="0" w:space="0" w:color="auto"/>
        <w:bottom w:val="none" w:sz="0" w:space="0" w:color="auto"/>
        <w:right w:val="none" w:sz="0" w:space="0" w:color="auto"/>
      </w:divBdr>
    </w:div>
    <w:div w:id="883835604">
      <w:bodyDiv w:val="1"/>
      <w:marLeft w:val="0"/>
      <w:marRight w:val="0"/>
      <w:marTop w:val="0"/>
      <w:marBottom w:val="0"/>
      <w:divBdr>
        <w:top w:val="none" w:sz="0" w:space="0" w:color="auto"/>
        <w:left w:val="none" w:sz="0" w:space="0" w:color="auto"/>
        <w:bottom w:val="none" w:sz="0" w:space="0" w:color="auto"/>
        <w:right w:val="none" w:sz="0" w:space="0" w:color="auto"/>
      </w:divBdr>
    </w:div>
    <w:div w:id="902645923">
      <w:bodyDiv w:val="1"/>
      <w:marLeft w:val="0"/>
      <w:marRight w:val="0"/>
      <w:marTop w:val="0"/>
      <w:marBottom w:val="0"/>
      <w:divBdr>
        <w:top w:val="none" w:sz="0" w:space="0" w:color="auto"/>
        <w:left w:val="none" w:sz="0" w:space="0" w:color="auto"/>
        <w:bottom w:val="none" w:sz="0" w:space="0" w:color="auto"/>
        <w:right w:val="none" w:sz="0" w:space="0" w:color="auto"/>
      </w:divBdr>
    </w:div>
    <w:div w:id="939140732">
      <w:bodyDiv w:val="1"/>
      <w:marLeft w:val="0"/>
      <w:marRight w:val="0"/>
      <w:marTop w:val="0"/>
      <w:marBottom w:val="0"/>
      <w:divBdr>
        <w:top w:val="none" w:sz="0" w:space="0" w:color="auto"/>
        <w:left w:val="none" w:sz="0" w:space="0" w:color="auto"/>
        <w:bottom w:val="none" w:sz="0" w:space="0" w:color="auto"/>
        <w:right w:val="none" w:sz="0" w:space="0" w:color="auto"/>
      </w:divBdr>
    </w:div>
    <w:div w:id="978802800">
      <w:bodyDiv w:val="1"/>
      <w:marLeft w:val="0"/>
      <w:marRight w:val="0"/>
      <w:marTop w:val="0"/>
      <w:marBottom w:val="0"/>
      <w:divBdr>
        <w:top w:val="none" w:sz="0" w:space="0" w:color="auto"/>
        <w:left w:val="none" w:sz="0" w:space="0" w:color="auto"/>
        <w:bottom w:val="none" w:sz="0" w:space="0" w:color="auto"/>
        <w:right w:val="none" w:sz="0" w:space="0" w:color="auto"/>
      </w:divBdr>
    </w:div>
    <w:div w:id="979306529">
      <w:bodyDiv w:val="1"/>
      <w:marLeft w:val="0"/>
      <w:marRight w:val="0"/>
      <w:marTop w:val="0"/>
      <w:marBottom w:val="0"/>
      <w:divBdr>
        <w:top w:val="none" w:sz="0" w:space="0" w:color="auto"/>
        <w:left w:val="none" w:sz="0" w:space="0" w:color="auto"/>
        <w:bottom w:val="none" w:sz="0" w:space="0" w:color="auto"/>
        <w:right w:val="none" w:sz="0" w:space="0" w:color="auto"/>
      </w:divBdr>
    </w:div>
    <w:div w:id="991829064">
      <w:bodyDiv w:val="1"/>
      <w:marLeft w:val="0"/>
      <w:marRight w:val="0"/>
      <w:marTop w:val="0"/>
      <w:marBottom w:val="0"/>
      <w:divBdr>
        <w:top w:val="none" w:sz="0" w:space="0" w:color="auto"/>
        <w:left w:val="none" w:sz="0" w:space="0" w:color="auto"/>
        <w:bottom w:val="none" w:sz="0" w:space="0" w:color="auto"/>
        <w:right w:val="none" w:sz="0" w:space="0" w:color="auto"/>
      </w:divBdr>
    </w:div>
    <w:div w:id="1020467871">
      <w:bodyDiv w:val="1"/>
      <w:marLeft w:val="0"/>
      <w:marRight w:val="0"/>
      <w:marTop w:val="0"/>
      <w:marBottom w:val="0"/>
      <w:divBdr>
        <w:top w:val="none" w:sz="0" w:space="0" w:color="auto"/>
        <w:left w:val="none" w:sz="0" w:space="0" w:color="auto"/>
        <w:bottom w:val="none" w:sz="0" w:space="0" w:color="auto"/>
        <w:right w:val="none" w:sz="0" w:space="0" w:color="auto"/>
      </w:divBdr>
    </w:div>
    <w:div w:id="1047988787">
      <w:bodyDiv w:val="1"/>
      <w:marLeft w:val="0"/>
      <w:marRight w:val="0"/>
      <w:marTop w:val="0"/>
      <w:marBottom w:val="0"/>
      <w:divBdr>
        <w:top w:val="none" w:sz="0" w:space="0" w:color="auto"/>
        <w:left w:val="none" w:sz="0" w:space="0" w:color="auto"/>
        <w:bottom w:val="none" w:sz="0" w:space="0" w:color="auto"/>
        <w:right w:val="none" w:sz="0" w:space="0" w:color="auto"/>
      </w:divBdr>
    </w:div>
    <w:div w:id="1087968941">
      <w:bodyDiv w:val="1"/>
      <w:marLeft w:val="0"/>
      <w:marRight w:val="0"/>
      <w:marTop w:val="0"/>
      <w:marBottom w:val="0"/>
      <w:divBdr>
        <w:top w:val="none" w:sz="0" w:space="0" w:color="auto"/>
        <w:left w:val="none" w:sz="0" w:space="0" w:color="auto"/>
        <w:bottom w:val="none" w:sz="0" w:space="0" w:color="auto"/>
        <w:right w:val="none" w:sz="0" w:space="0" w:color="auto"/>
      </w:divBdr>
    </w:div>
    <w:div w:id="1092360180">
      <w:bodyDiv w:val="1"/>
      <w:marLeft w:val="0"/>
      <w:marRight w:val="0"/>
      <w:marTop w:val="0"/>
      <w:marBottom w:val="0"/>
      <w:divBdr>
        <w:top w:val="none" w:sz="0" w:space="0" w:color="auto"/>
        <w:left w:val="none" w:sz="0" w:space="0" w:color="auto"/>
        <w:bottom w:val="none" w:sz="0" w:space="0" w:color="auto"/>
        <w:right w:val="none" w:sz="0" w:space="0" w:color="auto"/>
      </w:divBdr>
    </w:div>
    <w:div w:id="1108283034">
      <w:bodyDiv w:val="1"/>
      <w:marLeft w:val="0"/>
      <w:marRight w:val="0"/>
      <w:marTop w:val="0"/>
      <w:marBottom w:val="0"/>
      <w:divBdr>
        <w:top w:val="none" w:sz="0" w:space="0" w:color="auto"/>
        <w:left w:val="none" w:sz="0" w:space="0" w:color="auto"/>
        <w:bottom w:val="none" w:sz="0" w:space="0" w:color="auto"/>
        <w:right w:val="none" w:sz="0" w:space="0" w:color="auto"/>
      </w:divBdr>
    </w:div>
    <w:div w:id="1124033278">
      <w:bodyDiv w:val="1"/>
      <w:marLeft w:val="0"/>
      <w:marRight w:val="0"/>
      <w:marTop w:val="0"/>
      <w:marBottom w:val="0"/>
      <w:divBdr>
        <w:top w:val="none" w:sz="0" w:space="0" w:color="auto"/>
        <w:left w:val="none" w:sz="0" w:space="0" w:color="auto"/>
        <w:bottom w:val="none" w:sz="0" w:space="0" w:color="auto"/>
        <w:right w:val="none" w:sz="0" w:space="0" w:color="auto"/>
      </w:divBdr>
    </w:div>
    <w:div w:id="1170212621">
      <w:bodyDiv w:val="1"/>
      <w:marLeft w:val="0"/>
      <w:marRight w:val="0"/>
      <w:marTop w:val="0"/>
      <w:marBottom w:val="0"/>
      <w:divBdr>
        <w:top w:val="none" w:sz="0" w:space="0" w:color="auto"/>
        <w:left w:val="none" w:sz="0" w:space="0" w:color="auto"/>
        <w:bottom w:val="none" w:sz="0" w:space="0" w:color="auto"/>
        <w:right w:val="none" w:sz="0" w:space="0" w:color="auto"/>
      </w:divBdr>
    </w:div>
    <w:div w:id="1248073306">
      <w:bodyDiv w:val="1"/>
      <w:marLeft w:val="0"/>
      <w:marRight w:val="0"/>
      <w:marTop w:val="0"/>
      <w:marBottom w:val="0"/>
      <w:divBdr>
        <w:top w:val="none" w:sz="0" w:space="0" w:color="auto"/>
        <w:left w:val="none" w:sz="0" w:space="0" w:color="auto"/>
        <w:bottom w:val="none" w:sz="0" w:space="0" w:color="auto"/>
        <w:right w:val="none" w:sz="0" w:space="0" w:color="auto"/>
      </w:divBdr>
    </w:div>
    <w:div w:id="1273318045">
      <w:bodyDiv w:val="1"/>
      <w:marLeft w:val="0"/>
      <w:marRight w:val="0"/>
      <w:marTop w:val="0"/>
      <w:marBottom w:val="0"/>
      <w:divBdr>
        <w:top w:val="none" w:sz="0" w:space="0" w:color="auto"/>
        <w:left w:val="none" w:sz="0" w:space="0" w:color="auto"/>
        <w:bottom w:val="none" w:sz="0" w:space="0" w:color="auto"/>
        <w:right w:val="none" w:sz="0" w:space="0" w:color="auto"/>
      </w:divBdr>
    </w:div>
    <w:div w:id="1301572917">
      <w:bodyDiv w:val="1"/>
      <w:marLeft w:val="0"/>
      <w:marRight w:val="0"/>
      <w:marTop w:val="0"/>
      <w:marBottom w:val="0"/>
      <w:divBdr>
        <w:top w:val="none" w:sz="0" w:space="0" w:color="auto"/>
        <w:left w:val="none" w:sz="0" w:space="0" w:color="auto"/>
        <w:bottom w:val="none" w:sz="0" w:space="0" w:color="auto"/>
        <w:right w:val="none" w:sz="0" w:space="0" w:color="auto"/>
      </w:divBdr>
    </w:div>
    <w:div w:id="1326977951">
      <w:bodyDiv w:val="1"/>
      <w:marLeft w:val="0"/>
      <w:marRight w:val="0"/>
      <w:marTop w:val="0"/>
      <w:marBottom w:val="0"/>
      <w:divBdr>
        <w:top w:val="none" w:sz="0" w:space="0" w:color="auto"/>
        <w:left w:val="none" w:sz="0" w:space="0" w:color="auto"/>
        <w:bottom w:val="none" w:sz="0" w:space="0" w:color="auto"/>
        <w:right w:val="none" w:sz="0" w:space="0" w:color="auto"/>
      </w:divBdr>
    </w:div>
    <w:div w:id="1355499399">
      <w:bodyDiv w:val="1"/>
      <w:marLeft w:val="0"/>
      <w:marRight w:val="0"/>
      <w:marTop w:val="0"/>
      <w:marBottom w:val="0"/>
      <w:divBdr>
        <w:top w:val="none" w:sz="0" w:space="0" w:color="auto"/>
        <w:left w:val="none" w:sz="0" w:space="0" w:color="auto"/>
        <w:bottom w:val="none" w:sz="0" w:space="0" w:color="auto"/>
        <w:right w:val="none" w:sz="0" w:space="0" w:color="auto"/>
      </w:divBdr>
    </w:div>
    <w:div w:id="1462920090">
      <w:bodyDiv w:val="1"/>
      <w:marLeft w:val="0"/>
      <w:marRight w:val="0"/>
      <w:marTop w:val="0"/>
      <w:marBottom w:val="0"/>
      <w:divBdr>
        <w:top w:val="none" w:sz="0" w:space="0" w:color="auto"/>
        <w:left w:val="none" w:sz="0" w:space="0" w:color="auto"/>
        <w:bottom w:val="none" w:sz="0" w:space="0" w:color="auto"/>
        <w:right w:val="none" w:sz="0" w:space="0" w:color="auto"/>
      </w:divBdr>
    </w:div>
    <w:div w:id="1491559395">
      <w:bodyDiv w:val="1"/>
      <w:marLeft w:val="0"/>
      <w:marRight w:val="0"/>
      <w:marTop w:val="0"/>
      <w:marBottom w:val="0"/>
      <w:divBdr>
        <w:top w:val="none" w:sz="0" w:space="0" w:color="auto"/>
        <w:left w:val="none" w:sz="0" w:space="0" w:color="auto"/>
        <w:bottom w:val="none" w:sz="0" w:space="0" w:color="auto"/>
        <w:right w:val="none" w:sz="0" w:space="0" w:color="auto"/>
      </w:divBdr>
    </w:div>
    <w:div w:id="1523396199">
      <w:bodyDiv w:val="1"/>
      <w:marLeft w:val="0"/>
      <w:marRight w:val="0"/>
      <w:marTop w:val="0"/>
      <w:marBottom w:val="0"/>
      <w:divBdr>
        <w:top w:val="none" w:sz="0" w:space="0" w:color="auto"/>
        <w:left w:val="none" w:sz="0" w:space="0" w:color="auto"/>
        <w:bottom w:val="none" w:sz="0" w:space="0" w:color="auto"/>
        <w:right w:val="none" w:sz="0" w:space="0" w:color="auto"/>
      </w:divBdr>
    </w:div>
    <w:div w:id="1524514026">
      <w:bodyDiv w:val="1"/>
      <w:marLeft w:val="0"/>
      <w:marRight w:val="0"/>
      <w:marTop w:val="0"/>
      <w:marBottom w:val="0"/>
      <w:divBdr>
        <w:top w:val="none" w:sz="0" w:space="0" w:color="auto"/>
        <w:left w:val="none" w:sz="0" w:space="0" w:color="auto"/>
        <w:bottom w:val="none" w:sz="0" w:space="0" w:color="auto"/>
        <w:right w:val="none" w:sz="0" w:space="0" w:color="auto"/>
      </w:divBdr>
    </w:div>
    <w:div w:id="1593587816">
      <w:bodyDiv w:val="1"/>
      <w:marLeft w:val="0"/>
      <w:marRight w:val="0"/>
      <w:marTop w:val="0"/>
      <w:marBottom w:val="0"/>
      <w:divBdr>
        <w:top w:val="none" w:sz="0" w:space="0" w:color="auto"/>
        <w:left w:val="none" w:sz="0" w:space="0" w:color="auto"/>
        <w:bottom w:val="none" w:sz="0" w:space="0" w:color="auto"/>
        <w:right w:val="none" w:sz="0" w:space="0" w:color="auto"/>
      </w:divBdr>
    </w:div>
    <w:div w:id="1621033393">
      <w:bodyDiv w:val="1"/>
      <w:marLeft w:val="0"/>
      <w:marRight w:val="0"/>
      <w:marTop w:val="0"/>
      <w:marBottom w:val="0"/>
      <w:divBdr>
        <w:top w:val="none" w:sz="0" w:space="0" w:color="auto"/>
        <w:left w:val="none" w:sz="0" w:space="0" w:color="auto"/>
        <w:bottom w:val="none" w:sz="0" w:space="0" w:color="auto"/>
        <w:right w:val="none" w:sz="0" w:space="0" w:color="auto"/>
      </w:divBdr>
    </w:div>
    <w:div w:id="1624070313">
      <w:bodyDiv w:val="1"/>
      <w:marLeft w:val="0"/>
      <w:marRight w:val="0"/>
      <w:marTop w:val="0"/>
      <w:marBottom w:val="0"/>
      <w:divBdr>
        <w:top w:val="none" w:sz="0" w:space="0" w:color="auto"/>
        <w:left w:val="none" w:sz="0" w:space="0" w:color="auto"/>
        <w:bottom w:val="none" w:sz="0" w:space="0" w:color="auto"/>
        <w:right w:val="none" w:sz="0" w:space="0" w:color="auto"/>
      </w:divBdr>
    </w:div>
    <w:div w:id="1631549329">
      <w:bodyDiv w:val="1"/>
      <w:marLeft w:val="0"/>
      <w:marRight w:val="0"/>
      <w:marTop w:val="0"/>
      <w:marBottom w:val="0"/>
      <w:divBdr>
        <w:top w:val="none" w:sz="0" w:space="0" w:color="auto"/>
        <w:left w:val="none" w:sz="0" w:space="0" w:color="auto"/>
        <w:bottom w:val="none" w:sz="0" w:space="0" w:color="auto"/>
        <w:right w:val="none" w:sz="0" w:space="0" w:color="auto"/>
      </w:divBdr>
    </w:div>
    <w:div w:id="1632664272">
      <w:bodyDiv w:val="1"/>
      <w:marLeft w:val="0"/>
      <w:marRight w:val="0"/>
      <w:marTop w:val="0"/>
      <w:marBottom w:val="0"/>
      <w:divBdr>
        <w:top w:val="none" w:sz="0" w:space="0" w:color="auto"/>
        <w:left w:val="none" w:sz="0" w:space="0" w:color="auto"/>
        <w:bottom w:val="none" w:sz="0" w:space="0" w:color="auto"/>
        <w:right w:val="none" w:sz="0" w:space="0" w:color="auto"/>
      </w:divBdr>
    </w:div>
    <w:div w:id="1643077822">
      <w:bodyDiv w:val="1"/>
      <w:marLeft w:val="0"/>
      <w:marRight w:val="0"/>
      <w:marTop w:val="0"/>
      <w:marBottom w:val="0"/>
      <w:divBdr>
        <w:top w:val="none" w:sz="0" w:space="0" w:color="auto"/>
        <w:left w:val="none" w:sz="0" w:space="0" w:color="auto"/>
        <w:bottom w:val="none" w:sz="0" w:space="0" w:color="auto"/>
        <w:right w:val="none" w:sz="0" w:space="0" w:color="auto"/>
      </w:divBdr>
    </w:div>
    <w:div w:id="1671985442">
      <w:bodyDiv w:val="1"/>
      <w:marLeft w:val="0"/>
      <w:marRight w:val="0"/>
      <w:marTop w:val="0"/>
      <w:marBottom w:val="0"/>
      <w:divBdr>
        <w:top w:val="none" w:sz="0" w:space="0" w:color="auto"/>
        <w:left w:val="none" w:sz="0" w:space="0" w:color="auto"/>
        <w:bottom w:val="none" w:sz="0" w:space="0" w:color="auto"/>
        <w:right w:val="none" w:sz="0" w:space="0" w:color="auto"/>
      </w:divBdr>
    </w:div>
    <w:div w:id="1755471568">
      <w:bodyDiv w:val="1"/>
      <w:marLeft w:val="0"/>
      <w:marRight w:val="0"/>
      <w:marTop w:val="0"/>
      <w:marBottom w:val="0"/>
      <w:divBdr>
        <w:top w:val="none" w:sz="0" w:space="0" w:color="auto"/>
        <w:left w:val="none" w:sz="0" w:space="0" w:color="auto"/>
        <w:bottom w:val="none" w:sz="0" w:space="0" w:color="auto"/>
        <w:right w:val="none" w:sz="0" w:space="0" w:color="auto"/>
      </w:divBdr>
    </w:div>
    <w:div w:id="1819110613">
      <w:bodyDiv w:val="1"/>
      <w:marLeft w:val="0"/>
      <w:marRight w:val="0"/>
      <w:marTop w:val="0"/>
      <w:marBottom w:val="0"/>
      <w:divBdr>
        <w:top w:val="none" w:sz="0" w:space="0" w:color="auto"/>
        <w:left w:val="none" w:sz="0" w:space="0" w:color="auto"/>
        <w:bottom w:val="none" w:sz="0" w:space="0" w:color="auto"/>
        <w:right w:val="none" w:sz="0" w:space="0" w:color="auto"/>
      </w:divBdr>
    </w:div>
    <w:div w:id="1870951449">
      <w:bodyDiv w:val="1"/>
      <w:marLeft w:val="0"/>
      <w:marRight w:val="0"/>
      <w:marTop w:val="0"/>
      <w:marBottom w:val="0"/>
      <w:divBdr>
        <w:top w:val="none" w:sz="0" w:space="0" w:color="auto"/>
        <w:left w:val="none" w:sz="0" w:space="0" w:color="auto"/>
        <w:bottom w:val="none" w:sz="0" w:space="0" w:color="auto"/>
        <w:right w:val="none" w:sz="0" w:space="0" w:color="auto"/>
      </w:divBdr>
    </w:div>
    <w:div w:id="1926766530">
      <w:bodyDiv w:val="1"/>
      <w:marLeft w:val="0"/>
      <w:marRight w:val="0"/>
      <w:marTop w:val="0"/>
      <w:marBottom w:val="0"/>
      <w:divBdr>
        <w:top w:val="none" w:sz="0" w:space="0" w:color="auto"/>
        <w:left w:val="none" w:sz="0" w:space="0" w:color="auto"/>
        <w:bottom w:val="none" w:sz="0" w:space="0" w:color="auto"/>
        <w:right w:val="none" w:sz="0" w:space="0" w:color="auto"/>
      </w:divBdr>
    </w:div>
    <w:div w:id="1953123705">
      <w:bodyDiv w:val="1"/>
      <w:marLeft w:val="0"/>
      <w:marRight w:val="0"/>
      <w:marTop w:val="0"/>
      <w:marBottom w:val="0"/>
      <w:divBdr>
        <w:top w:val="none" w:sz="0" w:space="0" w:color="auto"/>
        <w:left w:val="none" w:sz="0" w:space="0" w:color="auto"/>
        <w:bottom w:val="none" w:sz="0" w:space="0" w:color="auto"/>
        <w:right w:val="none" w:sz="0" w:space="0" w:color="auto"/>
      </w:divBdr>
    </w:div>
    <w:div w:id="1960455266">
      <w:bodyDiv w:val="1"/>
      <w:marLeft w:val="0"/>
      <w:marRight w:val="0"/>
      <w:marTop w:val="0"/>
      <w:marBottom w:val="0"/>
      <w:divBdr>
        <w:top w:val="none" w:sz="0" w:space="0" w:color="auto"/>
        <w:left w:val="none" w:sz="0" w:space="0" w:color="auto"/>
        <w:bottom w:val="none" w:sz="0" w:space="0" w:color="auto"/>
        <w:right w:val="none" w:sz="0" w:space="0" w:color="auto"/>
      </w:divBdr>
    </w:div>
    <w:div w:id="1992516654">
      <w:bodyDiv w:val="1"/>
      <w:marLeft w:val="0"/>
      <w:marRight w:val="0"/>
      <w:marTop w:val="0"/>
      <w:marBottom w:val="0"/>
      <w:divBdr>
        <w:top w:val="none" w:sz="0" w:space="0" w:color="auto"/>
        <w:left w:val="none" w:sz="0" w:space="0" w:color="auto"/>
        <w:bottom w:val="none" w:sz="0" w:space="0" w:color="auto"/>
        <w:right w:val="none" w:sz="0" w:space="0" w:color="auto"/>
      </w:divBdr>
    </w:div>
    <w:div w:id="2066100792">
      <w:bodyDiv w:val="1"/>
      <w:marLeft w:val="0"/>
      <w:marRight w:val="0"/>
      <w:marTop w:val="0"/>
      <w:marBottom w:val="0"/>
      <w:divBdr>
        <w:top w:val="none" w:sz="0" w:space="0" w:color="auto"/>
        <w:left w:val="none" w:sz="0" w:space="0" w:color="auto"/>
        <w:bottom w:val="none" w:sz="0" w:space="0" w:color="auto"/>
        <w:right w:val="none" w:sz="0" w:space="0" w:color="auto"/>
      </w:divBdr>
    </w:div>
    <w:div w:id="2108571345">
      <w:bodyDiv w:val="1"/>
      <w:marLeft w:val="0"/>
      <w:marRight w:val="0"/>
      <w:marTop w:val="0"/>
      <w:marBottom w:val="0"/>
      <w:divBdr>
        <w:top w:val="none" w:sz="0" w:space="0" w:color="auto"/>
        <w:left w:val="none" w:sz="0" w:space="0" w:color="auto"/>
        <w:bottom w:val="none" w:sz="0" w:space="0" w:color="auto"/>
        <w:right w:val="none" w:sz="0" w:space="0" w:color="auto"/>
      </w:divBdr>
    </w:div>
    <w:div w:id="21117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onia.konstantinidi.1@citystgeorges.ac.uk"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y.golubov@rotman.utoronto.ca"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people.stern.nyu.edu/jwurgler/" TargetMode="External"/><Relationship Id="rId1" Type="http://schemas.openxmlformats.org/officeDocument/2006/relationships/hyperlink" Target="http://mba.tuck.dartmouth.edu/pages/faculty/ken.french/data_library.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Dropbox\Andrey%20Golubov%20PhD\Valuation%20uncertainty\Accounting%20rewrite\TAR%20submission\2nd%20round\Graphs_100_revis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949559189716674E-2"/>
          <c:y val="0.13850004131792371"/>
          <c:w val="0.87332979146629519"/>
          <c:h val="0.70933426139412126"/>
        </c:manualLayout>
      </c:layout>
      <c:scatterChart>
        <c:scatterStyle val="smoothMarker"/>
        <c:varyColors val="0"/>
        <c:ser>
          <c:idx val="14"/>
          <c:order val="0"/>
          <c:tx>
            <c:strRef>
              <c:f>Sheet1!$B$6</c:f>
              <c:strCache>
                <c:ptCount val="1"/>
                <c:pt idx="0">
                  <c:v>York Water Co.</c:v>
                </c:pt>
              </c:strCache>
              <c:extLst xmlns:c15="http://schemas.microsoft.com/office/drawing/2012/chart"/>
            </c:strRef>
          </c:tx>
          <c:spPr>
            <a:ln w="25400" cap="rnd" cmpd="tri">
              <a:solidFill>
                <a:srgbClr val="FF0000"/>
              </a:solidFill>
              <a:round/>
            </a:ln>
            <a:effectLst/>
          </c:spPr>
          <c:marker>
            <c:symbol val="none"/>
          </c:marker>
          <c:xVal>
            <c:numRef>
              <c:f>Sheet1!$C$6:$M$6</c:f>
              <c:numCache>
                <c:formatCode>General</c:formatCode>
                <c:ptCount val="11"/>
                <c:pt idx="1">
                  <c:v>5.7999615123487143</c:v>
                </c:pt>
                <c:pt idx="2">
                  <c:v>5.751894862202815</c:v>
                </c:pt>
                <c:pt idx="3">
                  <c:v>5.9126409403829863</c:v>
                </c:pt>
                <c:pt idx="4">
                  <c:v>5.965646135894084</c:v>
                </c:pt>
                <c:pt idx="5">
                  <c:v>6.0459038765584738</c:v>
                </c:pt>
                <c:pt idx="6">
                  <c:v>6.2760624703948515</c:v>
                </c:pt>
                <c:pt idx="7">
                  <c:v>6.4442013817455965</c:v>
                </c:pt>
                <c:pt idx="8">
                  <c:v>6.7261035408095946</c:v>
                </c:pt>
                <c:pt idx="9">
                  <c:v>6.9143269273222208</c:v>
                </c:pt>
              </c:numCache>
              <c:extLst xmlns:c15="http://schemas.microsoft.com/office/drawing/2012/chart"/>
            </c:numRef>
          </c:xVal>
          <c:yVal>
            <c:numRef>
              <c:f>Sheet1!$C$9:$M$9</c:f>
              <c:numCache>
                <c:formatCode>General</c:formatCode>
                <c:ptCount val="11"/>
                <c:pt idx="1">
                  <c:v>0.05</c:v>
                </c:pt>
                <c:pt idx="2">
                  <c:v>0.125</c:v>
                </c:pt>
                <c:pt idx="3">
                  <c:v>0.25</c:v>
                </c:pt>
                <c:pt idx="4">
                  <c:v>0.375</c:v>
                </c:pt>
                <c:pt idx="5">
                  <c:v>0.5</c:v>
                </c:pt>
                <c:pt idx="6">
                  <c:v>0.375</c:v>
                </c:pt>
                <c:pt idx="7">
                  <c:v>0.25</c:v>
                </c:pt>
                <c:pt idx="8">
                  <c:v>0.125</c:v>
                </c:pt>
                <c:pt idx="9">
                  <c:v>0.05</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0-1C45-4BD4-A921-3B0F0E2FD65D}"/>
            </c:ext>
          </c:extLst>
        </c:ser>
        <c:ser>
          <c:idx val="6"/>
          <c:order val="1"/>
          <c:tx>
            <c:strRef>
              <c:f>Sheet1!$B$8</c:f>
              <c:strCache>
                <c:ptCount val="1"/>
                <c:pt idx="0">
                  <c:v>Timken Co.</c:v>
                </c:pt>
              </c:strCache>
            </c:strRef>
          </c:tx>
          <c:spPr>
            <a:ln w="25400" cap="rnd" cmpd="tri">
              <a:solidFill>
                <a:schemeClr val="accent5">
                  <a:lumMod val="50000"/>
                </a:schemeClr>
              </a:solidFill>
              <a:round/>
            </a:ln>
            <a:effectLst/>
          </c:spPr>
          <c:marker>
            <c:symbol val="none"/>
          </c:marker>
          <c:xVal>
            <c:numRef>
              <c:f>Sheet1!$C$8:$M$8</c:f>
              <c:numCache>
                <c:formatCode>General</c:formatCode>
                <c:ptCount val="11"/>
                <c:pt idx="1">
                  <c:v>7.8300420192160471</c:v>
                </c:pt>
                <c:pt idx="2">
                  <c:v>8.148796201675319</c:v>
                </c:pt>
                <c:pt idx="3">
                  <c:v>8.3605676380476606</c:v>
                </c:pt>
                <c:pt idx="4">
                  <c:v>8.5896947078964434</c:v>
                </c:pt>
                <c:pt idx="5">
                  <c:v>8.7414219824447486</c:v>
                </c:pt>
                <c:pt idx="6">
                  <c:v>8.8675878545712656</c:v>
                </c:pt>
                <c:pt idx="7">
                  <c:v>9.1248572306030447</c:v>
                </c:pt>
                <c:pt idx="8">
                  <c:v>9.3437722040197144</c:v>
                </c:pt>
                <c:pt idx="9">
                  <c:v>9.7705915163156867</c:v>
                </c:pt>
              </c:numCache>
            </c:numRef>
          </c:xVal>
          <c:yVal>
            <c:numRef>
              <c:f>Sheet1!$C$9:$M$9</c:f>
              <c:numCache>
                <c:formatCode>General</c:formatCode>
                <c:ptCount val="11"/>
                <c:pt idx="1">
                  <c:v>0.05</c:v>
                </c:pt>
                <c:pt idx="2">
                  <c:v>0.125</c:v>
                </c:pt>
                <c:pt idx="3">
                  <c:v>0.25</c:v>
                </c:pt>
                <c:pt idx="4">
                  <c:v>0.375</c:v>
                </c:pt>
                <c:pt idx="5">
                  <c:v>0.5</c:v>
                </c:pt>
                <c:pt idx="6">
                  <c:v>0.375</c:v>
                </c:pt>
                <c:pt idx="7">
                  <c:v>0.25</c:v>
                </c:pt>
                <c:pt idx="8">
                  <c:v>0.125</c:v>
                </c:pt>
                <c:pt idx="9">
                  <c:v>0.05</c:v>
                </c:pt>
              </c:numCache>
            </c:numRef>
          </c:yVal>
          <c:smooth val="1"/>
          <c:extLst>
            <c:ext xmlns:c16="http://schemas.microsoft.com/office/drawing/2014/chart" uri="{C3380CC4-5D6E-409C-BE32-E72D297353CC}">
              <c16:uniqueId val="{00000001-1C45-4BD4-A921-3B0F0E2FD65D}"/>
            </c:ext>
          </c:extLst>
        </c:ser>
        <c:ser>
          <c:idx val="16"/>
          <c:order val="2"/>
          <c:tx>
            <c:strRef>
              <c:f>Sheet1!$B$4</c:f>
              <c:strCache>
                <c:ptCount val="1"/>
                <c:pt idx="0">
                  <c:v>Nvidia Corp.</c:v>
                </c:pt>
              </c:strCache>
              <c:extLst xmlns:c15="http://schemas.microsoft.com/office/drawing/2012/chart"/>
            </c:strRef>
          </c:tx>
          <c:spPr>
            <a:ln w="25400" cap="rnd" cmpd="tri">
              <a:solidFill>
                <a:schemeClr val="accent6">
                  <a:lumMod val="50000"/>
                </a:schemeClr>
              </a:solidFill>
              <a:round/>
            </a:ln>
            <a:effectLst/>
          </c:spPr>
          <c:marker>
            <c:symbol val="none"/>
          </c:marker>
          <c:xVal>
            <c:numRef>
              <c:f>Sheet1!$C$4:$M$4</c:f>
              <c:numCache>
                <c:formatCode>General</c:formatCode>
                <c:ptCount val="11"/>
                <c:pt idx="1">
                  <c:v>10.636222666578645</c:v>
                </c:pt>
                <c:pt idx="2">
                  <c:v>11.291307242879906</c:v>
                </c:pt>
                <c:pt idx="3">
                  <c:v>11.467238808924339</c:v>
                </c:pt>
                <c:pt idx="4">
                  <c:v>11.821139151440487</c:v>
                </c:pt>
                <c:pt idx="5">
                  <c:v>11.998444916033456</c:v>
                </c:pt>
                <c:pt idx="6">
                  <c:v>12.386188277005528</c:v>
                </c:pt>
                <c:pt idx="7">
                  <c:v>12.610105706399976</c:v>
                </c:pt>
                <c:pt idx="8">
                  <c:v>12.949734200959231</c:v>
                </c:pt>
                <c:pt idx="9">
                  <c:v>13.606035559966845</c:v>
                </c:pt>
              </c:numCache>
              <c:extLst xmlns:c15="http://schemas.microsoft.com/office/drawing/2012/chart"/>
            </c:numRef>
          </c:xVal>
          <c:yVal>
            <c:numRef>
              <c:f>Sheet1!$C$9:$M$9</c:f>
              <c:numCache>
                <c:formatCode>General</c:formatCode>
                <c:ptCount val="11"/>
                <c:pt idx="1">
                  <c:v>0.05</c:v>
                </c:pt>
                <c:pt idx="2">
                  <c:v>0.125</c:v>
                </c:pt>
                <c:pt idx="3">
                  <c:v>0.25</c:v>
                </c:pt>
                <c:pt idx="4">
                  <c:v>0.375</c:v>
                </c:pt>
                <c:pt idx="5">
                  <c:v>0.5</c:v>
                </c:pt>
                <c:pt idx="6">
                  <c:v>0.375</c:v>
                </c:pt>
                <c:pt idx="7">
                  <c:v>0.25</c:v>
                </c:pt>
                <c:pt idx="8">
                  <c:v>0.125</c:v>
                </c:pt>
                <c:pt idx="9">
                  <c:v>0.05</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2-1C45-4BD4-A921-3B0F0E2FD65D}"/>
            </c:ext>
          </c:extLst>
        </c:ser>
        <c:ser>
          <c:idx val="18"/>
          <c:order val="3"/>
          <c:tx>
            <c:strRef>
              <c:f>Sheet1!$B$3</c:f>
              <c:strCache>
                <c:ptCount val="1"/>
                <c:pt idx="0">
                  <c:v>Nvidia IQR</c:v>
                </c:pt>
              </c:strCache>
              <c:extLst xmlns:c15="http://schemas.microsoft.com/office/drawing/2012/chart"/>
            </c:strRef>
          </c:tx>
          <c:spPr>
            <a:ln w="12700" cap="rnd">
              <a:solidFill>
                <a:schemeClr val="accent6">
                  <a:lumMod val="75000"/>
                  <a:alpha val="80000"/>
                </a:schemeClr>
              </a:solidFill>
              <a:prstDash val="sysDot"/>
              <a:round/>
            </a:ln>
            <a:effectLst/>
          </c:spPr>
          <c:marker>
            <c:symbol val="none"/>
          </c:marker>
          <c:xVal>
            <c:numRef>
              <c:f>Sheet1!$C$3:$M$3</c:f>
              <c:numCache>
                <c:formatCode>General</c:formatCode>
                <c:ptCount val="11"/>
                <c:pt idx="1">
                  <c:v>11.467238808924339</c:v>
                </c:pt>
                <c:pt idx="2">
                  <c:v>11.467238808924339</c:v>
                </c:pt>
                <c:pt idx="3">
                  <c:v>11.467238808924339</c:v>
                </c:pt>
                <c:pt idx="7">
                  <c:v>12.610105706399976</c:v>
                </c:pt>
                <c:pt idx="8">
                  <c:v>12.610105706399976</c:v>
                </c:pt>
                <c:pt idx="9">
                  <c:v>12.610105706399976</c:v>
                </c:pt>
              </c:numCache>
              <c:extLst xmlns:c15="http://schemas.microsoft.com/office/drawing/2012/chart"/>
            </c:numRef>
          </c:xVal>
          <c:yVal>
            <c:numRef>
              <c:f>Sheet1!$C$9:$M$9</c:f>
              <c:numCache>
                <c:formatCode>General</c:formatCode>
                <c:ptCount val="11"/>
                <c:pt idx="1">
                  <c:v>0.05</c:v>
                </c:pt>
                <c:pt idx="2">
                  <c:v>0.125</c:v>
                </c:pt>
                <c:pt idx="3">
                  <c:v>0.25</c:v>
                </c:pt>
                <c:pt idx="4">
                  <c:v>0.375</c:v>
                </c:pt>
                <c:pt idx="5">
                  <c:v>0.5</c:v>
                </c:pt>
                <c:pt idx="6">
                  <c:v>0.375</c:v>
                </c:pt>
                <c:pt idx="7">
                  <c:v>0.25</c:v>
                </c:pt>
                <c:pt idx="8">
                  <c:v>0.125</c:v>
                </c:pt>
                <c:pt idx="9">
                  <c:v>0.05</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3-1C45-4BD4-A921-3B0F0E2FD65D}"/>
            </c:ext>
          </c:extLst>
        </c:ser>
        <c:ser>
          <c:idx val="19"/>
          <c:order val="4"/>
          <c:tx>
            <c:strRef>
              <c:f>Sheet1!$B$7</c:f>
              <c:strCache>
                <c:ptCount val="1"/>
                <c:pt idx="0">
                  <c:v>Timken IQR</c:v>
                </c:pt>
              </c:strCache>
            </c:strRef>
          </c:tx>
          <c:spPr>
            <a:ln w="12700" cap="rnd">
              <a:solidFill>
                <a:schemeClr val="accent1">
                  <a:lumMod val="75000"/>
                  <a:alpha val="75000"/>
                </a:schemeClr>
              </a:solidFill>
              <a:prstDash val="sysDot"/>
              <a:round/>
            </a:ln>
            <a:effectLst/>
          </c:spPr>
          <c:marker>
            <c:symbol val="none"/>
          </c:marker>
          <c:xVal>
            <c:numRef>
              <c:f>Sheet1!$C$7:$M$7</c:f>
              <c:numCache>
                <c:formatCode>General</c:formatCode>
                <c:ptCount val="11"/>
                <c:pt idx="1">
                  <c:v>8.3605676380476606</c:v>
                </c:pt>
                <c:pt idx="2">
                  <c:v>8.3605676380476606</c:v>
                </c:pt>
                <c:pt idx="3">
                  <c:v>8.3605676380476606</c:v>
                </c:pt>
                <c:pt idx="7">
                  <c:v>9.1248572306030447</c:v>
                </c:pt>
                <c:pt idx="8">
                  <c:v>9.1248572306030447</c:v>
                </c:pt>
                <c:pt idx="9">
                  <c:v>9.1248572306030447</c:v>
                </c:pt>
              </c:numCache>
            </c:numRef>
          </c:xVal>
          <c:yVal>
            <c:numRef>
              <c:f>Sheet1!$C$9:$M$9</c:f>
              <c:numCache>
                <c:formatCode>General</c:formatCode>
                <c:ptCount val="11"/>
                <c:pt idx="1">
                  <c:v>0.05</c:v>
                </c:pt>
                <c:pt idx="2">
                  <c:v>0.125</c:v>
                </c:pt>
                <c:pt idx="3">
                  <c:v>0.25</c:v>
                </c:pt>
                <c:pt idx="4">
                  <c:v>0.375</c:v>
                </c:pt>
                <c:pt idx="5">
                  <c:v>0.5</c:v>
                </c:pt>
                <c:pt idx="6">
                  <c:v>0.375</c:v>
                </c:pt>
                <c:pt idx="7">
                  <c:v>0.25</c:v>
                </c:pt>
                <c:pt idx="8">
                  <c:v>0.125</c:v>
                </c:pt>
                <c:pt idx="9">
                  <c:v>0.05</c:v>
                </c:pt>
              </c:numCache>
            </c:numRef>
          </c:yVal>
          <c:smooth val="1"/>
          <c:extLst>
            <c:ext xmlns:c16="http://schemas.microsoft.com/office/drawing/2014/chart" uri="{C3380CC4-5D6E-409C-BE32-E72D297353CC}">
              <c16:uniqueId val="{00000004-1C45-4BD4-A921-3B0F0E2FD65D}"/>
            </c:ext>
          </c:extLst>
        </c:ser>
        <c:ser>
          <c:idx val="21"/>
          <c:order val="5"/>
          <c:tx>
            <c:strRef>
              <c:f>Sheet1!$B$5</c:f>
              <c:strCache>
                <c:ptCount val="1"/>
                <c:pt idx="0">
                  <c:v>York Water IQR</c:v>
                </c:pt>
              </c:strCache>
              <c:extLst xmlns:c15="http://schemas.microsoft.com/office/drawing/2012/chart"/>
            </c:strRef>
          </c:tx>
          <c:spPr>
            <a:ln w="12700" cap="rnd">
              <a:solidFill>
                <a:srgbClr val="FF0000">
                  <a:alpha val="75000"/>
                </a:srgbClr>
              </a:solidFill>
              <a:prstDash val="sysDot"/>
              <a:round/>
            </a:ln>
            <a:effectLst/>
          </c:spPr>
          <c:marker>
            <c:symbol val="none"/>
          </c:marker>
          <c:dLbls>
            <c:dLbl>
              <c:idx val="7"/>
              <c:layout>
                <c:manualLayout>
                  <c:x val="2.3880562847824856E-2"/>
                  <c:y val="-9.5524365479296713E-2"/>
                </c:manualLayout>
              </c:layout>
              <c:tx>
                <c:rich>
                  <a:bodyPr rot="0" spcFirstLastPara="1" vertOverflow="clip" horzOverflow="clip" vert="horz" wrap="square" lIns="38100" tIns="19050" rIns="38100" bIns="19050" anchor="ctr" anchorCtr="0">
                    <a:spAutoFit/>
                  </a:bodyPr>
                  <a:lstStyle/>
                  <a:p>
                    <a:pPr algn="ct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i="1" u="none" strike="noStrike" kern="1200" baseline="0">
                        <a:solidFill>
                          <a:sysClr val="windowText" lastClr="000000"/>
                        </a:solidFill>
                        <a:latin typeface="Times New Roman" panose="02020603050405020304" pitchFamily="18" charset="0"/>
                        <a:cs typeface="Times New Roman" panose="02020603050405020304" pitchFamily="18" charset="0"/>
                      </a:rPr>
                      <a:t>q</a:t>
                    </a:r>
                    <a:r>
                      <a:rPr lang="en-US" sz="900" b="0" i="1" u="none" strike="noStrike" kern="1200" baseline="-25000">
                        <a:solidFill>
                          <a:sysClr val="windowText" lastClr="000000"/>
                        </a:solidFill>
                        <a:latin typeface="Times New Roman" panose="02020603050405020304" pitchFamily="18" charset="0"/>
                        <a:cs typeface="Times New Roman" panose="02020603050405020304" pitchFamily="18" charset="0"/>
                      </a:rPr>
                      <a:t>75</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a:t>
                    </a:r>
                    <a:r>
                      <a:rPr lang="en-US" sz="900" b="0" i="0" u="none" strike="noStrike" kern="1200" baseline="0">
                        <a:solidFill>
                          <a:sysClr val="windowText" lastClr="000000"/>
                        </a:solidFill>
                        <a:effectLst/>
                        <a:latin typeface="Times New Roman" panose="02020603050405020304" pitchFamily="18" charset="0"/>
                        <a:cs typeface="Times New Roman" panose="02020603050405020304" pitchFamily="18" charset="0"/>
                      </a:rPr>
                      <a:t>–</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a:t>
                    </a:r>
                    <a:r>
                      <a:rPr lang="en-US" sz="900" b="0" i="1" u="none" strike="noStrike" kern="1200" baseline="0">
                        <a:solidFill>
                          <a:sysClr val="windowText" lastClr="000000"/>
                        </a:solidFill>
                        <a:latin typeface="Times New Roman" panose="02020603050405020304" pitchFamily="18" charset="0"/>
                        <a:cs typeface="Times New Roman" panose="02020603050405020304" pitchFamily="18" charset="0"/>
                      </a:rPr>
                      <a:t>q</a:t>
                    </a:r>
                    <a:r>
                      <a:rPr lang="en-US" sz="900" b="0" i="1" u="none" strike="noStrike" kern="1200" baseline="-25000">
                        <a:solidFill>
                          <a:sysClr val="windowText" lastClr="000000"/>
                        </a:solidFill>
                        <a:latin typeface="Times New Roman" panose="02020603050405020304" pitchFamily="18" charset="0"/>
                        <a:cs typeface="Times New Roman" panose="02020603050405020304" pitchFamily="18" charset="0"/>
                      </a:rPr>
                      <a:t>25</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 0.53</a:t>
                    </a:r>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gd name="adj1" fmla="val -100392"/>
                        <a:gd name="adj2" fmla="val 175163"/>
                      </a:avLst>
                    </a:prstGeom>
                    <a:noFill/>
                    <a:ln>
                      <a:noFill/>
                    </a:ln>
                  </c15:spPr>
                  <c15:showDataLabelsRange val="0"/>
                </c:ext>
                <c:ext xmlns:c16="http://schemas.microsoft.com/office/drawing/2014/chart" uri="{C3380CC4-5D6E-409C-BE32-E72D297353CC}">
                  <c16:uniqueId val="{00000005-1C45-4BD4-A921-3B0F0E2FD65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0">
                <a:spAutoFit/>
              </a:bodyPr>
              <a:lstStyle/>
              <a:p>
                <a:pPr algn="ct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Sheet1!$C$5:$M$5</c:f>
              <c:numCache>
                <c:formatCode>General</c:formatCode>
                <c:ptCount val="11"/>
                <c:pt idx="1">
                  <c:v>5.9126409403829863</c:v>
                </c:pt>
                <c:pt idx="2">
                  <c:v>5.9126409403829863</c:v>
                </c:pt>
                <c:pt idx="3">
                  <c:v>5.9126409403829863</c:v>
                </c:pt>
                <c:pt idx="7">
                  <c:v>6.4442013817455965</c:v>
                </c:pt>
                <c:pt idx="8">
                  <c:v>6.4442013817455965</c:v>
                </c:pt>
                <c:pt idx="9">
                  <c:v>6.4442013817455965</c:v>
                </c:pt>
              </c:numCache>
              <c:extLst xmlns:c15="http://schemas.microsoft.com/office/drawing/2012/chart"/>
            </c:numRef>
          </c:xVal>
          <c:yVal>
            <c:numRef>
              <c:f>Sheet1!$C$9:$M$9</c:f>
              <c:numCache>
                <c:formatCode>General</c:formatCode>
                <c:ptCount val="11"/>
                <c:pt idx="1">
                  <c:v>0.05</c:v>
                </c:pt>
                <c:pt idx="2">
                  <c:v>0.125</c:v>
                </c:pt>
                <c:pt idx="3">
                  <c:v>0.25</c:v>
                </c:pt>
                <c:pt idx="4">
                  <c:v>0.375</c:v>
                </c:pt>
                <c:pt idx="5">
                  <c:v>0.5</c:v>
                </c:pt>
                <c:pt idx="6">
                  <c:v>0.375</c:v>
                </c:pt>
                <c:pt idx="7">
                  <c:v>0.25</c:v>
                </c:pt>
                <c:pt idx="8">
                  <c:v>0.125</c:v>
                </c:pt>
                <c:pt idx="9">
                  <c:v>0.05</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6-1C45-4BD4-A921-3B0F0E2FD65D}"/>
            </c:ext>
          </c:extLst>
        </c:ser>
        <c:ser>
          <c:idx val="17"/>
          <c:order val="6"/>
          <c:tx>
            <c:v>Nvidia line</c:v>
          </c:tx>
          <c:spPr>
            <a:ln w="12700" cap="rnd">
              <a:solidFill>
                <a:schemeClr val="accent6">
                  <a:lumMod val="75000"/>
                </a:schemeClr>
              </a:solidFill>
              <a:round/>
              <a:headEnd type="triangle" w="sm" len="sm"/>
              <a:tailEnd type="triangle" w="sm" len="sm"/>
            </a:ln>
            <a:effectLst/>
          </c:spPr>
          <c:marker>
            <c:symbol val="none"/>
          </c:marker>
          <c:dLbls>
            <c:dLbl>
              <c:idx val="0"/>
              <c:layout>
                <c:manualLayout>
                  <c:x val="9.6143044342616849E-2"/>
                  <c:y val="-0.17084639358794088"/>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i="1" u="none" strike="noStrike" kern="1200" baseline="0">
                        <a:solidFill>
                          <a:sysClr val="windowText" lastClr="000000"/>
                        </a:solidFill>
                        <a:latin typeface="Times New Roman" panose="02020603050405020304" pitchFamily="18" charset="0"/>
                        <a:cs typeface="Times New Roman" panose="02020603050405020304" pitchFamily="18" charset="0"/>
                      </a:rPr>
                      <a:t>q</a:t>
                    </a:r>
                    <a:r>
                      <a:rPr lang="en-US" sz="900" b="0" i="1" u="none" strike="noStrike" kern="1200" baseline="-25000">
                        <a:solidFill>
                          <a:sysClr val="windowText" lastClr="000000"/>
                        </a:solidFill>
                        <a:latin typeface="Times New Roman" panose="02020603050405020304" pitchFamily="18" charset="0"/>
                        <a:cs typeface="Times New Roman" panose="02020603050405020304" pitchFamily="18" charset="0"/>
                      </a:rPr>
                      <a:t>75</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a:t>
                    </a:r>
                    <a:r>
                      <a:rPr lang="en-US" sz="900" b="0" i="0" u="none" strike="noStrike" kern="1200" baseline="0">
                        <a:solidFill>
                          <a:sysClr val="windowText" lastClr="000000"/>
                        </a:solidFill>
                        <a:effectLst/>
                        <a:latin typeface="Times New Roman" panose="02020603050405020304" pitchFamily="18" charset="0"/>
                        <a:cs typeface="Times New Roman" panose="02020603050405020304" pitchFamily="18" charset="0"/>
                      </a:rPr>
                      <a:t>–</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a:t>
                    </a:r>
                    <a:r>
                      <a:rPr lang="en-US" sz="900" b="0" i="1" u="none" strike="noStrike" kern="1200" baseline="0">
                        <a:solidFill>
                          <a:sysClr val="windowText" lastClr="000000"/>
                        </a:solidFill>
                        <a:latin typeface="Times New Roman" panose="02020603050405020304" pitchFamily="18" charset="0"/>
                        <a:cs typeface="Times New Roman" panose="02020603050405020304" pitchFamily="18" charset="0"/>
                      </a:rPr>
                      <a:t>q</a:t>
                    </a:r>
                    <a:r>
                      <a:rPr lang="en-US" sz="900" b="0" i="1" u="none" strike="noStrike" kern="1200" baseline="-25000">
                        <a:solidFill>
                          <a:sysClr val="windowText" lastClr="000000"/>
                        </a:solidFill>
                        <a:latin typeface="Times New Roman" panose="02020603050405020304" pitchFamily="18" charset="0"/>
                        <a:cs typeface="Times New Roman" panose="02020603050405020304" pitchFamily="18" charset="0"/>
                      </a:rPr>
                      <a:t>25</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 1.14</a:t>
                    </a:r>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extLst xmlns:c15="http://schemas.microsoft.com/office/drawing/2012/chart">
                <c:ext xmlns:c15="http://schemas.microsoft.com/office/drawing/2012/chart" uri="{CE6537A1-D6FC-4f65-9D91-7224C49458BB}">
                  <c15:spPr xmlns:c15="http://schemas.microsoft.com/office/drawing/2012/chart">
                    <a:prstGeom prst="wedgeRectCallout">
                      <a:avLst>
                        <a:gd name="adj1" fmla="val -95292"/>
                        <a:gd name="adj2" fmla="val 340861"/>
                      </a:avLst>
                    </a:prstGeom>
                    <a:noFill/>
                    <a:ln>
                      <a:noFill/>
                    </a:ln>
                  </c15:spPr>
                  <c15:showDataLabelsRange val="0"/>
                </c:ext>
                <c:ext xmlns:c16="http://schemas.microsoft.com/office/drawing/2014/chart" uri="{C3380CC4-5D6E-409C-BE32-E72D297353CC}">
                  <c16:uniqueId val="{00000007-1C45-4BD4-A921-3B0F0E2FD65D}"/>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08-1C45-4BD4-A921-3B0F0E2FD65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xmlns:c15="http://schemas.microsoft.com/office/drawing/2012/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(Sheet1!$F$3,Sheet1!$J$3)</c:f>
              <c:numCache>
                <c:formatCode>General</c:formatCode>
                <c:ptCount val="2"/>
                <c:pt idx="0">
                  <c:v>11.467238808924339</c:v>
                </c:pt>
                <c:pt idx="1">
                  <c:v>12.610105706399976</c:v>
                </c:pt>
              </c:numCache>
            </c:numRef>
          </c:xVal>
          <c:yVal>
            <c:numLit>
              <c:formatCode>General</c:formatCode>
              <c:ptCount val="2"/>
              <c:pt idx="0">
                <c:v>0.25</c:v>
              </c:pt>
              <c:pt idx="1">
                <c:v>0.25</c:v>
              </c:pt>
            </c:numLit>
          </c:yVal>
          <c:smooth val="1"/>
          <c:extLst xmlns:c15="http://schemas.microsoft.com/office/drawing/2012/chart">
            <c:ext xmlns:c16="http://schemas.microsoft.com/office/drawing/2014/chart" uri="{C3380CC4-5D6E-409C-BE32-E72D297353CC}">
              <c16:uniqueId val="{00000009-1C45-4BD4-A921-3B0F0E2FD65D}"/>
            </c:ext>
          </c:extLst>
        </c:ser>
        <c:ser>
          <c:idx val="20"/>
          <c:order val="7"/>
          <c:tx>
            <c:v>Timken line</c:v>
          </c:tx>
          <c:spPr>
            <a:ln w="12700" cap="rnd">
              <a:solidFill>
                <a:schemeClr val="accent5">
                  <a:lumMod val="75000"/>
                </a:schemeClr>
              </a:solidFill>
              <a:round/>
              <a:headEnd type="triangle" w="sm" len="sm"/>
              <a:tailEnd type="triangle" w="sm" len="sm"/>
            </a:ln>
            <a:effectLst/>
          </c:spPr>
          <c:marker>
            <c:symbol val="none"/>
          </c:marker>
          <c:dLbls>
            <c:dLbl>
              <c:idx val="0"/>
              <c:layout>
                <c:manualLayout>
                  <c:x val="0.13243945690466399"/>
                  <c:y val="-0.12908149982354336"/>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i="1" u="none" strike="noStrike" kern="1200" baseline="0">
                        <a:solidFill>
                          <a:sysClr val="windowText" lastClr="000000"/>
                        </a:solidFill>
                        <a:latin typeface="Times New Roman" panose="02020603050405020304" pitchFamily="18" charset="0"/>
                        <a:cs typeface="Times New Roman" panose="02020603050405020304" pitchFamily="18" charset="0"/>
                      </a:rPr>
                      <a:t>q</a:t>
                    </a:r>
                    <a:r>
                      <a:rPr lang="en-US" sz="900" b="0" i="1" u="none" strike="noStrike" kern="1200" baseline="-25000">
                        <a:solidFill>
                          <a:sysClr val="windowText" lastClr="000000"/>
                        </a:solidFill>
                        <a:latin typeface="Times New Roman" panose="02020603050405020304" pitchFamily="18" charset="0"/>
                        <a:cs typeface="Times New Roman" panose="02020603050405020304" pitchFamily="18" charset="0"/>
                      </a:rPr>
                      <a:t>75</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a:t>
                    </a:r>
                    <a:r>
                      <a:rPr lang="en-US" sz="900" b="0" i="0" u="none" strike="noStrike" kern="1200" baseline="0">
                        <a:solidFill>
                          <a:sysClr val="windowText" lastClr="000000"/>
                        </a:solidFill>
                        <a:effectLst/>
                        <a:latin typeface="Times New Roman" panose="02020603050405020304" pitchFamily="18" charset="0"/>
                        <a:cs typeface="Times New Roman" panose="02020603050405020304" pitchFamily="18" charset="0"/>
                      </a:rPr>
                      <a:t>–</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a:t>
                    </a:r>
                    <a:r>
                      <a:rPr lang="en-US" sz="900" b="0" i="1" u="none" strike="noStrike" kern="1200" baseline="0">
                        <a:solidFill>
                          <a:sysClr val="windowText" lastClr="000000"/>
                        </a:solidFill>
                        <a:latin typeface="Times New Roman" panose="02020603050405020304" pitchFamily="18" charset="0"/>
                        <a:cs typeface="Times New Roman" panose="02020603050405020304" pitchFamily="18" charset="0"/>
                      </a:rPr>
                      <a:t>q</a:t>
                    </a:r>
                    <a:r>
                      <a:rPr lang="en-US" sz="900" b="0" i="1" u="none" strike="noStrike" kern="1200" baseline="-25000">
                        <a:solidFill>
                          <a:sysClr val="windowText" lastClr="000000"/>
                        </a:solidFill>
                        <a:latin typeface="Times New Roman" panose="02020603050405020304" pitchFamily="18" charset="0"/>
                        <a:cs typeface="Times New Roman" panose="02020603050405020304" pitchFamily="18" charset="0"/>
                      </a:rPr>
                      <a:t>25</a:t>
                    </a:r>
                    <a:r>
                      <a:rPr lang="en-US" sz="900" b="0" i="0" u="none" strike="noStrike" kern="1200" baseline="0">
                        <a:solidFill>
                          <a:sysClr val="windowText" lastClr="000000"/>
                        </a:solidFill>
                        <a:latin typeface="Times New Roman" panose="02020603050405020304" pitchFamily="18" charset="0"/>
                        <a:cs typeface="Times New Roman" panose="02020603050405020304" pitchFamily="18" charset="0"/>
                      </a:rPr>
                      <a:t> = 0.76</a:t>
                    </a:r>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gd name="adj1" fmla="val -134550"/>
                        <a:gd name="adj2" fmla="val 236269"/>
                      </a:avLst>
                    </a:prstGeom>
                    <a:noFill/>
                    <a:ln>
                      <a:noFill/>
                    </a:ln>
                  </c15:spPr>
                  <c15:showDataLabelsRange val="0"/>
                </c:ext>
                <c:ext xmlns:c16="http://schemas.microsoft.com/office/drawing/2014/chart" uri="{C3380CC4-5D6E-409C-BE32-E72D297353CC}">
                  <c16:uniqueId val="{0000000A-1C45-4BD4-A921-3B0F0E2FD65D}"/>
                </c:ext>
              </c:extLst>
            </c:dLbl>
            <c:dLbl>
              <c:idx val="1"/>
              <c:delete val="1"/>
              <c:extLst>
                <c:ext xmlns:c15="http://schemas.microsoft.com/office/drawing/2012/chart" uri="{CE6537A1-D6FC-4f65-9D91-7224C49458BB}"/>
                <c:ext xmlns:c16="http://schemas.microsoft.com/office/drawing/2014/chart" uri="{C3380CC4-5D6E-409C-BE32-E72D297353CC}">
                  <c16:uniqueId val="{0000000B-1C45-4BD4-A921-3B0F0E2FD65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(Sheet1!$F$7,Sheet1!$J$7)</c:f>
              <c:numCache>
                <c:formatCode>General</c:formatCode>
                <c:ptCount val="2"/>
                <c:pt idx="0">
                  <c:v>8.3605676380476606</c:v>
                </c:pt>
                <c:pt idx="1">
                  <c:v>9.1248572306030447</c:v>
                </c:pt>
              </c:numCache>
            </c:numRef>
          </c:xVal>
          <c:yVal>
            <c:numLit>
              <c:formatCode>General</c:formatCode>
              <c:ptCount val="2"/>
              <c:pt idx="0">
                <c:v>0.25</c:v>
              </c:pt>
              <c:pt idx="1">
                <c:v>0.25</c:v>
              </c:pt>
            </c:numLit>
          </c:yVal>
          <c:smooth val="1"/>
          <c:extLst>
            <c:ext xmlns:c16="http://schemas.microsoft.com/office/drawing/2014/chart" uri="{C3380CC4-5D6E-409C-BE32-E72D297353CC}">
              <c16:uniqueId val="{0000000C-1C45-4BD4-A921-3B0F0E2FD65D}"/>
            </c:ext>
          </c:extLst>
        </c:ser>
        <c:ser>
          <c:idx val="22"/>
          <c:order val="8"/>
          <c:tx>
            <c:v>York Water line</c:v>
          </c:tx>
          <c:spPr>
            <a:ln w="12700" cap="rnd">
              <a:solidFill>
                <a:srgbClr val="FF0000"/>
              </a:solidFill>
              <a:round/>
              <a:headEnd type="triangle" w="sm" len="sm"/>
              <a:tailEnd type="triangle" w="sm" len="sm"/>
            </a:ln>
            <a:effectLst/>
          </c:spPr>
          <c:marker>
            <c:symbol val="none"/>
          </c:marker>
          <c:xVal>
            <c:numRef>
              <c:f>(Sheet1!$F$5,Sheet1!$J$5)</c:f>
              <c:numCache>
                <c:formatCode>General</c:formatCode>
                <c:ptCount val="2"/>
                <c:pt idx="0">
                  <c:v>5.9126409403829863</c:v>
                </c:pt>
                <c:pt idx="1">
                  <c:v>6.4442013817455965</c:v>
                </c:pt>
              </c:numCache>
            </c:numRef>
          </c:xVal>
          <c:yVal>
            <c:numLit>
              <c:formatCode>General</c:formatCode>
              <c:ptCount val="2"/>
              <c:pt idx="0">
                <c:v>0.25</c:v>
              </c:pt>
              <c:pt idx="1">
                <c:v>0.25</c:v>
              </c:pt>
            </c:numLit>
          </c:yVal>
          <c:smooth val="1"/>
          <c:extLst xmlns:c15="http://schemas.microsoft.com/office/drawing/2012/chart">
            <c:ext xmlns:c16="http://schemas.microsoft.com/office/drawing/2014/chart" uri="{C3380CC4-5D6E-409C-BE32-E72D297353CC}">
              <c16:uniqueId val="{0000000D-1C45-4BD4-A921-3B0F0E2FD65D}"/>
            </c:ext>
          </c:extLst>
        </c:ser>
        <c:dLbls>
          <c:showLegendKey val="0"/>
          <c:showVal val="0"/>
          <c:showCatName val="0"/>
          <c:showSerName val="0"/>
          <c:showPercent val="0"/>
          <c:showBubbleSize val="0"/>
        </c:dLbls>
        <c:axId val="968782528"/>
        <c:axId val="924143840"/>
        <c:extLst/>
      </c:scatterChart>
      <c:valAx>
        <c:axId val="968782528"/>
        <c:scaling>
          <c:orientation val="minMax"/>
          <c:max val="13.5"/>
          <c:min val="5"/>
        </c:scaling>
        <c:delete val="0"/>
        <c:axPos val="b"/>
        <c:majorGridlines>
          <c:spPr>
            <a:ln w="9525" cap="flat" cmpd="sng" algn="ctr">
              <a:solidFill>
                <a:schemeClr val="bg1">
                  <a:lumMod val="95000"/>
                </a:schemeClr>
              </a:solidFill>
              <a:round/>
            </a:ln>
            <a:effectLst/>
          </c:spPr>
        </c:majorGridlines>
        <c:minorGridlines>
          <c:spPr>
            <a:ln w="9525" cap="flat" cmpd="sng" algn="ctr">
              <a:solidFill>
                <a:schemeClr val="bg1">
                  <a:lumMod val="95000"/>
                </a:schemeClr>
              </a:solidFill>
              <a:round/>
            </a:ln>
            <a:effectLst/>
          </c:spPr>
        </c:minorGridlines>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1000" b="1" i="0" baseline="0">
                    <a:solidFill>
                      <a:sysClr val="windowText" lastClr="000000"/>
                    </a:solidFill>
                    <a:effectLst/>
                  </a:rPr>
                  <a:t>Log (modified) market value of equity</a:t>
                </a:r>
                <a:endParaRPr lang="en-CA" sz="1000">
                  <a:solidFill>
                    <a:sysClr val="windowText" lastClr="000000"/>
                  </a:solidFill>
                  <a:effectLst/>
                </a:endParaRPr>
              </a:p>
            </c:rich>
          </c:tx>
          <c:layout>
            <c:manualLayout>
              <c:xMode val="edge"/>
              <c:yMode val="edge"/>
              <c:x val="0.37448244342591508"/>
              <c:y val="0.91810985476995965"/>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CA"/>
            </a:p>
          </c:txPr>
        </c:title>
        <c:numFmt formatCode="#,##0.0"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4143840"/>
        <c:crosses val="autoZero"/>
        <c:crossBetween val="midCat"/>
        <c:majorUnit val="0.5"/>
        <c:minorUnit val="0.1"/>
      </c:valAx>
      <c:valAx>
        <c:axId val="924143840"/>
        <c:scaling>
          <c:orientation val="minMax"/>
          <c:max val="0.55000000000000004"/>
          <c:min val="0.1"/>
        </c:scaling>
        <c:delete val="0"/>
        <c:axPos val="l"/>
        <c:majorGridlines>
          <c:spPr>
            <a:ln w="9525" cap="flat" cmpd="sng" algn="ctr">
              <a:solidFill>
                <a:schemeClr val="bg1">
                  <a:lumMod val="95000"/>
                </a:schemeClr>
              </a:solidFill>
              <a:round/>
            </a:ln>
            <a:effectLst/>
          </c:spPr>
        </c:majorGridlines>
        <c:minorGridlines>
          <c:spPr>
            <a:ln w="9525" cap="flat" cmpd="sng" algn="ctr">
              <a:solidFill>
                <a:schemeClr val="bg1">
                  <a:lumMod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1000" b="1" i="0" baseline="0">
                    <a:solidFill>
                      <a:sysClr val="windowText" lastClr="000000"/>
                    </a:solidFill>
                    <a:effectLst/>
                  </a:rPr>
                  <a:t>x up to median, (1 – x</a:t>
                </a:r>
                <a:r>
                  <a:rPr lang="en-CA" sz="1000" b="1" i="1" baseline="0">
                    <a:solidFill>
                      <a:sysClr val="windowText" lastClr="000000"/>
                    </a:solidFill>
                    <a:effectLst/>
                  </a:rPr>
                  <a:t>)</a:t>
                </a:r>
                <a:r>
                  <a:rPr lang="en-CA" sz="1000" b="1" i="0" baseline="0">
                    <a:solidFill>
                      <a:sysClr val="windowText" lastClr="000000"/>
                    </a:solidFill>
                    <a:effectLst/>
                  </a:rPr>
                  <a:t> above median</a:t>
                </a:r>
                <a:endParaRPr lang="en-CA" sz="1000">
                  <a:solidFill>
                    <a:sysClr val="windowText" lastClr="000000"/>
                  </a:solidFill>
                  <a:effectLst/>
                </a:endParaRPr>
              </a:p>
            </c:rich>
          </c:tx>
          <c:layout>
            <c:manualLayout>
              <c:xMode val="edge"/>
              <c:yMode val="edge"/>
              <c:x val="1.4608699118263035E-3"/>
              <c:y val="0.1822807176445957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CA"/>
            </a:p>
          </c:txPr>
        </c:title>
        <c:numFmt formatCode="#,##0.00"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68782528"/>
        <c:crosses val="autoZero"/>
        <c:crossBetween val="midCat"/>
        <c:majorUnit val="5.000000000000001E-2"/>
      </c:valAx>
      <c:spPr>
        <a:noFill/>
        <a:ln>
          <a:noFill/>
        </a:ln>
        <a:effectLst/>
      </c:spPr>
    </c:plotArea>
    <c:legend>
      <c:legendPos val="r"/>
      <c:legendEntry>
        <c:idx val="1"/>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9.8377299852443811E-2"/>
          <c:y val="1.0612287974108361E-2"/>
          <c:w val="0.75361857379767827"/>
          <c:h val="0.1184235695398019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49DA06B052FD4BA02406DF49F46EBE" ma:contentTypeVersion="4" ma:contentTypeDescription="Create a new document." ma:contentTypeScope="" ma:versionID="ccdd3100ae17435a96b1cd09166fb721">
  <xsd:schema xmlns:xsd="http://www.w3.org/2001/XMLSchema" xmlns:xs="http://www.w3.org/2001/XMLSchema" xmlns:p="http://schemas.microsoft.com/office/2006/metadata/properties" xmlns:ns3="756ed31b-1c77-4eaa-9e50-382f502ecf18" targetNamespace="http://schemas.microsoft.com/office/2006/metadata/properties" ma:root="true" ma:fieldsID="691cc60e5c22202f6bbce7233fe13d35" ns3:_="">
    <xsd:import namespace="756ed31b-1c77-4eaa-9e50-382f502ecf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ed31b-1c77-4eaa-9e50-382f502ec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D873A6-187C-44A0-9706-03C06063ECE2}">
  <ds:schemaRefs>
    <ds:schemaRef ds:uri="http://schemas.openxmlformats.org/officeDocument/2006/bibliography"/>
  </ds:schemaRefs>
</ds:datastoreItem>
</file>

<file path=customXml/itemProps2.xml><?xml version="1.0" encoding="utf-8"?>
<ds:datastoreItem xmlns:ds="http://schemas.openxmlformats.org/officeDocument/2006/customXml" ds:itemID="{086824F9-A94A-47C4-AC91-212E371A2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ed31b-1c77-4eaa-9e50-382f502ec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1601AD-17C3-4260-B9B9-4481C87090AD}">
  <ds:schemaRefs>
    <ds:schemaRef ds:uri="http://schemas.microsoft.com/sharepoint/v3/contenttype/forms"/>
  </ds:schemaRefs>
</ds:datastoreItem>
</file>

<file path=customXml/itemProps4.xml><?xml version="1.0" encoding="utf-8"?>
<ds:datastoreItem xmlns:ds="http://schemas.openxmlformats.org/officeDocument/2006/customXml" ds:itemID="{BD68FB30-FC23-4B63-A4B6-68DF03E5E7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34639</Words>
  <Characters>192593</Characters>
  <Application>Microsoft Office Word</Application>
  <DocSecurity>0</DocSecurity>
  <Lines>8373</Lines>
  <Paragraphs>4939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2026-01-23T16:22:00Z</dcterms:created>
  <dcterms:modified xsi:type="dcterms:W3CDTF">2026-02-19T12:06:00Z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2021-05-20T15:18:02Z</vt:lpwstr>
  </property>
  <property fmtid="{D5CDD505-2E9C-101B-9397-08002B2CF9AE}" pid="4" name="MSIP_Label_06c24981-b6df-48f8-949b-0896357b9b03_Method">
    <vt:lpwstr>Privileged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3cdea223-4864-4a6c-85a5-6a1768080d65</vt:lpwstr>
  </property>
  <property fmtid="{D5CDD505-2E9C-101B-9397-08002B2CF9AE}" pid="8" name="MSIP_Label_06c24981-b6df-48f8-949b-0896357b9b03_ContentBits">
    <vt:lpwstr>0</vt:lpwstr>
  </property>
  <property fmtid="{D5CDD505-2E9C-101B-9397-08002B2CF9AE}" pid="9" name="ContentTypeId">
    <vt:lpwstr>0x0101006649DA06B052FD4BA02406DF49F46EBE</vt:lpwstr>
  </property>
</Properties>
</file>