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D0A4B" w14:textId="5DE7050D" w:rsidR="00B85B13" w:rsidRPr="00910477" w:rsidRDefault="00E96597" w:rsidP="009019ED">
      <w:pPr>
        <w:pStyle w:val="Heading1"/>
      </w:pPr>
      <w:bookmarkStart w:id="0" w:name="_Hlk196833148"/>
      <w:bookmarkStart w:id="1" w:name="_Hlk194949283"/>
      <w:r>
        <w:t>(Un)</w:t>
      </w:r>
      <w:r w:rsidR="00E34B2D">
        <w:t>Frozen in Time</w:t>
      </w:r>
      <w:r w:rsidR="00D266F4">
        <w:t>: Tem</w:t>
      </w:r>
      <w:r w:rsidR="009E1973">
        <w:t>p</w:t>
      </w:r>
      <w:r w:rsidR="00D266F4">
        <w:t>oral</w:t>
      </w:r>
      <w:r w:rsidR="0084316A">
        <w:t xml:space="preserve"> Politics</w:t>
      </w:r>
      <w:r w:rsidR="00441EF0">
        <w:t>,</w:t>
      </w:r>
      <w:r w:rsidR="00D266F4">
        <w:t xml:space="preserve"> </w:t>
      </w:r>
      <w:r w:rsidR="006627EE">
        <w:t xml:space="preserve">UN Peacekeeping, </w:t>
      </w:r>
      <w:r w:rsidR="00D266F4">
        <w:t xml:space="preserve">and </w:t>
      </w:r>
      <w:r w:rsidR="00ED7D5F">
        <w:t>the</w:t>
      </w:r>
      <w:r w:rsidR="00D266F4">
        <w:t xml:space="preserve"> </w:t>
      </w:r>
      <w:r w:rsidR="00E34B2D">
        <w:t>Gaza Exception</w:t>
      </w:r>
      <w:bookmarkEnd w:id="0"/>
    </w:p>
    <w:bookmarkEnd w:id="1"/>
    <w:p w14:paraId="6790AF91" w14:textId="77777777" w:rsidR="00B85B13" w:rsidRPr="00B85B13" w:rsidRDefault="00B85B13" w:rsidP="00B85B13">
      <w:pPr>
        <w:contextualSpacing/>
        <w:jc w:val="both"/>
        <w:rPr>
          <w:rFonts w:cstheme="minorHAnsi"/>
          <w:sz w:val="20"/>
          <w:szCs w:val="20"/>
        </w:rPr>
      </w:pPr>
    </w:p>
    <w:p w14:paraId="4F35B29D" w14:textId="37351082" w:rsidR="006658C9" w:rsidRDefault="006658C9" w:rsidP="00F046AD">
      <w:pPr>
        <w:rPr>
          <w:rFonts w:cstheme="minorHAnsi"/>
          <w:b/>
          <w:bCs/>
          <w:szCs w:val="24"/>
        </w:rPr>
      </w:pPr>
      <w:r>
        <w:rPr>
          <w:rFonts w:cstheme="minorHAnsi"/>
          <w:b/>
          <w:bCs/>
          <w:szCs w:val="24"/>
        </w:rPr>
        <w:t>Abstract</w:t>
      </w:r>
    </w:p>
    <w:p w14:paraId="30D33C09" w14:textId="267CFBE9" w:rsidR="009F6E4C" w:rsidRDefault="009F6E4C" w:rsidP="00F046AD">
      <w:pPr>
        <w:rPr>
          <w:rFonts w:cstheme="minorHAnsi"/>
          <w:szCs w:val="24"/>
        </w:rPr>
      </w:pPr>
      <w:r w:rsidRPr="009F6E4C">
        <w:rPr>
          <w:rFonts w:cstheme="minorHAnsi"/>
          <w:szCs w:val="24"/>
        </w:rPr>
        <w:t>Scholars are increasingly interrogating distinctions between ‘war time’ and ‘peace time’, but what happens when time itself becomes a weapon of war or, even, a model of conflict response. Focusing on the case study of the first armed UN mission, the United Nations Emergency Force (UNEF) to Sinai and the Gaza Strip during the 1956 Suez Crisis, I examine the mission’s attempt to replace the Israeli invasion and establish an open-ended international administration on the Gaza Strip. Using archival documents and photographs, this paper explores how UN operations in Palestine shaped temporal assumptions about the population and the conflict. I argue that the Suez Crisis ruptured an UN-managed temporal paralysis on the Gaza Strip which opened up opportunities for new futures in Gaza, as well as anxiety to return to controlled paralysis. Examining both Palestinian and international reactions to the UN occupation, I show how the ‘Gaza exception’ policy transformed international perceptions of the region – its past, present, and future. Thus, by focusing on the moment of the brief UN occupation, I argue that this international intervention shifted global perceptions of the Strip from a ‘frozen’ site of past conflict into a space of unfinished ownership and future potentiality.</w:t>
      </w:r>
    </w:p>
    <w:p w14:paraId="6E9BD530" w14:textId="2218E9EF" w:rsidR="006658C9" w:rsidRDefault="006658C9" w:rsidP="00F046AD">
      <w:pPr>
        <w:rPr>
          <w:rFonts w:cstheme="minorHAnsi"/>
          <w:szCs w:val="24"/>
        </w:rPr>
      </w:pPr>
      <w:r>
        <w:rPr>
          <w:rFonts w:cstheme="minorHAnsi"/>
          <w:b/>
          <w:bCs/>
          <w:szCs w:val="24"/>
        </w:rPr>
        <w:t xml:space="preserve">Keywords: </w:t>
      </w:r>
      <w:r>
        <w:rPr>
          <w:rFonts w:cstheme="minorHAnsi"/>
          <w:szCs w:val="24"/>
        </w:rPr>
        <w:t>United Nations,</w:t>
      </w:r>
      <w:r w:rsidR="00A32B89">
        <w:rPr>
          <w:rFonts w:cstheme="minorHAnsi"/>
          <w:szCs w:val="24"/>
        </w:rPr>
        <w:t xml:space="preserve"> Palestine,</w:t>
      </w:r>
      <w:r>
        <w:rPr>
          <w:rFonts w:cstheme="minorHAnsi"/>
          <w:szCs w:val="24"/>
        </w:rPr>
        <w:t xml:space="preserve"> time, </w:t>
      </w:r>
      <w:r w:rsidR="00A35810">
        <w:rPr>
          <w:rFonts w:cstheme="minorHAnsi"/>
          <w:szCs w:val="24"/>
        </w:rPr>
        <w:t xml:space="preserve">peacekeeping, </w:t>
      </w:r>
      <w:r w:rsidR="00972D26">
        <w:rPr>
          <w:rFonts w:cstheme="minorHAnsi"/>
          <w:szCs w:val="24"/>
        </w:rPr>
        <w:t>occupation</w:t>
      </w:r>
      <w:r w:rsidR="00603F97">
        <w:rPr>
          <w:rFonts w:cstheme="minorHAnsi"/>
          <w:szCs w:val="24"/>
        </w:rPr>
        <w:t xml:space="preserve">, </w:t>
      </w:r>
      <w:r w:rsidR="003E0424">
        <w:rPr>
          <w:rFonts w:cstheme="minorHAnsi"/>
          <w:szCs w:val="24"/>
        </w:rPr>
        <w:t>peace</w:t>
      </w:r>
    </w:p>
    <w:p w14:paraId="72619B2E" w14:textId="6CDA6512" w:rsidR="009E1973" w:rsidRDefault="009E1973" w:rsidP="00F046AD">
      <w:pPr>
        <w:rPr>
          <w:rFonts w:cstheme="minorHAnsi"/>
          <w:szCs w:val="24"/>
        </w:rPr>
      </w:pPr>
      <w:r>
        <w:rPr>
          <w:rFonts w:cstheme="minorHAnsi"/>
          <w:b/>
          <w:bCs/>
          <w:szCs w:val="24"/>
        </w:rPr>
        <w:t xml:space="preserve">Biography: </w:t>
      </w:r>
      <w:r>
        <w:rPr>
          <w:rFonts w:cstheme="minorHAnsi"/>
          <w:szCs w:val="24"/>
        </w:rPr>
        <w:t>Margot Tudor is a Senior Lecturer in Foreign Policy and Security</w:t>
      </w:r>
      <w:r w:rsidR="00A81D9F">
        <w:rPr>
          <w:rFonts w:cstheme="minorHAnsi"/>
          <w:szCs w:val="24"/>
        </w:rPr>
        <w:t>, Department of International Politics, City St George’s – University of London</w:t>
      </w:r>
    </w:p>
    <w:p w14:paraId="44DA54B3" w14:textId="687BD1F9" w:rsidR="009E1973" w:rsidRDefault="009E1973" w:rsidP="00F046AD">
      <w:pPr>
        <w:rPr>
          <w:rFonts w:cstheme="minorHAnsi"/>
          <w:szCs w:val="24"/>
        </w:rPr>
      </w:pPr>
      <w:r>
        <w:rPr>
          <w:rFonts w:cstheme="minorHAnsi"/>
          <w:b/>
          <w:bCs/>
          <w:szCs w:val="24"/>
        </w:rPr>
        <w:t xml:space="preserve">Institutional Address: </w:t>
      </w:r>
      <w:r w:rsidR="00A81D9F">
        <w:rPr>
          <w:rFonts w:cstheme="minorHAnsi"/>
          <w:szCs w:val="24"/>
        </w:rPr>
        <w:t xml:space="preserve">City St George’s, </w:t>
      </w:r>
      <w:r w:rsidR="00A81D9F" w:rsidRPr="00A81D9F">
        <w:rPr>
          <w:rFonts w:cstheme="minorHAnsi"/>
          <w:szCs w:val="24"/>
        </w:rPr>
        <w:t>Northampton Square, London EC1V 0HB</w:t>
      </w:r>
    </w:p>
    <w:p w14:paraId="748229AC" w14:textId="41BF7072" w:rsidR="00DB46EE" w:rsidRPr="00A81D9F" w:rsidRDefault="00A81D9F" w:rsidP="00DB46EE">
      <w:pPr>
        <w:pStyle w:val="NoSpacing"/>
      </w:pPr>
      <w:r>
        <w:rPr>
          <w:b/>
          <w:bCs/>
        </w:rPr>
        <w:t xml:space="preserve">Author Email: </w:t>
      </w:r>
      <w:hyperlink r:id="rId8" w:history="1">
        <w:r w:rsidRPr="00807678">
          <w:rPr>
            <w:rStyle w:val="Hyperlink"/>
          </w:rPr>
          <w:t>margot.tudor@city.ac.uk</w:t>
        </w:r>
      </w:hyperlink>
      <w:r>
        <w:t xml:space="preserve"> </w:t>
      </w:r>
    </w:p>
    <w:p w14:paraId="03D9241B" w14:textId="77777777" w:rsidR="00A81D9F" w:rsidRPr="00DB46EE" w:rsidRDefault="00A81D9F" w:rsidP="00DB46EE">
      <w:pPr>
        <w:pStyle w:val="NoSpacing"/>
      </w:pPr>
    </w:p>
    <w:p w14:paraId="72773831" w14:textId="77777777" w:rsidR="0076145E" w:rsidRDefault="0076145E" w:rsidP="00DB46EE">
      <w:pPr>
        <w:pStyle w:val="NoSpacing"/>
      </w:pPr>
    </w:p>
    <w:p w14:paraId="59F9A7CC" w14:textId="77777777" w:rsidR="005B7C1C" w:rsidRDefault="005B7C1C" w:rsidP="00DB46EE">
      <w:pPr>
        <w:pStyle w:val="NoSpacing"/>
      </w:pPr>
    </w:p>
    <w:p w14:paraId="79480409" w14:textId="77777777" w:rsidR="005B7C1C" w:rsidRDefault="005B7C1C" w:rsidP="00DB46EE">
      <w:pPr>
        <w:pStyle w:val="NoSpacing"/>
      </w:pPr>
    </w:p>
    <w:p w14:paraId="3F98C4FF" w14:textId="77777777" w:rsidR="00994BB0" w:rsidRDefault="00994BB0" w:rsidP="00DB46EE">
      <w:pPr>
        <w:pStyle w:val="NoSpacing"/>
      </w:pPr>
    </w:p>
    <w:p w14:paraId="018A1256" w14:textId="77777777" w:rsidR="00994BB0" w:rsidRDefault="00994BB0" w:rsidP="00DB46EE">
      <w:pPr>
        <w:pStyle w:val="NoSpacing"/>
      </w:pPr>
    </w:p>
    <w:p w14:paraId="4FE8A86F" w14:textId="77777777" w:rsidR="009F6E4C" w:rsidRDefault="009F6E4C" w:rsidP="00DB46EE">
      <w:pPr>
        <w:pStyle w:val="NoSpacing"/>
      </w:pPr>
    </w:p>
    <w:p w14:paraId="2D80A0F8" w14:textId="77777777" w:rsidR="009F6E4C" w:rsidRDefault="009F6E4C" w:rsidP="00DB46EE">
      <w:pPr>
        <w:pStyle w:val="NoSpacing"/>
      </w:pPr>
    </w:p>
    <w:p w14:paraId="74F1C746" w14:textId="77777777" w:rsidR="009F6E4C" w:rsidRDefault="009F6E4C" w:rsidP="00DB46EE">
      <w:pPr>
        <w:pStyle w:val="NoSpacing"/>
      </w:pPr>
    </w:p>
    <w:p w14:paraId="3A12BF90" w14:textId="77777777" w:rsidR="009F6E4C" w:rsidRDefault="009F6E4C" w:rsidP="00DB46EE">
      <w:pPr>
        <w:pStyle w:val="NoSpacing"/>
      </w:pPr>
    </w:p>
    <w:p w14:paraId="5369D902" w14:textId="77777777" w:rsidR="00994BB0" w:rsidRDefault="00994BB0" w:rsidP="00DB46EE">
      <w:pPr>
        <w:pStyle w:val="NoSpacing"/>
      </w:pPr>
    </w:p>
    <w:p w14:paraId="14D4B803" w14:textId="77777777" w:rsidR="002F6A03" w:rsidRDefault="002F6A03" w:rsidP="00DB46EE">
      <w:pPr>
        <w:pStyle w:val="NoSpacing"/>
      </w:pPr>
    </w:p>
    <w:p w14:paraId="490B232A" w14:textId="77777777" w:rsidR="001D1B0A" w:rsidRDefault="001D1B0A" w:rsidP="00DB46EE">
      <w:pPr>
        <w:pStyle w:val="NoSpacing"/>
      </w:pPr>
    </w:p>
    <w:p w14:paraId="42084C40" w14:textId="055BAB3A" w:rsidR="00D04FA7" w:rsidRDefault="00D04FA7" w:rsidP="006757AB">
      <w:pPr>
        <w:spacing w:after="0" w:line="240" w:lineRule="auto"/>
        <w:contextualSpacing/>
        <w:jc w:val="right"/>
      </w:pPr>
      <w:r>
        <w:lastRenderedPageBreak/>
        <w:t>‘[…]</w:t>
      </w:r>
    </w:p>
    <w:p w14:paraId="53729947" w14:textId="79C97E89" w:rsidR="00522F86" w:rsidRDefault="00522F86" w:rsidP="00BD1F3A">
      <w:pPr>
        <w:spacing w:after="0" w:line="480" w:lineRule="auto"/>
        <w:contextualSpacing/>
        <w:jc w:val="right"/>
      </w:pPr>
      <w:r>
        <w:t>Deadline imposed</w:t>
      </w:r>
    </w:p>
    <w:p w14:paraId="0D0CFD35" w14:textId="4F530557" w:rsidR="00522F86" w:rsidRDefault="00522F86" w:rsidP="00BD1F3A">
      <w:pPr>
        <w:spacing w:after="0" w:line="480" w:lineRule="auto"/>
        <w:contextualSpacing/>
        <w:jc w:val="right"/>
      </w:pPr>
      <w:r>
        <w:t>Tension grows</w:t>
      </w:r>
    </w:p>
    <w:p w14:paraId="19C3C354" w14:textId="57244B21" w:rsidR="00522F86" w:rsidRDefault="00522F86" w:rsidP="00BD1F3A">
      <w:pPr>
        <w:spacing w:after="0" w:line="480" w:lineRule="auto"/>
        <w:contextualSpacing/>
        <w:jc w:val="right"/>
      </w:pPr>
      <w:r>
        <w:t>Deadline goes.</w:t>
      </w:r>
    </w:p>
    <w:p w14:paraId="43DC3392" w14:textId="77777777" w:rsidR="00522F86" w:rsidRDefault="00522F86" w:rsidP="00BD1F3A">
      <w:pPr>
        <w:spacing w:after="0" w:line="480" w:lineRule="auto"/>
        <w:contextualSpacing/>
        <w:jc w:val="right"/>
      </w:pPr>
    </w:p>
    <w:p w14:paraId="05DBFBF0" w14:textId="139306CA" w:rsidR="00522F86" w:rsidRDefault="00522F86" w:rsidP="00BD1F3A">
      <w:pPr>
        <w:spacing w:after="0" w:line="480" w:lineRule="auto"/>
        <w:contextualSpacing/>
        <w:jc w:val="right"/>
      </w:pPr>
      <w:r>
        <w:t>UN repeats</w:t>
      </w:r>
    </w:p>
    <w:p w14:paraId="3E6C181D" w14:textId="2B684D23" w:rsidR="00522F86" w:rsidRDefault="00522F86" w:rsidP="00BD1F3A">
      <w:pPr>
        <w:spacing w:after="0" w:line="480" w:lineRule="auto"/>
        <w:contextualSpacing/>
        <w:jc w:val="right"/>
      </w:pPr>
      <w:r>
        <w:t>UN repeats</w:t>
      </w:r>
    </w:p>
    <w:p w14:paraId="05562C26" w14:textId="77777777" w:rsidR="00D04FA7" w:rsidRDefault="00522F86" w:rsidP="00BD1F3A">
      <w:pPr>
        <w:spacing w:after="0" w:line="480" w:lineRule="auto"/>
        <w:contextualSpacing/>
        <w:jc w:val="right"/>
      </w:pPr>
      <w:r>
        <w:t>UN repeats</w:t>
      </w:r>
      <w:r w:rsidR="00A24E27">
        <w:t>.</w:t>
      </w:r>
    </w:p>
    <w:p w14:paraId="28950B2D" w14:textId="671DA704" w:rsidR="00522F86" w:rsidRDefault="00D04FA7" w:rsidP="00BD1F3A">
      <w:pPr>
        <w:spacing w:after="0" w:line="480" w:lineRule="auto"/>
        <w:contextualSpacing/>
        <w:jc w:val="right"/>
      </w:pPr>
      <w:r>
        <w:t>[…]</w:t>
      </w:r>
      <w:r w:rsidR="00522F86">
        <w:t>’</w:t>
      </w:r>
    </w:p>
    <w:p w14:paraId="4DCF1A5A" w14:textId="77777777" w:rsidR="00F52EC0" w:rsidRDefault="00F52EC0" w:rsidP="00BD1F3A">
      <w:pPr>
        <w:pStyle w:val="NoSpacing"/>
        <w:spacing w:line="480" w:lineRule="auto"/>
        <w:contextualSpacing/>
      </w:pPr>
    </w:p>
    <w:p w14:paraId="46AD177D" w14:textId="2A723C2B" w:rsidR="00141793" w:rsidRDefault="00F52EC0" w:rsidP="00BD1F3A">
      <w:pPr>
        <w:pStyle w:val="ListParagraph"/>
        <w:numPr>
          <w:ilvl w:val="0"/>
          <w:numId w:val="2"/>
        </w:numPr>
        <w:spacing w:after="0" w:line="480" w:lineRule="auto"/>
        <w:jc w:val="right"/>
      </w:pPr>
      <w:r>
        <w:t>‘The War Process’ by Benjamin Zephania</w:t>
      </w:r>
    </w:p>
    <w:p w14:paraId="7D701AC9" w14:textId="2BDB48EB" w:rsidR="007073EF" w:rsidRPr="009019ED" w:rsidRDefault="002E2C8F" w:rsidP="00BD1F3A">
      <w:pPr>
        <w:pStyle w:val="Heading1"/>
        <w:spacing w:line="480" w:lineRule="auto"/>
      </w:pPr>
      <w:r w:rsidRPr="009019ED">
        <w:t>Introduction</w:t>
      </w:r>
    </w:p>
    <w:p w14:paraId="1709A816" w14:textId="77777777" w:rsidR="002E2C8F" w:rsidRDefault="002E2C8F" w:rsidP="00BD1F3A">
      <w:pPr>
        <w:spacing w:after="0" w:line="480" w:lineRule="auto"/>
        <w:contextualSpacing/>
        <w:jc w:val="both"/>
      </w:pPr>
    </w:p>
    <w:p w14:paraId="496E58EC" w14:textId="563D5D2B" w:rsidR="005A1C95" w:rsidRDefault="007C3C28" w:rsidP="00BD1F3A">
      <w:pPr>
        <w:spacing w:after="0" w:line="480" w:lineRule="auto"/>
        <w:contextualSpacing/>
        <w:jc w:val="both"/>
      </w:pPr>
      <w:r>
        <w:t>On 5</w:t>
      </w:r>
      <w:r w:rsidRPr="007C3C28">
        <w:rPr>
          <w:vertAlign w:val="superscript"/>
        </w:rPr>
        <w:t>th</w:t>
      </w:r>
      <w:r>
        <w:t xml:space="preserve"> February 2025, US </w:t>
      </w:r>
      <w:r w:rsidR="003C041B">
        <w:t>P</w:t>
      </w:r>
      <w:r>
        <w:t>resident Donald Trump gave a press conference with Israeli leader Benjamin Netanyahu to announce his plans to ‘</w:t>
      </w:r>
      <w:r w:rsidRPr="007C3C28">
        <w:t>take over the Gaza Strip</w:t>
      </w:r>
      <w:r w:rsidR="0010718C">
        <w:t>’ as a method of conflict resolution in the Middle East.</w:t>
      </w:r>
      <w:r w:rsidR="00C4480E">
        <w:rPr>
          <w:rStyle w:val="FootnoteReference"/>
        </w:rPr>
        <w:footnoteReference w:id="1"/>
      </w:r>
      <w:r w:rsidR="00E21B77">
        <w:t xml:space="preserve"> </w:t>
      </w:r>
      <w:r w:rsidR="006647A6">
        <w:t>His</w:t>
      </w:r>
      <w:r w:rsidR="00E21B77">
        <w:t xml:space="preserve"> offer proposed dismissing </w:t>
      </w:r>
      <w:r w:rsidR="0010718C">
        <w:t>the history of protracted</w:t>
      </w:r>
      <w:r w:rsidR="00E21B77">
        <w:t xml:space="preserve"> </w:t>
      </w:r>
      <w:r w:rsidR="0010718C">
        <w:t>displacement</w:t>
      </w:r>
      <w:r w:rsidR="00C40E5A">
        <w:t xml:space="preserve"> </w:t>
      </w:r>
      <w:r w:rsidR="00E21B77">
        <w:t xml:space="preserve">and </w:t>
      </w:r>
      <w:r w:rsidR="0010718C">
        <w:t xml:space="preserve">to instead focus on </w:t>
      </w:r>
      <w:r w:rsidR="00E21B77">
        <w:t xml:space="preserve">transforming the </w:t>
      </w:r>
      <w:r w:rsidR="006647A6">
        <w:t xml:space="preserve">region </w:t>
      </w:r>
      <w:r w:rsidR="0010718C">
        <w:t xml:space="preserve">into an exclusive </w:t>
      </w:r>
      <w:r w:rsidR="0026437B">
        <w:t>resort and beach</w:t>
      </w:r>
      <w:r w:rsidR="0010718C">
        <w:t xml:space="preserve"> for</w:t>
      </w:r>
      <w:r w:rsidR="006647A6">
        <w:t xml:space="preserve"> </w:t>
      </w:r>
      <w:r w:rsidR="00C26B09">
        <w:t>super-wealthy</w:t>
      </w:r>
      <w:r w:rsidR="006647A6">
        <w:t xml:space="preserve"> touris</w:t>
      </w:r>
      <w:r w:rsidR="00C26B09">
        <w:t>ts</w:t>
      </w:r>
      <w:r w:rsidR="00025CC1">
        <w:t>. H</w:t>
      </w:r>
      <w:r w:rsidR="006647A6">
        <w:t>e noted that this</w:t>
      </w:r>
      <w:r w:rsidR="00025CC1">
        <w:t xml:space="preserve"> plan</w:t>
      </w:r>
      <w:r w:rsidR="006647A6">
        <w:t xml:space="preserve"> would require </w:t>
      </w:r>
      <w:r w:rsidR="005D3424">
        <w:t xml:space="preserve">further displacement of Palestinians on the strip, </w:t>
      </w:r>
      <w:r w:rsidR="00BE4A51">
        <w:t>implicitly associating</w:t>
      </w:r>
      <w:r w:rsidR="005D3424">
        <w:t xml:space="preserve"> </w:t>
      </w:r>
      <w:r w:rsidR="0010718C">
        <w:t>e</w:t>
      </w:r>
      <w:r w:rsidR="003C041B">
        <w:t>thnic cleansing</w:t>
      </w:r>
      <w:r w:rsidR="0010718C">
        <w:t xml:space="preserve"> with a </w:t>
      </w:r>
      <w:r w:rsidR="0010718C">
        <w:lastRenderedPageBreak/>
        <w:t>peaceful – and profitable – future for the region</w:t>
      </w:r>
      <w:r w:rsidR="005D3424">
        <w:t xml:space="preserve">. </w:t>
      </w:r>
      <w:r w:rsidR="00C8075A">
        <w:t>For Trump, the combination of future capitalist development and the absence of Palestinians in Gaza was the key to ending the violence in the region, an interpretation most often rooted in the imperialism of Zionist ideology and the expansionist settler colonial mindset from the early twentieth century.</w:t>
      </w:r>
      <w:r w:rsidR="00C8075A">
        <w:rPr>
          <w:rStyle w:val="FootnoteReference"/>
        </w:rPr>
        <w:footnoteReference w:id="2"/>
      </w:r>
      <w:r w:rsidR="00C8075A">
        <w:t xml:space="preserve"> </w:t>
      </w:r>
      <w:r w:rsidR="00FD1538">
        <w:t xml:space="preserve">As much as his plan affirms Zionist desires for territorial expansion, it is also part of a co-constitutive process of liberal internationalist sense-making and interventionism in Palestine which intensified after the Nakba, the violent displacement of hundreds of thousands of Palestinians from their homes in May 1948 by settlers and paramilitary groups to create the Israeli state. </w:t>
      </w:r>
      <w:r w:rsidR="00C8075A">
        <w:t xml:space="preserve">This plan has since evolved into UN Resolution 2803 which authorised the creation of an international transitional administration – </w:t>
      </w:r>
      <w:r w:rsidR="00AF2796">
        <w:t>or</w:t>
      </w:r>
      <w:r w:rsidR="00C8075A">
        <w:t xml:space="preserve"> ‘Board of Peace’ – in in November 2025. The recent </w:t>
      </w:r>
      <w:r w:rsidR="00940F40">
        <w:t xml:space="preserve">popularity of this ‘international administration’ proposal </w:t>
      </w:r>
      <w:r w:rsidR="00C8075A">
        <w:t xml:space="preserve">underscores that in order to </w:t>
      </w:r>
      <w:r w:rsidR="00FD1538">
        <w:t xml:space="preserve">understand Zionist thought </w:t>
      </w:r>
      <w:r w:rsidR="00940F40">
        <w:t xml:space="preserve">and practice today </w:t>
      </w:r>
      <w:r w:rsidR="00FD1538">
        <w:t>we must look beyond Israel to other powerful actors</w:t>
      </w:r>
      <w:r w:rsidR="0008306E">
        <w:t xml:space="preserve">, especially those with liberal </w:t>
      </w:r>
      <w:r w:rsidR="00F95120">
        <w:t>authority</w:t>
      </w:r>
      <w:r w:rsidR="00FD1538">
        <w:t xml:space="preserve"> like the UN</w:t>
      </w:r>
      <w:r w:rsidR="00C8075A">
        <w:t xml:space="preserve">. </w:t>
      </w:r>
      <w:r w:rsidR="00940F40">
        <w:t>Through re</w:t>
      </w:r>
      <w:r w:rsidR="00BE4A51">
        <w:t>-</w:t>
      </w:r>
      <w:r w:rsidR="00940F40">
        <w:t xml:space="preserve">examining </w:t>
      </w:r>
      <w:r w:rsidR="00FD1538">
        <w:t>past interventions</w:t>
      </w:r>
      <w:r w:rsidR="00940F40">
        <w:t xml:space="preserve"> we can better contextualise</w:t>
      </w:r>
      <w:r w:rsidR="008C3396">
        <w:t xml:space="preserve"> international </w:t>
      </w:r>
      <w:r w:rsidR="00FD1538">
        <w:t xml:space="preserve">imaginaries of </w:t>
      </w:r>
      <w:r w:rsidR="00C8075A">
        <w:t xml:space="preserve">the future </w:t>
      </w:r>
      <w:r w:rsidR="00F078E5">
        <w:t xml:space="preserve">in </w:t>
      </w:r>
      <w:r w:rsidR="00FD1538">
        <w:t>the Israel/Palestine context</w:t>
      </w:r>
      <w:r w:rsidR="000A5D69">
        <w:t xml:space="preserve"> and </w:t>
      </w:r>
      <w:r w:rsidR="008C3396">
        <w:t xml:space="preserve">trace </w:t>
      </w:r>
      <w:r w:rsidR="000A5D69">
        <w:t xml:space="preserve">the </w:t>
      </w:r>
      <w:r w:rsidR="006A6219">
        <w:t xml:space="preserve">assumptions of </w:t>
      </w:r>
      <w:r w:rsidR="00940F40">
        <w:t xml:space="preserve">Palestinian </w:t>
      </w:r>
      <w:r w:rsidR="00C8075A">
        <w:t xml:space="preserve">temporality </w:t>
      </w:r>
      <w:r w:rsidR="006A6219">
        <w:t xml:space="preserve">(and temporariness) </w:t>
      </w:r>
      <w:r w:rsidR="000A5D69">
        <w:t xml:space="preserve">that </w:t>
      </w:r>
      <w:r w:rsidR="0008306E">
        <w:t xml:space="preserve">they </w:t>
      </w:r>
      <w:r w:rsidR="000A5D69">
        <w:t>are built upon.</w:t>
      </w:r>
      <w:r w:rsidR="00FD1538">
        <w:t xml:space="preserve"> </w:t>
      </w:r>
    </w:p>
    <w:p w14:paraId="36A672B1" w14:textId="4CA2B832" w:rsidR="00AF2796" w:rsidRDefault="00823DB6" w:rsidP="00BD1F3A">
      <w:pPr>
        <w:spacing w:after="0" w:line="480" w:lineRule="auto"/>
        <w:ind w:firstLine="720"/>
        <w:contextualSpacing/>
        <w:jc w:val="both"/>
      </w:pPr>
      <w:r>
        <w:t xml:space="preserve">In contextualising the temporal politics of contemporary injustice for Palestinians in this longer history, we can look to the immediate post-Suez Crisis for insight in how Zionist logic has been long enabled and legitimised by field-based liberal internationalist actors and </w:t>
      </w:r>
      <w:r>
        <w:lastRenderedPageBreak/>
        <w:t xml:space="preserve">agencies. </w:t>
      </w:r>
      <w:r w:rsidR="00FD1538">
        <w:t xml:space="preserve">This article </w:t>
      </w:r>
      <w:r w:rsidR="00BE4A51">
        <w:t xml:space="preserve">focuses on </w:t>
      </w:r>
      <w:r w:rsidR="00FD1538">
        <w:t>the UN</w:t>
      </w:r>
      <w:r w:rsidR="00BE4A51">
        <w:t>’s</w:t>
      </w:r>
      <w:r w:rsidR="00FD1538">
        <w:t xml:space="preserve"> </w:t>
      </w:r>
      <w:r w:rsidR="00E051E7">
        <w:t xml:space="preserve">short-lived occupation of Gaza following </w:t>
      </w:r>
      <w:r w:rsidR="00FD1538">
        <w:t xml:space="preserve">the 1956 Israeli </w:t>
      </w:r>
      <w:r w:rsidR="00E051E7">
        <w:t>invasion</w:t>
      </w:r>
      <w:r w:rsidR="00FD1538">
        <w:t xml:space="preserve"> during the Suez Crisi</w:t>
      </w:r>
      <w:r w:rsidR="00E051E7">
        <w:t>s</w:t>
      </w:r>
      <w:r w:rsidR="00BE4A51">
        <w:t xml:space="preserve"> – or the ‘Gaza exception’</w:t>
      </w:r>
      <w:r w:rsidR="00E051E7">
        <w:t>.</w:t>
      </w:r>
      <w:r w:rsidR="0041738D">
        <w:t xml:space="preserve"> </w:t>
      </w:r>
      <w:r w:rsidR="0038110D">
        <w:t>By examining this</w:t>
      </w:r>
      <w:r w:rsidR="00591302">
        <w:t xml:space="preserve"> international administration</w:t>
      </w:r>
      <w:r w:rsidR="0038110D">
        <w:t xml:space="preserve">, </w:t>
      </w:r>
      <w:r w:rsidR="00E051E7">
        <w:t>I argue that th</w:t>
      </w:r>
      <w:r w:rsidR="008C3396">
        <w:t>e UN’s</w:t>
      </w:r>
      <w:r w:rsidR="00E051E7">
        <w:t xml:space="preserve"> </w:t>
      </w:r>
      <w:r w:rsidR="0038110D">
        <w:t>failed occupation</w:t>
      </w:r>
      <w:r w:rsidR="00E051E7">
        <w:t xml:space="preserve"> transformed</w:t>
      </w:r>
      <w:r w:rsidR="00FD1538">
        <w:t xml:space="preserve"> temporal assumptions</w:t>
      </w:r>
      <w:r w:rsidR="00E051E7">
        <w:t xml:space="preserve"> of the conflict, </w:t>
      </w:r>
      <w:r w:rsidR="005E3D9C">
        <w:t>not only violat</w:t>
      </w:r>
      <w:r w:rsidR="00E051E7">
        <w:t>ing</w:t>
      </w:r>
      <w:r w:rsidR="005E3D9C">
        <w:t xml:space="preserve"> the</w:t>
      </w:r>
      <w:r w:rsidR="005E3D9C" w:rsidRPr="00424AD9">
        <w:t xml:space="preserve"> right of return</w:t>
      </w:r>
      <w:r w:rsidR="005E3D9C">
        <w:t>, but</w:t>
      </w:r>
      <w:r w:rsidR="00886B7F">
        <w:t xml:space="preserve"> also </w:t>
      </w:r>
      <w:r w:rsidR="0026437B">
        <w:t>plac</w:t>
      </w:r>
      <w:r w:rsidR="00E051E7">
        <w:t>ing</w:t>
      </w:r>
      <w:r w:rsidR="00FD1538">
        <w:t xml:space="preserve"> </w:t>
      </w:r>
      <w:r w:rsidR="0026437B">
        <w:t>blame for the protracted conflict on ‘embittered’ Palestinians.</w:t>
      </w:r>
      <w:r w:rsidR="00F27480" w:rsidRPr="00F27480">
        <w:t xml:space="preserve"> </w:t>
      </w:r>
      <w:r>
        <w:t>T</w:t>
      </w:r>
      <w:r w:rsidRPr="00C47ECB">
        <w:t>he</w:t>
      </w:r>
      <w:r>
        <w:t xml:space="preserve"> UN’s ‘Gaza exception’ framed the Strip as </w:t>
      </w:r>
      <w:r w:rsidRPr="00C47ECB">
        <w:t>a</w:t>
      </w:r>
      <w:r>
        <w:t>n unanswered</w:t>
      </w:r>
      <w:r w:rsidRPr="00C47ECB">
        <w:t xml:space="preserve"> territorial problem</w:t>
      </w:r>
      <w:r>
        <w:t xml:space="preserve"> for the future</w:t>
      </w:r>
      <w:r w:rsidRPr="00C47ECB">
        <w:t xml:space="preserve"> rather than an issue of </w:t>
      </w:r>
      <w:r>
        <w:t xml:space="preserve">past </w:t>
      </w:r>
      <w:r w:rsidRPr="00C47ECB">
        <w:t>displacement</w:t>
      </w:r>
      <w:r w:rsidR="00BE4A51">
        <w:t>. T</w:t>
      </w:r>
      <w:r>
        <w:t xml:space="preserve">he UN’s treatment of the region </w:t>
      </w:r>
      <w:r w:rsidR="005108E3">
        <w:t xml:space="preserve">thus </w:t>
      </w:r>
      <w:r>
        <w:t xml:space="preserve">served to remake international conceptions of the territory as ‘up for grabs’; a question </w:t>
      </w:r>
      <w:r>
        <w:rPr>
          <w:i/>
          <w:iCs/>
        </w:rPr>
        <w:t xml:space="preserve">yet to be answered </w:t>
      </w:r>
      <w:r>
        <w:t>rather than an injustice that already had a legal solution: the right to return.</w:t>
      </w:r>
      <w:r>
        <w:rPr>
          <w:rStyle w:val="FootnoteReference"/>
        </w:rPr>
        <w:footnoteReference w:id="3"/>
      </w:r>
      <w:r>
        <w:t xml:space="preserve"> </w:t>
      </w:r>
      <w:r w:rsidR="00E051E7">
        <w:t>I</w:t>
      </w:r>
      <w:r w:rsidR="0038110D">
        <w:t xml:space="preserve"> also</w:t>
      </w:r>
      <w:r w:rsidR="00E051E7">
        <w:t xml:space="preserve"> show how organisational</w:t>
      </w:r>
      <w:r w:rsidR="0026437B">
        <w:t xml:space="preserve"> resentment towards</w:t>
      </w:r>
      <w:r w:rsidR="00E051E7">
        <w:t xml:space="preserve"> Palestinians</w:t>
      </w:r>
      <w:r w:rsidR="0026437B">
        <w:t xml:space="preserve"> </w:t>
      </w:r>
      <w:r w:rsidR="00E051E7">
        <w:t xml:space="preserve">spilled out into UN reporting on the conflict which helped to </w:t>
      </w:r>
      <w:r w:rsidR="00F82A9C">
        <w:t xml:space="preserve">naturalise </w:t>
      </w:r>
      <w:r w:rsidR="004E4132">
        <w:t xml:space="preserve">questions of future territorial ownership, as well as galvanise </w:t>
      </w:r>
      <w:r w:rsidR="00E051E7">
        <w:t xml:space="preserve">the erasure </w:t>
      </w:r>
      <w:r w:rsidR="00FD1538">
        <w:t xml:space="preserve">of </w:t>
      </w:r>
      <w:r w:rsidR="00886B7F">
        <w:t>Palestinian</w:t>
      </w:r>
      <w:r w:rsidR="00FD1538">
        <w:t xml:space="preserve"> life</w:t>
      </w:r>
      <w:r w:rsidR="005E3D9C">
        <w:t xml:space="preserve"> from </w:t>
      </w:r>
      <w:r w:rsidR="00C40E5A">
        <w:t>imagined</w:t>
      </w:r>
      <w:r w:rsidR="005E3D9C">
        <w:t xml:space="preserve"> future</w:t>
      </w:r>
      <w:r w:rsidR="00FD1538">
        <w:t>s</w:t>
      </w:r>
      <w:r w:rsidR="005E3D9C">
        <w:t xml:space="preserve"> of liberal peace </w:t>
      </w:r>
      <w:r w:rsidR="004E4132">
        <w:t>in Gaza</w:t>
      </w:r>
      <w:r w:rsidR="005E3D9C" w:rsidRPr="00424AD9">
        <w:t>.</w:t>
      </w:r>
      <w:r w:rsidR="00F92D8A">
        <w:t xml:space="preserve"> </w:t>
      </w:r>
      <w:r w:rsidR="001028C1">
        <w:t xml:space="preserve">Analysing these temporal assumptions and experiences – of protracted delay, cyclical bureaucratic processes, and palliative relief efforts – speaks to how temporal paralysis in the aftermath of the Nakba </w:t>
      </w:r>
      <w:r w:rsidR="00F82A9C">
        <w:t>affected international staff and their conceptions of</w:t>
      </w:r>
      <w:r>
        <w:t xml:space="preserve"> different ideas of</w:t>
      </w:r>
      <w:r w:rsidR="00F82A9C">
        <w:t xml:space="preserve"> conflict resolution in the region.</w:t>
      </w:r>
    </w:p>
    <w:p w14:paraId="161887F6" w14:textId="4BA8B1D0" w:rsidR="00496C11" w:rsidRDefault="00166B30" w:rsidP="00BD1F3A">
      <w:pPr>
        <w:spacing w:after="0" w:line="480" w:lineRule="auto"/>
        <w:ind w:firstLine="720"/>
        <w:contextualSpacing/>
        <w:jc w:val="both"/>
        <w:rPr>
          <w:rFonts w:cstheme="minorHAnsi"/>
          <w:szCs w:val="24"/>
        </w:rPr>
      </w:pPr>
      <w:r>
        <w:t xml:space="preserve">This article uses a </w:t>
      </w:r>
      <w:r w:rsidR="00B06AE6">
        <w:t>historical IR approach</w:t>
      </w:r>
      <w:r>
        <w:t xml:space="preserve"> to examine </w:t>
      </w:r>
      <w:r w:rsidR="00370744">
        <w:t xml:space="preserve">how displaced Palestinian protestors sought to capitalise on the temporal rupture of the UN ‘Gaza exception’ to assert their rights and resist the internationalisation of Gaza. </w:t>
      </w:r>
      <w:r w:rsidR="005E4AA0">
        <w:t xml:space="preserve">Adopting </w:t>
      </w:r>
      <w:r w:rsidR="00370744">
        <w:t>an</w:t>
      </w:r>
      <w:r w:rsidR="00A675FB">
        <w:t xml:space="preserve"> interdisciplinary </w:t>
      </w:r>
      <w:r w:rsidR="00A675FB">
        <w:lastRenderedPageBreak/>
        <w:t>a</w:t>
      </w:r>
      <w:r w:rsidR="005E4AA0">
        <w:t>pproach</w:t>
      </w:r>
      <w:r w:rsidR="00370744">
        <w:t>, I</w:t>
      </w:r>
      <w:r w:rsidR="005E4AA0">
        <w:t xml:space="preserve"> </w:t>
      </w:r>
      <w:r w:rsidR="00B06AE6">
        <w:t>combine theoretical</w:t>
      </w:r>
      <w:r w:rsidR="005E4AA0">
        <w:t xml:space="preserve"> and </w:t>
      </w:r>
      <w:r w:rsidR="00B06AE6">
        <w:t>empirical</w:t>
      </w:r>
      <w:r w:rsidR="005E4AA0">
        <w:t xml:space="preserve"> analys</w:t>
      </w:r>
      <w:r w:rsidR="00B06AE6">
        <w:t>es</w:t>
      </w:r>
      <w:r w:rsidR="005E4AA0">
        <w:t xml:space="preserve"> of the </w:t>
      </w:r>
      <w:r w:rsidR="00370744">
        <w:t xml:space="preserve">contingent </w:t>
      </w:r>
      <w:r w:rsidR="005E4AA0">
        <w:t xml:space="preserve">decisions that shaped Palestinian </w:t>
      </w:r>
      <w:r w:rsidR="00B06AE6">
        <w:t xml:space="preserve">politics – and international understandings thereof – </w:t>
      </w:r>
      <w:r w:rsidR="005E4AA0">
        <w:t>thus avoiding collaps</w:t>
      </w:r>
      <w:r w:rsidR="00D70033">
        <w:t xml:space="preserve">es decision-making in </w:t>
      </w:r>
      <w:r w:rsidR="005E4AA0">
        <w:t>the past into a linear or teleological narrativ</w:t>
      </w:r>
      <w:r w:rsidR="00D70033">
        <w:t>e</w:t>
      </w:r>
      <w:r w:rsidR="005E4AA0">
        <w:t xml:space="preserve">. </w:t>
      </w:r>
      <w:r w:rsidR="00D70033" w:rsidRPr="00D70033">
        <w:rPr>
          <w:rFonts w:cstheme="minorHAnsi"/>
          <w:szCs w:val="24"/>
        </w:rPr>
        <w:t xml:space="preserve">First, I reveal the UN leadership’s efforts to restore post-Nakba temporal paralysis on the strip as a model of conflict response. Secondly, I show how the </w:t>
      </w:r>
      <w:r w:rsidR="00BE4A51">
        <w:rPr>
          <w:rFonts w:cstheme="minorHAnsi"/>
          <w:szCs w:val="24"/>
        </w:rPr>
        <w:t>UN response to Palestinian protests</w:t>
      </w:r>
      <w:r w:rsidR="00D70033" w:rsidRPr="00D70033">
        <w:rPr>
          <w:rFonts w:cstheme="minorHAnsi"/>
          <w:szCs w:val="24"/>
        </w:rPr>
        <w:t xml:space="preserve"> </w:t>
      </w:r>
      <w:r w:rsidR="00BE4A51">
        <w:rPr>
          <w:rFonts w:cstheme="minorHAnsi"/>
          <w:szCs w:val="24"/>
        </w:rPr>
        <w:t>aligned with</w:t>
      </w:r>
      <w:r w:rsidR="00D70033" w:rsidRPr="00D70033">
        <w:rPr>
          <w:rFonts w:cstheme="minorHAnsi"/>
          <w:szCs w:val="24"/>
        </w:rPr>
        <w:t xml:space="preserve"> a Zionist perspective on the protracted nature of the conflict. </w:t>
      </w:r>
      <w:r w:rsidR="006E6DC0">
        <w:rPr>
          <w:rFonts w:cstheme="minorHAnsi"/>
          <w:szCs w:val="24"/>
        </w:rPr>
        <w:t xml:space="preserve">Thirdly, through details of the Palestinian anti-UN protests, I explore how the displaced population used the ‘Gaza exception’ as a rare moment of </w:t>
      </w:r>
      <w:r w:rsidR="00794034">
        <w:rPr>
          <w:rFonts w:cstheme="minorHAnsi"/>
          <w:szCs w:val="24"/>
        </w:rPr>
        <w:t xml:space="preserve">temporal </w:t>
      </w:r>
      <w:r w:rsidR="006E6DC0">
        <w:rPr>
          <w:rFonts w:cstheme="minorHAnsi"/>
          <w:szCs w:val="24"/>
        </w:rPr>
        <w:t xml:space="preserve">rupture </w:t>
      </w:r>
      <w:r w:rsidR="00794034">
        <w:rPr>
          <w:rFonts w:cstheme="minorHAnsi"/>
          <w:szCs w:val="24"/>
        </w:rPr>
        <w:t>to demand their self-determination.</w:t>
      </w:r>
      <w:r w:rsidR="006E6DC0">
        <w:rPr>
          <w:rFonts w:cstheme="minorHAnsi"/>
          <w:szCs w:val="24"/>
        </w:rPr>
        <w:t xml:space="preserve"> </w:t>
      </w:r>
      <w:r w:rsidR="00D70033" w:rsidRPr="00D70033">
        <w:rPr>
          <w:rFonts w:cstheme="minorHAnsi"/>
          <w:szCs w:val="24"/>
        </w:rPr>
        <w:t xml:space="preserve">Finally, I </w:t>
      </w:r>
      <w:r w:rsidR="006E6DC0">
        <w:rPr>
          <w:rFonts w:cstheme="minorHAnsi"/>
          <w:szCs w:val="24"/>
        </w:rPr>
        <w:t>argue that</w:t>
      </w:r>
      <w:r w:rsidR="00D70033" w:rsidRPr="00D70033">
        <w:rPr>
          <w:rFonts w:cstheme="minorHAnsi"/>
          <w:szCs w:val="24"/>
        </w:rPr>
        <w:t xml:space="preserve"> the UNEF occupation legitimised Israel’s efforts to renegotiate regional borders and associate Palestinians with conflict in the region</w:t>
      </w:r>
      <w:r w:rsidR="001028C1">
        <w:rPr>
          <w:rFonts w:cstheme="minorHAnsi"/>
          <w:szCs w:val="24"/>
        </w:rPr>
        <w:t xml:space="preserve"> through its public statements on the protests</w:t>
      </w:r>
      <w:r w:rsidR="00D70033" w:rsidRPr="00D70033">
        <w:rPr>
          <w:rFonts w:cstheme="minorHAnsi"/>
          <w:szCs w:val="24"/>
        </w:rPr>
        <w:t>.</w:t>
      </w:r>
    </w:p>
    <w:p w14:paraId="5F8A73B7" w14:textId="77777777" w:rsidR="00AF2796" w:rsidRDefault="00AF2796" w:rsidP="00BD1F3A">
      <w:pPr>
        <w:pStyle w:val="NoSpacing"/>
        <w:spacing w:line="480" w:lineRule="auto"/>
      </w:pPr>
    </w:p>
    <w:p w14:paraId="4019124A" w14:textId="77777777" w:rsidR="00496C11" w:rsidRDefault="00496C11" w:rsidP="00BD1F3A">
      <w:pPr>
        <w:pStyle w:val="Heading2"/>
        <w:spacing w:line="480" w:lineRule="auto"/>
      </w:pPr>
      <w:r>
        <w:t>Using Time to Trace Power</w:t>
      </w:r>
    </w:p>
    <w:p w14:paraId="1CDF71CF" w14:textId="77777777" w:rsidR="00496C11" w:rsidRPr="00AF2796" w:rsidRDefault="00496C11" w:rsidP="00BD1F3A">
      <w:pPr>
        <w:pStyle w:val="NoSpacing"/>
        <w:spacing w:line="480" w:lineRule="auto"/>
      </w:pPr>
    </w:p>
    <w:p w14:paraId="431DCC45" w14:textId="77777777" w:rsidR="00496C11" w:rsidRDefault="00496C11" w:rsidP="00BD1F3A">
      <w:pPr>
        <w:spacing w:after="0" w:line="480" w:lineRule="auto"/>
        <w:contextualSpacing/>
        <w:jc w:val="both"/>
      </w:pPr>
      <w:r>
        <w:t>The temporal turn in IR has reinvented how we understand political sense- and decision-making, especially in contexts of international intervention or conflict.</w:t>
      </w:r>
      <w:r>
        <w:rPr>
          <w:rStyle w:val="FootnoteReference"/>
        </w:rPr>
        <w:footnoteReference w:id="4"/>
      </w:r>
      <w:r>
        <w:t xml:space="preserve"> Challenging time as </w:t>
      </w:r>
      <w:r>
        <w:lastRenderedPageBreak/>
        <w:t>a neutral or apolitical concept, many of these works have explored how temporal ideas and assumptions are politically malleable, constructed, and weaponizable.  have important ontological and epistemic implications. Kimberly Hutchings has explored how understandings and judgments of time shaped political actions, or ‘how temporal assumptions (often conveyed via metaphors) made epistemic and ethical judgements about international politics possible.’</w:t>
      </w:r>
      <w:r>
        <w:rPr>
          <w:rStyle w:val="FootnoteReference"/>
        </w:rPr>
        <w:footnoteReference w:id="5"/>
      </w:r>
      <w:r>
        <w:t xml:space="preserve"> In this vein, scholars have increasingly drawn attention to the co-constitutive politics of temporality and governmentality, especially at the intersections of state power, conflict, and colonialism.</w:t>
      </w:r>
      <w:r>
        <w:rPr>
          <w:rStyle w:val="FootnoteReference"/>
        </w:rPr>
        <w:footnoteReference w:id="6"/>
      </w:r>
      <w:r>
        <w:t xml:space="preserve"> Feminist IR scholars, such as Victoria Canning, </w:t>
      </w:r>
      <w:r w:rsidRPr="00D43555">
        <w:t>Monish Bhati</w:t>
      </w:r>
      <w:r>
        <w:t xml:space="preserve">a, Louise Ridden, and Emily Clifford among others have investigated the lived </w:t>
      </w:r>
      <w:r w:rsidRPr="00D43555">
        <w:t>realities of time and</w:t>
      </w:r>
      <w:r>
        <w:t xml:space="preserve"> politics of</w:t>
      </w:r>
      <w:r w:rsidRPr="00D43555">
        <w:t xml:space="preserve"> temporality in </w:t>
      </w:r>
      <w:r>
        <w:t>displacement and/or conflict</w:t>
      </w:r>
      <w:r w:rsidRPr="00D43555">
        <w:t xml:space="preserve"> </w:t>
      </w:r>
      <w:r>
        <w:t>experiences, focusing on the ways in which civilians have sought to retain power in coercive circumstances and in spite of bureaucratic paralysis.</w:t>
      </w:r>
      <w:r>
        <w:rPr>
          <w:rStyle w:val="FootnoteReference"/>
        </w:rPr>
        <w:footnoteReference w:id="7"/>
      </w:r>
      <w:r>
        <w:t xml:space="preserve"> </w:t>
      </w:r>
    </w:p>
    <w:p w14:paraId="69324423" w14:textId="77777777" w:rsidR="00496C11" w:rsidRDefault="00496C11" w:rsidP="00BD1F3A">
      <w:pPr>
        <w:spacing w:after="0" w:line="480" w:lineRule="auto"/>
        <w:ind w:firstLine="720"/>
        <w:contextualSpacing/>
        <w:jc w:val="both"/>
      </w:pPr>
      <w:r>
        <w:t>Building upon this temporal turn, critical IR scholarship has begun to address the temporal politics of displacement and conflict</w:t>
      </w:r>
      <w:r w:rsidRPr="000968A7">
        <w:t xml:space="preserve"> </w:t>
      </w:r>
      <w:r>
        <w:t xml:space="preserve">in contemporary Palestine, pushing beyond the academic focus on the </w:t>
      </w:r>
      <w:r w:rsidRPr="001735F5">
        <w:rPr>
          <w:i/>
          <w:iCs/>
        </w:rPr>
        <w:t>spatial</w:t>
      </w:r>
      <w:r>
        <w:t xml:space="preserve"> dimensions of settler colonialism and drawing attention to </w:t>
      </w:r>
      <w:r>
        <w:lastRenderedPageBreak/>
        <w:t>the perceived ‘temporariness’ of Palestinian life.</w:t>
      </w:r>
      <w:r>
        <w:rPr>
          <w:rStyle w:val="FootnoteReference"/>
        </w:rPr>
        <w:footnoteReference w:id="8"/>
      </w:r>
      <w:r>
        <w:t xml:space="preserve"> Nasser </w:t>
      </w:r>
      <w:r w:rsidRPr="00ED7D5F">
        <w:t>Abourahme</w:t>
      </w:r>
      <w:r>
        <w:t xml:space="preserve"> has addressed the temporal politics of the Israeli Zionist project, shedding light on the temporal paradoxes baked-into the displacement.</w:t>
      </w:r>
      <w:r>
        <w:rPr>
          <w:rStyle w:val="FootnoteReference"/>
        </w:rPr>
        <w:footnoteReference w:id="9"/>
      </w:r>
      <w:r>
        <w:t xml:space="preserve"> In this way, he frames the settler mindset as ‘a</w:t>
      </w:r>
      <w:r w:rsidRPr="00363E07">
        <w:t xml:space="preserve"> project stuck at its foundational moment of conquest</w:t>
      </w:r>
      <w:r>
        <w:t xml:space="preserve">’ during the Nakba, whilst simultaneously fantasising of ‘settler futurity’ and a spatial occupation that has succeeded in permanent ethnic cleansing. Abourahme argues that </w:t>
      </w:r>
      <w:r w:rsidRPr="00363E07">
        <w:t xml:space="preserve">the Palestinian insistence on </w:t>
      </w:r>
      <w:r>
        <w:t>their right to return – and thus their refusal of ‘closure’ into settler futurity – has evolved into an ‘</w:t>
      </w:r>
      <w:r w:rsidRPr="006819F5">
        <w:t>anticolonial refusal that draws its power not from any decisive finality, but precisely from irresolution and keeping time open</w:t>
      </w:r>
      <w:r>
        <w:t>’</w:t>
      </w:r>
      <w:r w:rsidRPr="006819F5">
        <w:t>.</w:t>
      </w:r>
      <w:r>
        <w:rPr>
          <w:rStyle w:val="FootnoteReference"/>
        </w:rPr>
        <w:footnoteReference w:id="10"/>
      </w:r>
      <w:r>
        <w:t xml:space="preserve"> </w:t>
      </w:r>
    </w:p>
    <w:p w14:paraId="486CE116" w14:textId="77777777" w:rsidR="00496C11" w:rsidRDefault="00496C11" w:rsidP="00BD1F3A">
      <w:pPr>
        <w:spacing w:after="0" w:line="480" w:lineRule="auto"/>
        <w:ind w:firstLine="720"/>
        <w:contextualSpacing/>
        <w:jc w:val="both"/>
      </w:pPr>
      <w:r>
        <w:t>But why did Palestinians find the UNEF administration so objectionable if open-endedness was a preferred form of anticolonial refusal, for Abourahme? This article examines how displaced Palestinian protestors sought to capitalise on the temporal rupture of the Suez Crisis so as to assert their rights and resist the internationalisation of Gaza – a process that Abourahme has phrased ‘Indigenous refusal’.</w:t>
      </w:r>
      <w:r>
        <w:rPr>
          <w:rStyle w:val="FootnoteReference"/>
        </w:rPr>
        <w:footnoteReference w:id="11"/>
      </w:r>
      <w:r>
        <w:t xml:space="preserve"> Contextualising these concepts of ‘settler futurity’ and ‘anticolonial refusal’, I show how this dynamic Palestinian ‘open-endedness’ is different and at odds with UN ‘open-endedness’ which seeks stasis and the practice of permanence with the legal responsibilities of temporarily. In my reading, </w:t>
      </w:r>
      <w:r>
        <w:lastRenderedPageBreak/>
        <w:t>Palestinian ‘open-endedness’ is anticolonial, a form of ‘indigenous refusal’, actively resisting Israeli efforts to foreclose time into ‘settler futurity’, whereas UN ‘open-endedness’ was perceived as a weakening of this ‘indigenous refusal’; an ‘occupation’ rather than a democratic administration. Informed by Hutchings’ concept of temporal ‘claim-makers’,</w:t>
      </w:r>
      <w:r>
        <w:rPr>
          <w:rStyle w:val="FootnoteReference"/>
        </w:rPr>
        <w:footnoteReference w:id="12"/>
      </w:r>
      <w:r>
        <w:t xml:space="preserve"> I suggest that an open-ended UN occupation was perceived by Palestinians as a dilution of the small amount of agency and power they accrued under Egyptian military administration (1948 – 1967) and, indeed, as part of the same settler colonial instinct that drove Zionist occupation efforts. In this way, for Palestinian protestors, the shared Arab identity and non-aligned politics of the Egyptian government made its administration in Gaza adequately ‘anticolonial’ to offer a form of ‘indigenous refusal’ that did not violate their anticolonial values.</w:t>
      </w:r>
    </w:p>
    <w:p w14:paraId="1403D1D3" w14:textId="77777777" w:rsidR="00496C11" w:rsidRDefault="00496C11" w:rsidP="00BD1F3A">
      <w:pPr>
        <w:spacing w:after="0" w:line="480" w:lineRule="auto"/>
        <w:ind w:firstLine="720"/>
        <w:contextualSpacing/>
        <w:jc w:val="both"/>
      </w:pPr>
      <w:r>
        <w:t>In her work on colonial administrations and bureaucratic power, Ann Stoler has reflected on the legalistic instruments that enabled officials to control ‘</w:t>
      </w:r>
      <w:r w:rsidRPr="00EA51C6">
        <w:t>states of postponement and deferral</w:t>
      </w:r>
      <w:r>
        <w:t>’ for colonised peoples, unpacking examples of bureaucratic processes that served as</w:t>
      </w:r>
      <w:r w:rsidRPr="00EA51C6">
        <w:t xml:space="preserve"> </w:t>
      </w:r>
      <w:r>
        <w:t>‘</w:t>
      </w:r>
      <w:r w:rsidRPr="00EA51C6">
        <w:t>promissory notes for sovereignty, autonomy, and services that are issued, suspended, conferred, or curtailed, and reissued agai</w:t>
      </w:r>
      <w:r>
        <w:t>n’.</w:t>
      </w:r>
      <w:r>
        <w:rPr>
          <w:rStyle w:val="FootnoteReference"/>
        </w:rPr>
        <w:footnoteReference w:id="13"/>
      </w:r>
      <w:r>
        <w:t xml:space="preserve"> She asserts that, ‘International development programs and humanitarian refugee camps rehearse that political deferral again and again’.</w:t>
      </w:r>
      <w:r>
        <w:rPr>
          <w:rStyle w:val="FootnoteReference"/>
        </w:rPr>
        <w:footnoteReference w:id="14"/>
      </w:r>
      <w:r>
        <w:t xml:space="preserve"> Stoler explores the governmentality of time using the term ‘duress’, identifying how a loss of control over one’s own time – especially repeatedly – is </w:t>
      </w:r>
      <w:r>
        <w:lastRenderedPageBreak/>
        <w:t xml:space="preserve">painful and dehumanising; the banality of procedural violence experienced as a rejection of humanity and individual life. Indeed, Zephania’s poem that opens this article is a reaction to the specific emotional torture of procedural </w:t>
      </w:r>
      <w:r w:rsidRPr="00922E32">
        <w:rPr>
          <w:i/>
          <w:iCs/>
        </w:rPr>
        <w:t>repetition</w:t>
      </w:r>
      <w:r>
        <w:t xml:space="preserve"> and the temporal injustice of feeling stuck in the same position despite taking all available actions. Daniel Haines has similarly explored how individuals’ ideas of personhood were deeply connected to their affective understanding of time and context: ‘</w:t>
      </w:r>
      <w:r w:rsidRPr="00033266">
        <w:t>Their sense of themselves as individuals, as subjects of experience, was constructed at the intersection between the earthquake’s effects on their environment and the powerful emotions that it triggered</w:t>
      </w:r>
      <w:r>
        <w:t>’.</w:t>
      </w:r>
      <w:r>
        <w:rPr>
          <w:rStyle w:val="FootnoteReference"/>
        </w:rPr>
        <w:footnoteReference w:id="15"/>
      </w:r>
      <w:r w:rsidRPr="00033266">
        <w:t xml:space="preserve"> </w:t>
      </w:r>
      <w:r>
        <w:t>In this way, uncertainty over one’s control of time or future were core aspects of colonised peoples’ experiences of coercive authority in contexts of liberal colonial governance</w:t>
      </w:r>
      <w:r>
        <w:rPr>
          <w:i/>
          <w:iCs/>
        </w:rPr>
        <w:t xml:space="preserve">, </w:t>
      </w:r>
      <w:r>
        <w:t>shaping their sense of self and personal agency.</w:t>
      </w:r>
      <w:r>
        <w:rPr>
          <w:rStyle w:val="FootnoteReference"/>
        </w:rPr>
        <w:footnoteReference w:id="16"/>
      </w:r>
    </w:p>
    <w:p w14:paraId="07DCE3BA" w14:textId="25AB73A5" w:rsidR="00496C11" w:rsidRPr="00496C11" w:rsidRDefault="00496C11" w:rsidP="00BD1F3A">
      <w:pPr>
        <w:spacing w:after="0" w:line="480" w:lineRule="auto"/>
        <w:ind w:firstLine="720"/>
        <w:contextualSpacing/>
        <w:jc w:val="both"/>
      </w:pPr>
      <w:r>
        <w:t xml:space="preserve">Fewer scholars have examined time as a weapon of control in cases of historical global governance, in spite of the shared patterns of control and paternalism, and yet it is possible to discern the impact of temporality in literature on the League of Nation’s Mandate System and the UN Trusteeship Council. For instance, many have examined how these international institutions categorised many colonised populations as ‘not yet ready’ for self-government, perpetuating a model of European supremacy that deferred the question of </w:t>
      </w:r>
      <w:r>
        <w:lastRenderedPageBreak/>
        <w:t>independence to an unfixed future.</w:t>
      </w:r>
      <w:r>
        <w:rPr>
          <w:rStyle w:val="FootnoteReference"/>
        </w:rPr>
        <w:footnoteReference w:id="17"/>
      </w:r>
      <w:r>
        <w:t xml:space="preserve"> In conflict contexts, as in the Suez Crisis, this power to defer justice was intensified as emergency powers limited civil liberties, provided the justification of more pressing priorities, and tested the boundaries of international law. In the liminal moment of territorial transitions and international administration, the elasticity of this period does not benefit the colonised population. </w:t>
      </w:r>
    </w:p>
    <w:p w14:paraId="06192470" w14:textId="77777777" w:rsidR="00CD5947" w:rsidRDefault="00CD5947" w:rsidP="00BD1F3A">
      <w:pPr>
        <w:pStyle w:val="NoSpacing"/>
        <w:spacing w:line="480" w:lineRule="auto"/>
      </w:pPr>
    </w:p>
    <w:p w14:paraId="282BD9FC" w14:textId="0F5EA219" w:rsidR="004542A8" w:rsidRPr="009019ED" w:rsidRDefault="00955759" w:rsidP="00BD1F3A">
      <w:pPr>
        <w:pStyle w:val="Heading2"/>
        <w:spacing w:line="480" w:lineRule="auto"/>
      </w:pPr>
      <w:r>
        <w:t xml:space="preserve">The </w:t>
      </w:r>
      <w:r w:rsidR="009019ED" w:rsidRPr="009019ED">
        <w:t>Suez Crisis</w:t>
      </w:r>
      <w:r w:rsidR="004542A8" w:rsidRPr="009019ED">
        <w:t xml:space="preserve"> as Temporal Rupture</w:t>
      </w:r>
    </w:p>
    <w:p w14:paraId="11D1B163" w14:textId="77777777" w:rsidR="004542A8" w:rsidRPr="004542A8" w:rsidRDefault="004542A8" w:rsidP="00BD1F3A">
      <w:pPr>
        <w:pStyle w:val="NoSpacing"/>
        <w:spacing w:line="480" w:lineRule="auto"/>
      </w:pPr>
    </w:p>
    <w:p w14:paraId="0D75648B" w14:textId="791C21BE" w:rsidR="001028C1" w:rsidRDefault="005108E3" w:rsidP="00BD1F3A">
      <w:pPr>
        <w:spacing w:after="0" w:line="480" w:lineRule="auto"/>
        <w:contextualSpacing/>
        <w:jc w:val="both"/>
      </w:pPr>
      <w:r>
        <w:t>The Suez Crisis was provoked by the invasion of Israeli, British, and French forces into Egyptian territory in late October</w:t>
      </w:r>
      <w:r w:rsidR="004A5C46">
        <w:t xml:space="preserve"> and November</w:t>
      </w:r>
      <w:r>
        <w:t xml:space="preserve"> 1956. </w:t>
      </w:r>
      <w:r w:rsidR="000F7088" w:rsidRPr="007E3EC6">
        <w:t xml:space="preserve">In the immediate fallout, </w:t>
      </w:r>
      <w:r w:rsidR="00C67ECB">
        <w:t>the UN General Assembly authorised the establishment of a</w:t>
      </w:r>
      <w:r w:rsidR="00591302">
        <w:t>n armed peacekeeping mission, the United Nations Emergency Force (UNEF), the first of its kind, which</w:t>
      </w:r>
      <w:r>
        <w:t xml:space="preserve"> would be a</w:t>
      </w:r>
      <w:r w:rsidR="00591302">
        <w:t xml:space="preserve"> multinational force </w:t>
      </w:r>
      <w:r>
        <w:t>tasked with withdrawing the t</w:t>
      </w:r>
      <w:r w:rsidR="00591302">
        <w:t>ripartite forces</w:t>
      </w:r>
      <w:r>
        <w:t xml:space="preserve"> from</w:t>
      </w:r>
      <w:r w:rsidR="00CD7BF6">
        <w:t xml:space="preserve"> Suez, Sinai, and the Gaza Strip</w:t>
      </w:r>
      <w:r w:rsidR="00591302">
        <w:t>.</w:t>
      </w:r>
      <w:r w:rsidR="004A5C46">
        <w:rPr>
          <w:rStyle w:val="FootnoteReference"/>
        </w:rPr>
        <w:footnoteReference w:id="18"/>
      </w:r>
      <w:r w:rsidR="00591302">
        <w:t xml:space="preserve"> </w:t>
      </w:r>
      <w:r>
        <w:t>Yet r</w:t>
      </w:r>
      <w:r w:rsidR="00591302">
        <w:t xml:space="preserve">ather than restoring the </w:t>
      </w:r>
      <w:r>
        <w:t xml:space="preserve">1948 </w:t>
      </w:r>
      <w:r w:rsidR="00591302">
        <w:t xml:space="preserve">Armistice </w:t>
      </w:r>
      <w:r w:rsidR="004A5C46">
        <w:t>Borders (</w:t>
      </w:r>
      <w:r w:rsidR="00591302">
        <w:t>as i</w:t>
      </w:r>
      <w:r>
        <w:t>t had done in S</w:t>
      </w:r>
      <w:r w:rsidR="00591302">
        <w:t>uez and Sin</w:t>
      </w:r>
      <w:r>
        <w:t>a</w:t>
      </w:r>
      <w:r w:rsidR="00591302">
        <w:t>i</w:t>
      </w:r>
      <w:r>
        <w:t>)</w:t>
      </w:r>
      <w:r w:rsidR="00591302">
        <w:t xml:space="preserve">, the UN mission </w:t>
      </w:r>
      <w:r>
        <w:t xml:space="preserve">took over </w:t>
      </w:r>
      <w:r w:rsidR="00591302">
        <w:t>the</w:t>
      </w:r>
      <w:r>
        <w:t xml:space="preserve"> administration of the</w:t>
      </w:r>
      <w:r w:rsidR="00591302">
        <w:t xml:space="preserve"> Gaza Strip </w:t>
      </w:r>
      <w:r>
        <w:t>in March 1957, replacing the Israeli occupiers</w:t>
      </w:r>
      <w:r w:rsidR="004A5C46">
        <w:t>, without legal deadline for withdrawal</w:t>
      </w:r>
      <w:r>
        <w:t xml:space="preserve">. By delineating Gaza </w:t>
      </w:r>
      <w:r w:rsidR="00591302">
        <w:t xml:space="preserve">from other Egyptian territories, </w:t>
      </w:r>
      <w:r>
        <w:t>the mission</w:t>
      </w:r>
      <w:r w:rsidR="00CD7BF6">
        <w:t xml:space="preserve"> </w:t>
      </w:r>
      <w:r>
        <w:t>(re-)</w:t>
      </w:r>
      <w:r w:rsidR="00CD7BF6">
        <w:t>open</w:t>
      </w:r>
      <w:r>
        <w:t>ed</w:t>
      </w:r>
      <w:r w:rsidR="00CD7BF6">
        <w:t xml:space="preserve"> up</w:t>
      </w:r>
      <w:r w:rsidR="00591302">
        <w:t xml:space="preserve"> </w:t>
      </w:r>
      <w:r>
        <w:t xml:space="preserve">an </w:t>
      </w:r>
      <w:r w:rsidR="00591302">
        <w:t xml:space="preserve">international discussion on </w:t>
      </w:r>
      <w:r w:rsidR="00591302">
        <w:lastRenderedPageBreak/>
        <w:t>the ‘Palestinian Question’.</w:t>
      </w:r>
      <w:r w:rsidR="004A5C46">
        <w:t xml:space="preserve"> </w:t>
      </w:r>
      <w:r w:rsidR="00CD7BF6">
        <w:t>This open-endedness meant that UNEF’s occupation</w:t>
      </w:r>
      <w:r w:rsidR="00591302">
        <w:t xml:space="preserve"> was not perceived on a traditional, linear timeline, with </w:t>
      </w:r>
      <w:r w:rsidR="0041738D">
        <w:t xml:space="preserve">days, months, and </w:t>
      </w:r>
      <w:r w:rsidR="00591302">
        <w:t>years spaced equally apart. Instead, the conflict provoked a reimagining of time and space in Palestine during the first few months of 1957 as a range of actors made sense of the UN intervention – and its future meaning(s) for the region and the rest of the world – through temporal and spatial metaphors of (political) deferral.</w:t>
      </w:r>
      <w:r w:rsidR="00591302" w:rsidRPr="00591302">
        <w:t xml:space="preserve"> </w:t>
      </w:r>
      <w:r w:rsidR="0041738D">
        <w:t xml:space="preserve">The international administration sought to paradoxically hold those living on the strip in a form of </w:t>
      </w:r>
      <w:r w:rsidR="0041738D" w:rsidRPr="00CD7BF6">
        <w:rPr>
          <w:i/>
          <w:iCs/>
        </w:rPr>
        <w:t>permanent temporariness</w:t>
      </w:r>
      <w:r w:rsidR="00CD7BF6">
        <w:rPr>
          <w:i/>
          <w:iCs/>
        </w:rPr>
        <w:t xml:space="preserve">, </w:t>
      </w:r>
      <w:r w:rsidR="00CD7BF6">
        <w:t>perpetuating the paralysis of the humanitarian operations in the region and the promise of Palestinian displacement only being a ‘temporary problem’ within the UN</w:t>
      </w:r>
      <w:r w:rsidR="0041738D">
        <w:t>.</w:t>
      </w:r>
      <w:r w:rsidR="00CD7BF6">
        <w:rPr>
          <w:rStyle w:val="FootnoteReference"/>
        </w:rPr>
        <w:footnoteReference w:id="19"/>
      </w:r>
      <w:r w:rsidR="0041738D">
        <w:t xml:space="preserve"> </w:t>
      </w:r>
      <w:r w:rsidR="00591302">
        <w:t>This deferral of justice was accompanied by the implicit promise of future resolution, even if the promise was open-ended or doubted by the colonised population, prompting a cycle of hope and despair</w:t>
      </w:r>
      <w:r w:rsidR="0041738D">
        <w:t>, as well as bureaucratic processes</w:t>
      </w:r>
      <w:r w:rsidR="00591302">
        <w:t>.</w:t>
      </w:r>
      <w:r w:rsidR="00591302">
        <w:rPr>
          <w:rStyle w:val="FootnoteReference"/>
        </w:rPr>
        <w:footnoteReference w:id="20"/>
      </w:r>
      <w:r w:rsidR="00591302">
        <w:t xml:space="preserve"> It was thus more coercive than </w:t>
      </w:r>
      <w:r w:rsidR="00591302" w:rsidRPr="00E30828">
        <w:t>delayed</w:t>
      </w:r>
      <w:r w:rsidR="00591302">
        <w:t xml:space="preserve"> justice</w:t>
      </w:r>
      <w:r w:rsidR="00F27480">
        <w:t>; by</w:t>
      </w:r>
      <w:r w:rsidR="00591302">
        <w:t xml:space="preserve"> </w:t>
      </w:r>
      <w:r w:rsidR="00F27480">
        <w:t>articulating</w:t>
      </w:r>
      <w:r w:rsidR="00591302">
        <w:t xml:space="preserve"> a specific future goal – in this case, the return of the strip to Egyptian control – </w:t>
      </w:r>
      <w:r w:rsidR="00F27480">
        <w:t>on the condition of</w:t>
      </w:r>
      <w:r w:rsidR="00591302">
        <w:t xml:space="preserve"> the occupier’</w:t>
      </w:r>
      <w:r w:rsidR="00F27480">
        <w:t xml:space="preserve">s perceived approval, </w:t>
      </w:r>
      <w:r w:rsidR="00591302">
        <w:t xml:space="preserve">the colonised population </w:t>
      </w:r>
      <w:r w:rsidR="0010106B">
        <w:t>were</w:t>
      </w:r>
      <w:r w:rsidR="00F27480">
        <w:t xml:space="preserve"> compelled to </w:t>
      </w:r>
      <w:r w:rsidR="00591302">
        <w:t>behave</w:t>
      </w:r>
      <w:r w:rsidR="00F27480">
        <w:t xml:space="preserve"> as passively as possible to achieve this ill-defined authorisation</w:t>
      </w:r>
      <w:r w:rsidR="00591302">
        <w:t xml:space="preserve">. </w:t>
      </w:r>
    </w:p>
    <w:p w14:paraId="60F5CD56" w14:textId="4B8B1651" w:rsidR="00F50042" w:rsidRPr="00F50042" w:rsidRDefault="00F50042" w:rsidP="00BD1F3A">
      <w:pPr>
        <w:spacing w:after="0" w:line="480" w:lineRule="auto"/>
        <w:ind w:firstLine="720"/>
        <w:contextualSpacing/>
        <w:jc w:val="both"/>
        <w:rPr>
          <w:rFonts w:cstheme="minorHAnsi"/>
          <w:szCs w:val="24"/>
        </w:rPr>
      </w:pPr>
      <w:r>
        <w:t xml:space="preserve">It is thus more accurate to describe peacekeeping as a project of conflict </w:t>
      </w:r>
      <w:r w:rsidRPr="00AF2796">
        <w:rPr>
          <w:i/>
          <w:iCs/>
        </w:rPr>
        <w:t>deferral</w:t>
      </w:r>
      <w:r>
        <w:t xml:space="preserve"> rather than conflict </w:t>
      </w:r>
      <w:r w:rsidRPr="00AF2796">
        <w:rPr>
          <w:i/>
          <w:iCs/>
        </w:rPr>
        <w:t>deescalation</w:t>
      </w:r>
      <w:r>
        <w:t xml:space="preserve">, as normatively understood. </w:t>
      </w:r>
      <w:r>
        <w:rPr>
          <w:rFonts w:cstheme="minorHAnsi"/>
          <w:szCs w:val="24"/>
        </w:rPr>
        <w:t xml:space="preserve">In a later UN mission to Cyprus, a British peacekeeper described the UN peacekeeping strategy as putting a conflict ‘in the </w:t>
      </w:r>
      <w:r>
        <w:rPr>
          <w:rFonts w:cstheme="minorHAnsi"/>
          <w:szCs w:val="24"/>
        </w:rPr>
        <w:lastRenderedPageBreak/>
        <w:t>fridge’, often through an ethno-nationalist territorial partition, thus weaponizing time against the minority population.</w:t>
      </w:r>
      <w:r>
        <w:rPr>
          <w:rStyle w:val="FootnoteReference"/>
          <w:rFonts w:cstheme="minorHAnsi"/>
          <w:szCs w:val="24"/>
        </w:rPr>
        <w:footnoteReference w:id="21"/>
      </w:r>
      <w:r>
        <w:rPr>
          <w:rFonts w:cstheme="minorHAnsi"/>
          <w:szCs w:val="24"/>
        </w:rPr>
        <w:t xml:space="preserve"> This model of ‘deferral as conflict response’ was first tested in Palestine, with the attempt to construct an open-ended administration in Gaza in 1957, but was also a method used in Korea, Cyprus, and India, and has shaped ideas of intervention beyond the UN.</w:t>
      </w:r>
      <w:r>
        <w:rPr>
          <w:rStyle w:val="FootnoteReference"/>
          <w:rFonts w:cstheme="minorHAnsi"/>
          <w:szCs w:val="24"/>
        </w:rPr>
        <w:footnoteReference w:id="22"/>
      </w:r>
      <w:r>
        <w:rPr>
          <w:rFonts w:cstheme="minorHAnsi"/>
          <w:szCs w:val="24"/>
        </w:rPr>
        <w:t xml:space="preserve"> Although initially popular for implementing a ceasefire, this open-ended ‘freezing’ model perpetuated violence and political injustice for minority populations, from hardening communities into extremes and creating protracted humanitarian crises for those displaced, to decontextualising the conflict and forging ethno-nationalist homogenous territories.</w:t>
      </w:r>
      <w:r>
        <w:rPr>
          <w:rStyle w:val="FootnoteReference"/>
          <w:rFonts w:cstheme="minorHAnsi"/>
          <w:szCs w:val="24"/>
        </w:rPr>
        <w:footnoteReference w:id="23"/>
      </w:r>
      <w:r>
        <w:rPr>
          <w:rFonts w:cstheme="minorHAnsi"/>
          <w:szCs w:val="24"/>
        </w:rPr>
        <w:t xml:space="preserve"> </w:t>
      </w:r>
      <w:r w:rsidRPr="007E3EC6">
        <w:t>UN peacekeeping observer operations and commissions</w:t>
      </w:r>
      <w:r>
        <w:t xml:space="preserve"> in Israel and Palestine</w:t>
      </w:r>
      <w:r w:rsidRPr="007E3EC6">
        <w:t xml:space="preserve"> </w:t>
      </w:r>
      <w:r>
        <w:t>in the decade following the Nakba</w:t>
      </w:r>
      <w:r w:rsidRPr="007E3EC6">
        <w:t xml:space="preserve"> were </w:t>
      </w:r>
      <w:r>
        <w:t xml:space="preserve">a </w:t>
      </w:r>
      <w:r w:rsidRPr="007E3EC6">
        <w:t xml:space="preserve">means of pacifying </w:t>
      </w:r>
      <w:r>
        <w:t xml:space="preserve">the </w:t>
      </w:r>
      <w:r w:rsidRPr="007E3EC6">
        <w:t xml:space="preserve">population’s behaviour through time and space; both pausing </w:t>
      </w:r>
      <w:r w:rsidRPr="007E3EC6">
        <w:rPr>
          <w:i/>
          <w:iCs/>
        </w:rPr>
        <w:t xml:space="preserve">and </w:t>
      </w:r>
      <w:r w:rsidRPr="007E3EC6">
        <w:t>deferring political resolutions into, what Lauren Berlant has termed, the ‘cruel optimism’ of the unfixed future, situated just beyond a violent present.</w:t>
      </w:r>
      <w:r w:rsidRPr="007E3EC6">
        <w:rPr>
          <w:rStyle w:val="FootnoteReference"/>
        </w:rPr>
        <w:footnoteReference w:id="24"/>
      </w:r>
      <w:r w:rsidRPr="007E3EC6">
        <w:t xml:space="preserve"> </w:t>
      </w:r>
      <w:r>
        <w:t>Thus, b</w:t>
      </w:r>
      <w:r>
        <w:rPr>
          <w:rFonts w:cstheme="minorHAnsi"/>
          <w:szCs w:val="24"/>
        </w:rPr>
        <w:t>y ‘freezing’ a conflict, missions decontextualised it in international debates, provided a context for perpetual international management, and created the conditions for blame to fall upon the group being ‘frozen’ for not being more active in manifesting peace (rather than pursuing justice) and thus justifications for their resettlement.</w:t>
      </w:r>
    </w:p>
    <w:p w14:paraId="26BF9283" w14:textId="30EC1083" w:rsidR="00F92D8A" w:rsidRDefault="00591302" w:rsidP="00BD1F3A">
      <w:pPr>
        <w:spacing w:after="0" w:line="480" w:lineRule="auto"/>
        <w:ind w:firstLine="720"/>
        <w:contextualSpacing/>
        <w:jc w:val="both"/>
      </w:pPr>
      <w:r>
        <w:lastRenderedPageBreak/>
        <w:t xml:space="preserve">However, </w:t>
      </w:r>
      <w:r w:rsidR="0010106B">
        <w:t xml:space="preserve">by the time that the Israeli force </w:t>
      </w:r>
      <w:r w:rsidR="000F76ED">
        <w:t>transferred control of</w:t>
      </w:r>
      <w:r w:rsidR="0010106B">
        <w:t xml:space="preserve"> </w:t>
      </w:r>
      <w:r>
        <w:t>Gaza</w:t>
      </w:r>
      <w:r w:rsidR="0010106B">
        <w:t xml:space="preserve"> to the UNEF mission</w:t>
      </w:r>
      <w:r>
        <w:t xml:space="preserve">, Palestinians had already weathered </w:t>
      </w:r>
      <w:r w:rsidR="0010106B">
        <w:t xml:space="preserve">a decade of </w:t>
      </w:r>
      <w:r>
        <w:t xml:space="preserve">repeated promises and deferrals from the international community. </w:t>
      </w:r>
      <w:r w:rsidRPr="00C47ECB">
        <w:t xml:space="preserve">UNEF’s </w:t>
      </w:r>
      <w:r>
        <w:t xml:space="preserve">successful </w:t>
      </w:r>
      <w:r w:rsidRPr="00C47ECB">
        <w:t xml:space="preserve">takeover would have allowed the organisation to </w:t>
      </w:r>
      <w:r w:rsidR="0010106B">
        <w:t xml:space="preserve">continue to </w:t>
      </w:r>
      <w:r w:rsidRPr="00C47ECB">
        <w:t xml:space="preserve">delay </w:t>
      </w:r>
      <w:r w:rsidR="0010106B">
        <w:t xml:space="preserve">a </w:t>
      </w:r>
      <w:r w:rsidRPr="00C47ECB">
        <w:t>political resolutio</w:t>
      </w:r>
      <w:r w:rsidR="00F27480">
        <w:t>n</w:t>
      </w:r>
      <w:r w:rsidR="0010106B">
        <w:t xml:space="preserve"> and defer to Israeli threats of aggression in the region</w:t>
      </w:r>
      <w:r w:rsidR="00F27480">
        <w:t xml:space="preserve">. </w:t>
      </w:r>
      <w:r>
        <w:t xml:space="preserve">The population recognised that the territorial transition </w:t>
      </w:r>
      <w:r w:rsidR="00496C11">
        <w:t>of power (</w:t>
      </w:r>
      <w:r>
        <w:t xml:space="preserve">from </w:t>
      </w:r>
      <w:r w:rsidR="00496C11">
        <w:t xml:space="preserve">Egyptian to </w:t>
      </w:r>
      <w:r>
        <w:t>Israeli to UN</w:t>
      </w:r>
      <w:r w:rsidR="00496C11">
        <w:t>EF) over the past months provided</w:t>
      </w:r>
      <w:r>
        <w:t xml:space="preserve"> a </w:t>
      </w:r>
      <w:r w:rsidR="00F27480">
        <w:t xml:space="preserve">rare </w:t>
      </w:r>
      <w:r>
        <w:t xml:space="preserve">rupture in </w:t>
      </w:r>
      <w:r w:rsidR="00F27480">
        <w:t xml:space="preserve">the past decade of </w:t>
      </w:r>
      <w:r>
        <w:t xml:space="preserve">temporal </w:t>
      </w:r>
      <w:r w:rsidR="00F27480">
        <w:t>paralysis. This moment of opportunity</w:t>
      </w:r>
      <w:r>
        <w:t xml:space="preserve"> galvanis</w:t>
      </w:r>
      <w:r w:rsidR="00F27480">
        <w:t>ed</w:t>
      </w:r>
      <w:r>
        <w:t xml:space="preserve"> the population to reject the protracted future promised by the UNEF international administration</w:t>
      </w:r>
      <w:r w:rsidR="00F27480">
        <w:t>, break out of the coercive cycle of deferred justice,</w:t>
      </w:r>
      <w:r>
        <w:t xml:space="preserve"> and to insist on </w:t>
      </w:r>
      <w:r w:rsidR="00F27480">
        <w:t>self-determination</w:t>
      </w:r>
      <w:r>
        <w:t xml:space="preserve"> – or at least </w:t>
      </w:r>
      <w:r w:rsidR="00F27480">
        <w:t xml:space="preserve">to </w:t>
      </w:r>
      <w:r>
        <w:t xml:space="preserve">resist </w:t>
      </w:r>
      <w:r w:rsidR="003E32C9">
        <w:t xml:space="preserve">a </w:t>
      </w:r>
      <w:r w:rsidR="003E32C9">
        <w:rPr>
          <w:i/>
          <w:iCs/>
        </w:rPr>
        <w:t>new</w:t>
      </w:r>
      <w:r w:rsidR="00F27480">
        <w:t xml:space="preserve"> occup</w:t>
      </w:r>
      <w:r w:rsidR="003E32C9">
        <w:t>ier</w:t>
      </w:r>
      <w:r w:rsidR="00F27480">
        <w:t xml:space="preserve"> </w:t>
      </w:r>
      <w:r>
        <w:t>– right now.</w:t>
      </w:r>
    </w:p>
    <w:p w14:paraId="6A5A20DD" w14:textId="1C001DF9" w:rsidR="000F76ED" w:rsidRDefault="000F76ED" w:rsidP="00BD1F3A">
      <w:pPr>
        <w:spacing w:after="0" w:line="480" w:lineRule="auto"/>
        <w:ind w:firstLine="720"/>
        <w:contextualSpacing/>
        <w:jc w:val="both"/>
      </w:pPr>
      <w:r>
        <w:t>Inspired by Sara Salem’s concept of ‘anticolonial time’ in a ‘haunted present’, I explore how the 1948 Nakba ‘haunted’ the different actors – UN workers and Palestinian protestors – in different ways in Gaza throughout March 1957.</w:t>
      </w:r>
      <w:r>
        <w:rPr>
          <w:rStyle w:val="FootnoteReference"/>
        </w:rPr>
        <w:footnoteReference w:id="25"/>
      </w:r>
      <w:r>
        <w:t xml:space="preserve"> For the Palestinians this haunting made the threat of further displacement (and thus the need to protest) all the more pressing in 1957; for the UN, the Suez Crisis disrupted the temporal paralysis that had held the Strip in stasis since 1948 and threatened their precarious control over the displacement crisis. The spectre of the Nakba thus shaped both Palestinians’ urgent approach to the post-Suez protests </w:t>
      </w:r>
      <w:r>
        <w:rPr>
          <w:i/>
          <w:iCs/>
        </w:rPr>
        <w:t xml:space="preserve">and </w:t>
      </w:r>
      <w:r>
        <w:t xml:space="preserve">the UN mission’s decision to occupy the region. </w:t>
      </w:r>
    </w:p>
    <w:p w14:paraId="1A9C6C79" w14:textId="77777777" w:rsidR="00553380" w:rsidRDefault="00553380" w:rsidP="00BD1F3A">
      <w:pPr>
        <w:pStyle w:val="NoSpacing"/>
        <w:spacing w:line="480" w:lineRule="auto"/>
      </w:pPr>
    </w:p>
    <w:p w14:paraId="7E242186" w14:textId="260B4D2D" w:rsidR="009E4F00" w:rsidRPr="00204342" w:rsidRDefault="0049214B" w:rsidP="00BD1F3A">
      <w:pPr>
        <w:pStyle w:val="Heading1"/>
        <w:spacing w:line="480" w:lineRule="auto"/>
        <w:rPr>
          <w:b w:val="0"/>
          <w:bCs w:val="0"/>
          <w:i/>
          <w:iCs/>
        </w:rPr>
      </w:pPr>
      <w:r w:rsidRPr="00204342">
        <w:rPr>
          <w:b w:val="0"/>
          <w:bCs w:val="0"/>
          <w:i/>
          <w:iCs/>
        </w:rPr>
        <w:lastRenderedPageBreak/>
        <w:t>Material and Methods</w:t>
      </w:r>
    </w:p>
    <w:p w14:paraId="30C0BE99" w14:textId="77777777" w:rsidR="0049214B" w:rsidRDefault="0049214B" w:rsidP="00BD1F3A">
      <w:pPr>
        <w:pStyle w:val="NoSpacing"/>
        <w:spacing w:line="480" w:lineRule="auto"/>
      </w:pPr>
    </w:p>
    <w:p w14:paraId="60F5A9D8" w14:textId="34A5E94D" w:rsidR="009E4F00" w:rsidRPr="0049214B" w:rsidRDefault="009E4F00" w:rsidP="00BD1F3A">
      <w:pPr>
        <w:spacing w:after="0" w:line="480" w:lineRule="auto"/>
        <w:contextualSpacing/>
        <w:jc w:val="both"/>
        <w:rPr>
          <w:rFonts w:cstheme="minorHAnsi"/>
          <w:szCs w:val="24"/>
        </w:rPr>
      </w:pPr>
      <w:r>
        <w:t>T</w:t>
      </w:r>
      <w:r w:rsidR="00EC1948" w:rsidRPr="00586FC7">
        <w:t xml:space="preserve">his </w:t>
      </w:r>
      <w:r w:rsidR="00EC1948">
        <w:t>article</w:t>
      </w:r>
      <w:r w:rsidR="00EC1948" w:rsidRPr="00586FC7">
        <w:t xml:space="preserve"> is built from a mixed </w:t>
      </w:r>
      <w:r w:rsidR="00057F81">
        <w:t xml:space="preserve">visual and documentary </w:t>
      </w:r>
      <w:r w:rsidR="00EC1948" w:rsidRPr="00586FC7">
        <w:t>source-base</w:t>
      </w:r>
      <w:r w:rsidR="00057F81">
        <w:t xml:space="preserve">, including </w:t>
      </w:r>
      <w:r w:rsidR="00EC1948" w:rsidRPr="00586FC7">
        <w:t xml:space="preserve">photographs, newspaper articles, </w:t>
      </w:r>
      <w:r w:rsidR="00B96296">
        <w:t xml:space="preserve">personal papers </w:t>
      </w:r>
      <w:r w:rsidR="00EC1948" w:rsidRPr="00586FC7">
        <w:t xml:space="preserve">and </w:t>
      </w:r>
      <w:r w:rsidR="00B96296">
        <w:t xml:space="preserve">official </w:t>
      </w:r>
      <w:r w:rsidR="00EC1948" w:rsidRPr="00586FC7">
        <w:t>archival document</w:t>
      </w:r>
      <w:r w:rsidR="00B96296">
        <w:t>s</w:t>
      </w:r>
      <w:r w:rsidR="00EC1948" w:rsidRPr="00586FC7">
        <w:t>. Photographs taken during protests from a variety of sources</w:t>
      </w:r>
      <w:r w:rsidR="00EC1948">
        <w:t xml:space="preserve"> have</w:t>
      </w:r>
      <w:r w:rsidR="00EC1948" w:rsidRPr="00586FC7">
        <w:t xml:space="preserve"> help</w:t>
      </w:r>
      <w:r w:rsidR="00EC1948">
        <w:t>ed</w:t>
      </w:r>
      <w:r w:rsidR="00EC1948" w:rsidRPr="00586FC7">
        <w:t xml:space="preserve"> to </w:t>
      </w:r>
      <w:r w:rsidR="00EC1948">
        <w:t>discover patterns in</w:t>
      </w:r>
      <w:r w:rsidR="00EC1948" w:rsidRPr="00586FC7">
        <w:t xml:space="preserve"> dissent in UN peacekeeping that are rarely </w:t>
      </w:r>
      <w:r w:rsidR="00EC1948">
        <w:t>preserved or addressed in det</w:t>
      </w:r>
      <w:r w:rsidR="00EC1948" w:rsidRPr="00586FC7">
        <w:t>ail in other</w:t>
      </w:r>
      <w:r w:rsidR="00EC1948">
        <w:t xml:space="preserve"> mission</w:t>
      </w:r>
      <w:r w:rsidR="00EC1948" w:rsidRPr="00586FC7">
        <w:t xml:space="preserve"> sourc</w:t>
      </w:r>
      <w:r w:rsidR="00EC1948">
        <w:t xml:space="preserve">es, </w:t>
      </w:r>
      <w:r w:rsidR="00B96296">
        <w:t>such as</w:t>
      </w:r>
      <w:r w:rsidR="00EC1948">
        <w:t xml:space="preserve"> UN progress reports</w:t>
      </w:r>
      <w:r w:rsidR="00EC1948" w:rsidRPr="00586FC7">
        <w:t xml:space="preserve">. </w:t>
      </w:r>
      <w:r w:rsidR="00B96296">
        <w:t xml:space="preserve">In seeking to understand how the UN interventions in the field shaped international temporal assumptions about the conflict, I was inspired by Ann Stoler’s approach of reading ‘along the archival grain’ in order to be attentive to the organisation’s cultures, norms, and biases that are baked into </w:t>
      </w:r>
      <w:r w:rsidR="00496C11">
        <w:t xml:space="preserve">the official archive; from </w:t>
      </w:r>
      <w:r w:rsidR="00B96296">
        <w:t>technocratic reports</w:t>
      </w:r>
      <w:r w:rsidR="00496C11">
        <w:t xml:space="preserve"> to handwritten cue cards for dinner speeches</w:t>
      </w:r>
      <w:r w:rsidR="00B96296">
        <w:t>.</w:t>
      </w:r>
      <w:r w:rsidR="00B96296">
        <w:rPr>
          <w:rStyle w:val="FootnoteReference"/>
        </w:rPr>
        <w:footnoteReference w:id="26"/>
      </w:r>
      <w:r w:rsidR="00EC1948" w:rsidRPr="00586FC7">
        <w:t xml:space="preserve"> </w:t>
      </w:r>
    </w:p>
    <w:p w14:paraId="2EBAFB94" w14:textId="77777777" w:rsidR="005D3424" w:rsidRDefault="005D3424" w:rsidP="00BD1F3A">
      <w:pPr>
        <w:pStyle w:val="NoSpacing"/>
        <w:spacing w:line="480" w:lineRule="auto"/>
      </w:pPr>
    </w:p>
    <w:p w14:paraId="7476EE6E" w14:textId="7520E8B0" w:rsidR="00B85B13" w:rsidRPr="00B85B13" w:rsidRDefault="00256E91" w:rsidP="00BD1F3A">
      <w:pPr>
        <w:pStyle w:val="Heading1"/>
        <w:spacing w:line="480" w:lineRule="auto"/>
      </w:pPr>
      <w:r>
        <w:t>UN-Managed</w:t>
      </w:r>
      <w:r w:rsidR="00DA6C71">
        <w:t xml:space="preserve"> </w:t>
      </w:r>
      <w:r w:rsidR="00EF1F90">
        <w:t xml:space="preserve">Bureaucratic Paralysis </w:t>
      </w:r>
      <w:r w:rsidR="003B13B3">
        <w:t>Post-Nakba</w:t>
      </w:r>
    </w:p>
    <w:p w14:paraId="430809ED" w14:textId="77777777" w:rsidR="00B85B13" w:rsidRDefault="00B85B13" w:rsidP="00BD1F3A">
      <w:pPr>
        <w:pStyle w:val="NoSpacing"/>
        <w:spacing w:line="480" w:lineRule="auto"/>
      </w:pPr>
    </w:p>
    <w:p w14:paraId="60930E5F" w14:textId="7B6B2CA4" w:rsidR="00F50042" w:rsidRDefault="00C46CDE" w:rsidP="00BD1F3A">
      <w:pPr>
        <w:spacing w:after="0" w:line="480" w:lineRule="auto"/>
        <w:contextualSpacing/>
        <w:jc w:val="both"/>
      </w:pPr>
      <w:r>
        <w:t>In this section, I briefly outline the history of UN involvement in Palestine and examine how the ‘right to return’ was paralysed by a series of bureaucratic decisions that deprioritised Palestinian rights</w:t>
      </w:r>
      <w:r w:rsidR="00E74D99">
        <w:t xml:space="preserve"> and instead resulted in the UN deciding to occupy Gaza</w:t>
      </w:r>
      <w:r>
        <w:t xml:space="preserve">. </w:t>
      </w:r>
      <w:r w:rsidR="009E4F00" w:rsidRPr="007E3EC6">
        <w:t>As they were present on the ground</w:t>
      </w:r>
      <w:r w:rsidR="004F7F9B">
        <w:t xml:space="preserve"> in Palestine</w:t>
      </w:r>
      <w:r w:rsidR="009E4F00" w:rsidRPr="007E3EC6">
        <w:t xml:space="preserve"> at the time of the Nakba through the first UN observer peacekeeping mission (UNTSO) and other UN specialised relief agencies (such as UNRWA), </w:t>
      </w:r>
      <w:r w:rsidR="009E4F00" w:rsidRPr="007E3EC6">
        <w:lastRenderedPageBreak/>
        <w:t xml:space="preserve">the </w:t>
      </w:r>
      <w:r w:rsidR="003B13B3">
        <w:t xml:space="preserve">international </w:t>
      </w:r>
      <w:r w:rsidR="009E4F00" w:rsidRPr="007E3EC6">
        <w:t>organisation attached great reputational meaning to participating in the resolution of the crisis. However,  UN leadership – as well as powerful permanent member-states like Britain and the US – also supported the creation of a state of Israel and thus could not enable the right to return.</w:t>
      </w:r>
      <w:r w:rsidR="009E4F00" w:rsidRPr="007E3EC6">
        <w:rPr>
          <w:rStyle w:val="FootnoteReference"/>
        </w:rPr>
        <w:footnoteReference w:id="27"/>
      </w:r>
      <w:r w:rsidR="009E4F00" w:rsidRPr="007E3EC6">
        <w:t xml:space="preserve"> In the following decade, UNRWA provided palliative humanitarian relief </w:t>
      </w:r>
      <w:r w:rsidR="009E4F00">
        <w:t>– an issue that some states, including Australia, had raised in the General Assembly as a financial burden for UN member-states and an excuse for states (Arab and Israeli) to not do their ‘duty’ resolve the refugee crisis –</w:t>
      </w:r>
      <w:r w:rsidR="009E4F00" w:rsidRPr="007E3EC6">
        <w:t>whilst the organisation established commissions of investigation to consider resolutions to the displacement crisis, but little meaningful progress in terms of a plan to return Palestinians to their homes.</w:t>
      </w:r>
      <w:r w:rsidR="00DF09F4">
        <w:rPr>
          <w:rStyle w:val="FootnoteReference"/>
        </w:rPr>
        <w:footnoteReference w:id="28"/>
      </w:r>
      <w:r w:rsidR="009E4F00" w:rsidRPr="007E3EC6">
        <w:t xml:space="preserve"> </w:t>
      </w:r>
    </w:p>
    <w:p w14:paraId="5EE03F47" w14:textId="59099B2E" w:rsidR="00B85B13" w:rsidRPr="00B85B13" w:rsidRDefault="00001E1F" w:rsidP="00BD1F3A">
      <w:pPr>
        <w:spacing w:after="0" w:line="480" w:lineRule="auto"/>
        <w:ind w:firstLine="720"/>
        <w:contextualSpacing/>
        <w:jc w:val="both"/>
      </w:pPr>
      <w:r>
        <w:t xml:space="preserve">The Gaza Strip </w:t>
      </w:r>
      <w:r w:rsidR="00AF2796">
        <w:t>had</w:t>
      </w:r>
      <w:r w:rsidR="00B74DD0">
        <w:t xml:space="preserve"> been</w:t>
      </w:r>
      <w:r>
        <w:t xml:space="preserve"> marked by temporal injustices since the Nakba</w:t>
      </w:r>
      <w:r w:rsidR="00B74DD0">
        <w:t xml:space="preserve"> – or ‘catastrophe’ – </w:t>
      </w:r>
      <w:r>
        <w:t>in 1948</w:t>
      </w:r>
      <w:r w:rsidR="00B74DD0">
        <w:t xml:space="preserve"> when approximately a million Palestinians were violently displaced from their homes to facilitate the creation of </w:t>
      </w:r>
      <w:r w:rsidR="00A05241">
        <w:t>an ethno-nationalist state for the resettlement of displaced European Jews</w:t>
      </w:r>
      <w:r>
        <w:t>.</w:t>
      </w:r>
      <w:r w:rsidR="00B74DD0">
        <w:rPr>
          <w:rStyle w:val="FootnoteReference"/>
        </w:rPr>
        <w:footnoteReference w:id="29"/>
      </w:r>
      <w:r>
        <w:t xml:space="preserve"> </w:t>
      </w:r>
      <w:r w:rsidR="00B85B13" w:rsidRPr="00B85B13">
        <w:t xml:space="preserve">The creation of Israel was undertaken </w:t>
      </w:r>
      <w:r w:rsidR="002D1E54">
        <w:t>by</w:t>
      </w:r>
      <w:r w:rsidR="00B85B13" w:rsidRPr="000B030C">
        <w:t xml:space="preserve"> military coup </w:t>
      </w:r>
      <w:r w:rsidR="000B030C" w:rsidRPr="000B030C">
        <w:t>on 15</w:t>
      </w:r>
      <w:r w:rsidR="00B85B13" w:rsidRPr="000B030C">
        <w:t xml:space="preserve"> May 1948</w:t>
      </w:r>
      <w:r w:rsidR="009B6B28">
        <w:t xml:space="preserve"> with the aims of ‘Zionist </w:t>
      </w:r>
      <w:r w:rsidR="00463389">
        <w:t>population, Palestinian depopulation’</w:t>
      </w:r>
      <w:r w:rsidR="00B85B13" w:rsidRPr="000B030C">
        <w:t>.</w:t>
      </w:r>
      <w:r w:rsidR="00463389">
        <w:rPr>
          <w:rStyle w:val="FootnoteReference"/>
        </w:rPr>
        <w:footnoteReference w:id="30"/>
      </w:r>
      <w:r w:rsidR="00B85B13" w:rsidRPr="00B85B13">
        <w:t xml:space="preserve"> Ongoing violence and displacement prompted the creation of the </w:t>
      </w:r>
      <w:r w:rsidR="00D745D3">
        <w:t xml:space="preserve">first observer mission, the </w:t>
      </w:r>
      <w:r w:rsidR="00B85B13" w:rsidRPr="00B85B13">
        <w:t>U</w:t>
      </w:r>
      <w:r w:rsidR="00D745D3">
        <w:t xml:space="preserve">nited Nations </w:t>
      </w:r>
      <w:r w:rsidR="00B85B13" w:rsidRPr="00B85B13">
        <w:t>T</w:t>
      </w:r>
      <w:r w:rsidR="00D745D3">
        <w:t xml:space="preserve">ruce </w:t>
      </w:r>
      <w:r w:rsidR="00B85B13" w:rsidRPr="00B85B13">
        <w:t>S</w:t>
      </w:r>
      <w:r w:rsidR="00D745D3">
        <w:t xml:space="preserve">upervision </w:t>
      </w:r>
      <w:r w:rsidR="00B85B13" w:rsidRPr="00B85B13">
        <w:t>O</w:t>
      </w:r>
      <w:r w:rsidR="00D745D3">
        <w:t>rganization (UNTSO)</w:t>
      </w:r>
      <w:r w:rsidR="002D1E54">
        <w:t xml:space="preserve">, a humanitarian agency for Palestinian refugees </w:t>
      </w:r>
      <w:r w:rsidR="002D1E54">
        <w:lastRenderedPageBreak/>
        <w:t xml:space="preserve">UNRWA), and </w:t>
      </w:r>
      <w:r w:rsidR="00B85B13" w:rsidRPr="00B85B13">
        <w:t>a UN mediator, Count Folke Bernadotte.</w:t>
      </w:r>
      <w:r w:rsidR="002D1E54">
        <w:rPr>
          <w:rStyle w:val="FootnoteReference"/>
        </w:rPr>
        <w:footnoteReference w:id="31"/>
      </w:r>
      <w:r w:rsidR="00B85B13" w:rsidRPr="00B85B13">
        <w:t xml:space="preserve"> In the aftermath of </w:t>
      </w:r>
      <w:r w:rsidR="00A24E27">
        <w:t>the Nakba</w:t>
      </w:r>
      <w:r w:rsidR="00B85B13" w:rsidRPr="00B85B13">
        <w:t xml:space="preserve">, Bernadotte </w:t>
      </w:r>
      <w:r w:rsidR="00A05241">
        <w:t>(</w:t>
      </w:r>
      <w:r w:rsidR="00B85B13" w:rsidRPr="00B85B13">
        <w:t>who was later assassinated by Israeli militants</w:t>
      </w:r>
      <w:r w:rsidR="00A05241">
        <w:t xml:space="preserve">) </w:t>
      </w:r>
      <w:r w:rsidR="00B85B13" w:rsidRPr="00B85B13">
        <w:t xml:space="preserve">believed that the Palestinian refugees should have a right to return to their homes. This </w:t>
      </w:r>
      <w:r w:rsidR="00A24E27">
        <w:t>‘right to return’</w:t>
      </w:r>
      <w:r w:rsidR="00D745D3">
        <w:t xml:space="preserve"> – itself a temporal deferral – </w:t>
      </w:r>
      <w:r w:rsidR="00B85B13" w:rsidRPr="00B85B13">
        <w:t xml:space="preserve">was later confirmed by </w:t>
      </w:r>
      <w:r w:rsidR="00515296">
        <w:t>UN R</w:t>
      </w:r>
      <w:r w:rsidR="00B85B13" w:rsidRPr="00B85B13">
        <w:t xml:space="preserve">esolution 194 which </w:t>
      </w:r>
      <w:r w:rsidR="00493192">
        <w:t>provided</w:t>
      </w:r>
      <w:r w:rsidR="00B85B13" w:rsidRPr="00B85B13">
        <w:t xml:space="preserve"> that: ‘compensation should be paid for the property of those choosing not to return and for loss of or damage to property’.</w:t>
      </w:r>
      <w:r w:rsidR="00B85B13" w:rsidRPr="00B85B13">
        <w:rPr>
          <w:rStyle w:val="FootnoteReference"/>
        </w:rPr>
        <w:footnoteReference w:id="32"/>
      </w:r>
      <w:r w:rsidR="00A0138A">
        <w:t xml:space="preserve"> </w:t>
      </w:r>
      <w:r w:rsidR="00B85B13" w:rsidRPr="00B85B13">
        <w:t xml:space="preserve">However, </w:t>
      </w:r>
      <w:r w:rsidR="00A05241">
        <w:t xml:space="preserve">in the context of </w:t>
      </w:r>
      <w:r w:rsidR="00270ED5">
        <w:t xml:space="preserve">a rapidly intensifying </w:t>
      </w:r>
      <w:r w:rsidR="00A05241">
        <w:t xml:space="preserve">Cold War, </w:t>
      </w:r>
      <w:r w:rsidR="00270ED5">
        <w:t xml:space="preserve">the displacement crisis presented concerns for Western powers. UN official </w:t>
      </w:r>
      <w:r w:rsidR="00B85B13" w:rsidRPr="00B85B13">
        <w:t>Ralph Bunche negotiate</w:t>
      </w:r>
      <w:r w:rsidR="00270ED5">
        <w:t>d</w:t>
      </w:r>
      <w:r w:rsidR="00B85B13" w:rsidRPr="00B85B13">
        <w:t xml:space="preserve"> regional borders with Israel and Arab neighbouring states. Egypt was authorised to occupy the </w:t>
      </w:r>
      <w:r w:rsidR="00270ED5">
        <w:t>Gaza Strip under a military administration</w:t>
      </w:r>
      <w:r w:rsidR="00B85B13" w:rsidRPr="00B85B13">
        <w:t xml:space="preserve"> and to set up the territory as a client state</w:t>
      </w:r>
      <w:r w:rsidR="00270ED5">
        <w:t>:</w:t>
      </w:r>
      <w:r w:rsidR="00B85B13" w:rsidRPr="00B85B13">
        <w:t xml:space="preserve"> the All-Palestine Government. </w:t>
      </w:r>
      <w:r w:rsidR="00D745D3">
        <w:t>As a result of these agreements</w:t>
      </w:r>
      <w:r w:rsidR="00B85B13" w:rsidRPr="00B85B13">
        <w:t xml:space="preserve">, the Gaza Strip became </w:t>
      </w:r>
      <w:r w:rsidR="00B85B13" w:rsidRPr="00B85B13">
        <w:rPr>
          <w:i/>
          <w:iCs/>
        </w:rPr>
        <w:t xml:space="preserve">sui generis </w:t>
      </w:r>
      <w:r w:rsidR="00B85B13" w:rsidRPr="00B85B13">
        <w:t>in the international community from 1949</w:t>
      </w:r>
      <w:r w:rsidR="00270ED5">
        <w:t xml:space="preserve">, until the Suez Crisis in </w:t>
      </w:r>
      <w:r w:rsidR="00B85B13" w:rsidRPr="00B85B13">
        <w:t>1956.</w:t>
      </w:r>
      <w:r w:rsidR="00803DFF">
        <w:rPr>
          <w:rStyle w:val="FootnoteReference"/>
        </w:rPr>
        <w:footnoteReference w:id="33"/>
      </w:r>
    </w:p>
    <w:p w14:paraId="087E1BFC" w14:textId="37650944" w:rsidR="00950E73" w:rsidRDefault="00B85B13" w:rsidP="00BD1F3A">
      <w:pPr>
        <w:spacing w:after="0" w:line="480" w:lineRule="auto"/>
        <w:ind w:firstLine="720"/>
        <w:contextualSpacing/>
        <w:jc w:val="both"/>
      </w:pPr>
      <w:r w:rsidRPr="00B85B13">
        <w:t xml:space="preserve">In the decade after the Nakba and the creation of Israel, no Arab states or the UN had offered a practical solution to return the </w:t>
      </w:r>
      <w:r w:rsidR="003C451E">
        <w:t xml:space="preserve">‘remnants’, </w:t>
      </w:r>
      <w:r w:rsidR="00C46CDE">
        <w:t>using</w:t>
      </w:r>
      <w:r w:rsidR="003C451E">
        <w:t xml:space="preserve"> Edward Said</w:t>
      </w:r>
      <w:r w:rsidR="00C46CDE">
        <w:t>’s</w:t>
      </w:r>
      <w:r w:rsidR="003C451E">
        <w:t xml:space="preserve"> term,</w:t>
      </w:r>
      <w:r w:rsidRPr="00B85B13">
        <w:t xml:space="preserve"> to their homes.</w:t>
      </w:r>
      <w:r w:rsidR="003C451E">
        <w:rPr>
          <w:rStyle w:val="FootnoteReference"/>
        </w:rPr>
        <w:footnoteReference w:id="34"/>
      </w:r>
      <w:r w:rsidRPr="00B85B13">
        <w:t xml:space="preserve"> Instead, the </w:t>
      </w:r>
      <w:r w:rsidR="00634FCD">
        <w:t>large-scale</w:t>
      </w:r>
      <w:r w:rsidRPr="00B85B13">
        <w:t xml:space="preserve"> population density on the strip prompted Egypt to dedicate a large concentration of troops as part of its military administration over the territory. This military presence, however, was perceived by Israel as a threat. </w:t>
      </w:r>
      <w:r w:rsidR="00D266F4" w:rsidRPr="00B85B13">
        <w:t>By the</w:t>
      </w:r>
      <w:r w:rsidR="00610B33">
        <w:t xml:space="preserve"> mid-</w:t>
      </w:r>
      <w:r w:rsidR="00D266F4" w:rsidRPr="00B85B13">
        <w:t xml:space="preserve">1950s, the strip held ‘at least two refugees for every one local resident’, making up around 200,000 </w:t>
      </w:r>
      <w:r w:rsidR="00595D47">
        <w:t xml:space="preserve">people </w:t>
      </w:r>
      <w:r w:rsidR="00D266F4" w:rsidRPr="00B85B13">
        <w:lastRenderedPageBreak/>
        <w:t>displaced in the strip and relying on UNRWA relief to survive.</w:t>
      </w:r>
      <w:r w:rsidR="00D266F4" w:rsidRPr="00B85B13">
        <w:rPr>
          <w:rStyle w:val="FootnoteReference"/>
        </w:rPr>
        <w:footnoteReference w:id="35"/>
      </w:r>
      <w:r w:rsidR="00D266F4" w:rsidRPr="00B85B13">
        <w:t xml:space="preserve"> Similarly, it was estimated that over 400,000 displaced Palestinians had been temporarily settled in UN camps in Amman, representing almost a third of the Jordanian population.</w:t>
      </w:r>
      <w:r w:rsidR="00D266F4">
        <w:t xml:space="preserve"> </w:t>
      </w:r>
      <w:r w:rsidRPr="00B85B13">
        <w:t xml:space="preserve">In their experience of the past decade, their lives had been </w:t>
      </w:r>
      <w:r w:rsidR="00C46CDE">
        <w:t xml:space="preserve">held in </w:t>
      </w:r>
      <w:r w:rsidR="00610B33">
        <w:t xml:space="preserve">UN-managed </w:t>
      </w:r>
      <w:r w:rsidR="00C46CDE">
        <w:t xml:space="preserve">temporal paralysis; </w:t>
      </w:r>
      <w:r w:rsidRPr="00B85B13">
        <w:t xml:space="preserve">entirely shaped by decisions made by </w:t>
      </w:r>
      <w:r w:rsidR="00D266F4">
        <w:t>international</w:t>
      </w:r>
      <w:r w:rsidRPr="00B85B13">
        <w:t xml:space="preserve"> officials either in New York or in inaccessible corridors of power in the Middle East.</w:t>
      </w:r>
      <w:r w:rsidRPr="00B85B13">
        <w:rPr>
          <w:rStyle w:val="FootnoteReference"/>
        </w:rPr>
        <w:footnoteReference w:id="36"/>
      </w:r>
      <w:r w:rsidRPr="00B85B13">
        <w:t xml:space="preserve"> </w:t>
      </w:r>
    </w:p>
    <w:p w14:paraId="557F5A46" w14:textId="77777777" w:rsidR="00860898" w:rsidRDefault="00950E73" w:rsidP="00BD1F3A">
      <w:pPr>
        <w:spacing w:after="0" w:line="480" w:lineRule="auto"/>
        <w:ind w:firstLine="720"/>
        <w:contextualSpacing/>
        <w:jc w:val="both"/>
      </w:pPr>
      <w:r>
        <w:t>B</w:t>
      </w:r>
      <w:r w:rsidRPr="007E3EC6">
        <w:t xml:space="preserve">ureaucratic paralysis and promises of deferred justice were ruptured </w:t>
      </w:r>
      <w:r w:rsidR="00860898">
        <w:t xml:space="preserve">by the Suez Crisis. </w:t>
      </w:r>
      <w:r w:rsidR="00CE4820">
        <w:t>This invasion</w:t>
      </w:r>
      <w:r w:rsidR="00CE4820" w:rsidRPr="00B85B13">
        <w:t xml:space="preserve"> destabilised the </w:t>
      </w:r>
      <w:r w:rsidR="0017111B">
        <w:t>temporal paralysis of the strip</w:t>
      </w:r>
      <w:r w:rsidR="00CE4820" w:rsidRPr="00B85B13">
        <w:t xml:space="preserve"> and killed a number of </w:t>
      </w:r>
      <w:r w:rsidR="0017111B">
        <w:t xml:space="preserve">Egyptian citizens and </w:t>
      </w:r>
      <w:r w:rsidR="00CE4820" w:rsidRPr="00B85B13">
        <w:t>Palestinian refugees.</w:t>
      </w:r>
      <w:r w:rsidR="00CE4820" w:rsidRPr="00B85B13">
        <w:rPr>
          <w:rStyle w:val="FootnoteReference"/>
        </w:rPr>
        <w:footnoteReference w:id="37"/>
      </w:r>
      <w:r w:rsidR="00CE4820" w:rsidRPr="00B85B13">
        <w:t xml:space="preserve"> UNEF </w:t>
      </w:r>
      <w:r w:rsidR="0017111B">
        <w:t>had been</w:t>
      </w:r>
      <w:r w:rsidR="00CE4820" w:rsidRPr="00B85B13">
        <w:t xml:space="preserve"> heralded by the international community as an early success</w:t>
      </w:r>
      <w:r w:rsidR="00CE4820" w:rsidRPr="00950E73">
        <w:t xml:space="preserve"> </w:t>
      </w:r>
      <w:r w:rsidR="00CE4820">
        <w:t>f</w:t>
      </w:r>
      <w:r w:rsidR="00CE4820" w:rsidRPr="00B85B13">
        <w:t>ollowing the first tentative months of deployment.</w:t>
      </w:r>
      <w:r w:rsidR="00CE4820" w:rsidRPr="00B85B13">
        <w:rPr>
          <w:rStyle w:val="FootnoteReference"/>
        </w:rPr>
        <w:footnoteReference w:id="38"/>
      </w:r>
      <w:r w:rsidR="00CE4820" w:rsidRPr="00B85B13">
        <w:t xml:space="preserve"> However, the </w:t>
      </w:r>
      <w:r w:rsidR="00860898">
        <w:t xml:space="preserve">mission’s </w:t>
      </w:r>
      <w:r w:rsidR="00CE4820" w:rsidRPr="00B85B13">
        <w:t xml:space="preserve">temporary success of fire-fighting the Suez crisis was tempered by officials’ knowledge that the political conflict in the region, provoked </w:t>
      </w:r>
      <w:r w:rsidR="00CE4820">
        <w:t>by</w:t>
      </w:r>
      <w:r w:rsidR="00CE4820" w:rsidRPr="00B85B13">
        <w:t xml:space="preserve"> the poorly-planned withdrawal of the British Mandate </w:t>
      </w:r>
      <w:r w:rsidR="00CE4820">
        <w:t>for</w:t>
      </w:r>
      <w:r w:rsidR="00CE4820" w:rsidRPr="00B85B13">
        <w:t xml:space="preserve"> Palestine </w:t>
      </w:r>
      <w:r w:rsidR="00CE4820">
        <w:t xml:space="preserve">and the beginning of ‘Nakba’ on 15 </w:t>
      </w:r>
      <w:r w:rsidR="00CE4820" w:rsidRPr="00696B41">
        <w:t>May</w:t>
      </w:r>
      <w:r w:rsidR="00CE4820" w:rsidRPr="00B85B13">
        <w:t xml:space="preserve"> 1948</w:t>
      </w:r>
      <w:r w:rsidR="00CE4820">
        <w:t>, remained unresolved and would likely reignite due to Israeli expansionist ambitions</w:t>
      </w:r>
      <w:r w:rsidR="00CE4820" w:rsidRPr="00B85B13">
        <w:t>.</w:t>
      </w:r>
      <w:r w:rsidR="00CE4820">
        <w:rPr>
          <w:rStyle w:val="FootnoteReference"/>
        </w:rPr>
        <w:footnoteReference w:id="39"/>
      </w:r>
      <w:r w:rsidR="00CE4820">
        <w:t xml:space="preserve"> </w:t>
      </w:r>
      <w:r w:rsidR="00860898">
        <w:t xml:space="preserve">It had also destabilised a decade of UN humanitarian operations and undermined the </w:t>
      </w:r>
      <w:r w:rsidR="00860898">
        <w:lastRenderedPageBreak/>
        <w:t xml:space="preserve">organisation’s work in the field as well as diplomatically. </w:t>
      </w:r>
      <w:r w:rsidR="00CE4820">
        <w:t>In early 1957,</w:t>
      </w:r>
      <w:r w:rsidR="0059572F" w:rsidRPr="00B85B13">
        <w:t xml:space="preserve"> the Israeli government, the Knesset, voted to confirm their refusal to return Gaza to Egypt.</w:t>
      </w:r>
      <w:r w:rsidR="0059572F" w:rsidRPr="00B85B13">
        <w:rPr>
          <w:rStyle w:val="FootnoteReference"/>
          <w:rFonts w:cstheme="minorHAnsi"/>
        </w:rPr>
        <w:footnoteReference w:id="40"/>
      </w:r>
      <w:r w:rsidR="0059572F" w:rsidRPr="00B85B13">
        <w:t xml:space="preserve"> </w:t>
      </w:r>
    </w:p>
    <w:p w14:paraId="5C97274E" w14:textId="11B7139D" w:rsidR="000B5677" w:rsidRPr="00B85B13" w:rsidRDefault="0059572F" w:rsidP="00BD1F3A">
      <w:pPr>
        <w:spacing w:after="0" w:line="480" w:lineRule="auto"/>
        <w:ind w:firstLine="720"/>
        <w:contextualSpacing/>
        <w:jc w:val="both"/>
      </w:pPr>
      <w:r w:rsidRPr="00B85B13">
        <w:t xml:space="preserve">Similarly, there were ‘nation-wide rallies’ in Israel by settler groups against the UN returning Egyptian control to Sinai and Gaza or the establishment of a UNEF administration. </w:t>
      </w:r>
      <w:r w:rsidR="00B85B13" w:rsidRPr="00B85B13">
        <w:t>UNEF</w:t>
      </w:r>
      <w:r w:rsidR="000B5677">
        <w:t xml:space="preserve"> was perceived as a</w:t>
      </w:r>
      <w:r w:rsidR="00B85B13" w:rsidRPr="00B85B13">
        <w:t xml:space="preserve"> threat</w:t>
      </w:r>
      <w:r w:rsidR="000B5677">
        <w:t xml:space="preserve"> to</w:t>
      </w:r>
      <w:r w:rsidR="00B85B13" w:rsidRPr="00B85B13">
        <w:t xml:space="preserve"> the Israeli occupation of the strip and those who had occupied houses on the border with Gaza, reigniting settler anxieties and prompting securitised reactions, such as installing barbed wire on the border and digging trenches from one kibbutz to another.</w:t>
      </w:r>
      <w:r w:rsidR="00B85B13" w:rsidRPr="00B85B13">
        <w:rPr>
          <w:rStyle w:val="FootnoteReference"/>
        </w:rPr>
        <w:footnoteReference w:id="41"/>
      </w:r>
      <w:r w:rsidR="00B85B13" w:rsidRPr="00B85B13">
        <w:t xml:space="preserve"> As late as 14 February, Israel was still expelling Egyptians who were employed by the UNRWA ‘at half an hours [sic] notice’ and ‘firm in their insistence that they are to remain’ even if some sensed ‘a little nervous anxiety’.</w:t>
      </w:r>
      <w:r w:rsidR="00B85B13" w:rsidRPr="00B85B13">
        <w:rPr>
          <w:rStyle w:val="FootnoteReference"/>
        </w:rPr>
        <w:footnoteReference w:id="42"/>
      </w:r>
      <w:r w:rsidR="00B85B13" w:rsidRPr="00B85B13">
        <w:t xml:space="preserve"> Thus, whilst hundreds of thousands of displaced Palestinians waited </w:t>
      </w:r>
      <w:r w:rsidR="00B9167D">
        <w:t>for the</w:t>
      </w:r>
      <w:r w:rsidR="00D42014">
        <w:t>ir</w:t>
      </w:r>
      <w:r w:rsidR="00B9167D">
        <w:t xml:space="preserve"> ‘promised future’ in order </w:t>
      </w:r>
      <w:r w:rsidR="00B85B13" w:rsidRPr="00B85B13">
        <w:t xml:space="preserve">to return to their homes, Israeli settlers protested </w:t>
      </w:r>
      <w:r w:rsidR="0001531F">
        <w:t xml:space="preserve">their rights </w:t>
      </w:r>
      <w:r w:rsidR="00B85B13" w:rsidRPr="00B85B13">
        <w:t>o</w:t>
      </w:r>
      <w:r w:rsidR="0001531F">
        <w:t>ver</w:t>
      </w:r>
      <w:r w:rsidR="00B85B13" w:rsidRPr="00B85B13">
        <w:t xml:space="preserve"> the strip and</w:t>
      </w:r>
      <w:r w:rsidR="0001531F">
        <w:t xml:space="preserve"> their</w:t>
      </w:r>
      <w:r w:rsidR="00B85B13" w:rsidRPr="00B85B13">
        <w:t xml:space="preserve"> shipping sanctions</w:t>
      </w:r>
      <w:r w:rsidR="0001531F">
        <w:t xml:space="preserve"> by Egypt</w:t>
      </w:r>
      <w:r w:rsidR="00B85B13" w:rsidRPr="00B85B13">
        <w:t xml:space="preserve"> from those same homes.</w:t>
      </w:r>
      <w:r w:rsidR="00B85B13" w:rsidRPr="00B85B13">
        <w:rPr>
          <w:rStyle w:val="FootnoteReference"/>
        </w:rPr>
        <w:footnoteReference w:id="43"/>
      </w:r>
      <w:r w:rsidR="007B73A0">
        <w:t xml:space="preserve"> </w:t>
      </w:r>
      <w:r w:rsidR="00AA20FD">
        <w:t>This symmetry – of the settler colonial context and the displacement of Palestinians from those same homes – reveals to stark effect the ways in which spatial and temporal injustices became entangled for Palestinians in the liminal context of the Gaza Strip.</w:t>
      </w:r>
    </w:p>
    <w:p w14:paraId="382B9568" w14:textId="7EB47E58" w:rsidR="0001531F" w:rsidRDefault="00B85B13" w:rsidP="00BD1F3A">
      <w:pPr>
        <w:spacing w:after="0" w:line="480" w:lineRule="auto"/>
        <w:ind w:firstLine="720"/>
        <w:contextualSpacing/>
        <w:jc w:val="both"/>
      </w:pPr>
      <w:r w:rsidRPr="00B85B13">
        <w:lastRenderedPageBreak/>
        <w:t xml:space="preserve">Presented with </w:t>
      </w:r>
      <w:r w:rsidR="00D42014">
        <w:t>Israel’s</w:t>
      </w:r>
      <w:r w:rsidRPr="00B85B13">
        <w:t xml:space="preserve"> threat that they would only transfer territorial power – if at all – to the UN, </w:t>
      </w:r>
      <w:r w:rsidR="00E74D99">
        <w:t xml:space="preserve">as well as organisational concerns about losing prestige in the region, the UN made plans to takeover Gaza. </w:t>
      </w:r>
      <w:r w:rsidRPr="00B85B13">
        <w:t xml:space="preserve">President Eisenhower </w:t>
      </w:r>
      <w:r w:rsidR="00E74D99">
        <w:t xml:space="preserve">also </w:t>
      </w:r>
      <w:r w:rsidRPr="00B85B13">
        <w:t xml:space="preserve">stepped in to put pressure on the Israeli government to comply and withdraw from </w:t>
      </w:r>
      <w:r w:rsidR="0001531F">
        <w:t>Gaza</w:t>
      </w:r>
      <w:r w:rsidRPr="00B85B13">
        <w:t>.</w:t>
      </w:r>
      <w:r w:rsidRPr="00B85B13">
        <w:rPr>
          <w:rStyle w:val="FootnoteReference"/>
        </w:rPr>
        <w:footnoteReference w:id="44"/>
      </w:r>
      <w:r w:rsidRPr="00B85B13">
        <w:t xml:space="preserve"> </w:t>
      </w:r>
      <w:r w:rsidR="000B5677" w:rsidRPr="00B85B13">
        <w:t>On 1</w:t>
      </w:r>
      <w:r w:rsidR="000B5677" w:rsidRPr="00B85B13">
        <w:rPr>
          <w:vertAlign w:val="superscript"/>
        </w:rPr>
        <w:t xml:space="preserve"> </w:t>
      </w:r>
      <w:r w:rsidR="000B5677" w:rsidRPr="00B85B13">
        <w:t>March 1957, Israel</w:t>
      </w:r>
      <w:r w:rsidR="00270ED5">
        <w:t>i</w:t>
      </w:r>
      <w:r w:rsidR="000B5677" w:rsidRPr="00B85B13">
        <w:t xml:space="preserve"> Foreign Minister, Golda Meir transferred Gaza strip and Sharm El Sheikh Territories to </w:t>
      </w:r>
      <w:r w:rsidR="000B5677">
        <w:t>UNEF</w:t>
      </w:r>
      <w:r w:rsidR="000B5677" w:rsidRPr="00B85B13">
        <w:t>, following direct orders from Israel's Prime Minister David Ben-Gurion in Jerusalem.</w:t>
      </w:r>
      <w:r w:rsidR="000B5677" w:rsidRPr="00B85B13">
        <w:rPr>
          <w:rStyle w:val="FootnoteReference"/>
        </w:rPr>
        <w:footnoteReference w:id="45"/>
      </w:r>
      <w:r w:rsidR="000B5677" w:rsidRPr="00B85B13">
        <w:t xml:space="preserve"> </w:t>
      </w:r>
      <w:r w:rsidR="0001531F">
        <w:t>Meanwhile, t</w:t>
      </w:r>
      <w:r w:rsidR="0001531F" w:rsidRPr="00B85B13">
        <w:t>he Egyptian government, as well as many Palestinians, sought to restore Egyptian control over the territory</w:t>
      </w:r>
      <w:r w:rsidR="0001531F">
        <w:t xml:space="preserve"> after the post-Suez crisis withdrawal of invading forces.</w:t>
      </w:r>
      <w:r w:rsidR="00324E1D">
        <w:t xml:space="preserve"> Indeed,</w:t>
      </w:r>
      <w:r w:rsidR="0001531F">
        <w:t xml:space="preserve"> Egyptian Foreign </w:t>
      </w:r>
      <w:r w:rsidR="0001531F" w:rsidRPr="007230FE">
        <w:t xml:space="preserve">Minister, </w:t>
      </w:r>
      <w:r w:rsidR="00324E1D" w:rsidRPr="007230FE">
        <w:t xml:space="preserve">Dr Mahmoud </w:t>
      </w:r>
      <w:r w:rsidR="0001531F" w:rsidRPr="007230FE">
        <w:t>Fawzi, stated in a</w:t>
      </w:r>
      <w:r w:rsidR="00324E1D" w:rsidRPr="007230FE">
        <w:t xml:space="preserve">n television interview with United Nations Review (broadcast in the United States and Canada) </w:t>
      </w:r>
      <w:r w:rsidR="0001531F" w:rsidRPr="007230FE">
        <w:t xml:space="preserve">that Egypt </w:t>
      </w:r>
      <w:r w:rsidR="00324E1D" w:rsidRPr="007230FE">
        <w:t xml:space="preserve">only </w:t>
      </w:r>
      <w:r w:rsidR="0001531F" w:rsidRPr="007230FE">
        <w:t xml:space="preserve">supported a UNEF mission in Gaza for </w:t>
      </w:r>
      <w:r w:rsidR="00324E1D" w:rsidRPr="007230FE">
        <w:t>‘as short a time as possible’</w:t>
      </w:r>
      <w:r w:rsidR="00AE4BAE" w:rsidRPr="007230FE">
        <w:t xml:space="preserve"> in order to avoid destabilisation</w:t>
      </w:r>
      <w:r w:rsidR="0001531F" w:rsidRPr="007230FE">
        <w:t>.</w:t>
      </w:r>
      <w:r w:rsidR="00AE4BAE" w:rsidRPr="007230FE">
        <w:rPr>
          <w:rStyle w:val="FootnoteReference"/>
        </w:rPr>
        <w:footnoteReference w:id="46"/>
      </w:r>
    </w:p>
    <w:p w14:paraId="662B9152" w14:textId="7115A397" w:rsidR="004328A1" w:rsidRDefault="00B85B13" w:rsidP="00BD1F3A">
      <w:pPr>
        <w:spacing w:after="0" w:line="480" w:lineRule="auto"/>
        <w:ind w:firstLine="720"/>
        <w:contextualSpacing/>
        <w:jc w:val="both"/>
      </w:pPr>
      <w:r w:rsidRPr="00B85B13">
        <w:t xml:space="preserve">However, in response to </w:t>
      </w:r>
      <w:r w:rsidR="000B5677">
        <w:t xml:space="preserve">the </w:t>
      </w:r>
      <w:r w:rsidR="008B7D84" w:rsidRPr="00B85B13">
        <w:t>announcement</w:t>
      </w:r>
      <w:r w:rsidR="008B7D84">
        <w:t xml:space="preserve"> of the ‘Gaza exception’</w:t>
      </w:r>
      <w:r w:rsidRPr="00B85B13">
        <w:t xml:space="preserve"> in the UN General Assembly on 4 March, a number of other member-states refused to celebrate Israel’s decision </w:t>
      </w:r>
      <w:r w:rsidR="000B5677">
        <w:t>as a conclusion to the conflict; instead it was framed as a restoring of temporal paralysis</w:t>
      </w:r>
      <w:r w:rsidR="00DB1D33">
        <w:t xml:space="preserve"> that was constantly imperilled by Israel’s expansionist plans</w:t>
      </w:r>
      <w:r w:rsidRPr="00B85B13">
        <w:t xml:space="preserve">. As the Ceylon representative commented, ‘We are only at the beginning of things. We must travel a long and tedious road before we reach the final goal of a peaceful solution of the problem. But a </w:t>
      </w:r>
      <w:r w:rsidRPr="00B85B13">
        <w:lastRenderedPageBreak/>
        <w:t>start has to be made, and made immediately.’</w:t>
      </w:r>
      <w:r w:rsidRPr="00B85B13">
        <w:rPr>
          <w:rStyle w:val="FootnoteReference"/>
        </w:rPr>
        <w:footnoteReference w:id="47"/>
      </w:r>
      <w:r w:rsidR="000B5677">
        <w:t xml:space="preserve"> </w:t>
      </w:r>
      <w:r w:rsidR="00931863" w:rsidRPr="00B85B13">
        <w:t>US representative, Ambassador Lodge, applauded the move towards an open-ended transitional mission in the strip: ‘We have made a wonderful beginning. We have nursed the patient through several crises. Now let us give him a chance to put some flesh on his bones, and build up an immunity to future illness.’</w:t>
      </w:r>
      <w:r w:rsidR="00931863" w:rsidRPr="00B85B13">
        <w:rPr>
          <w:rStyle w:val="FootnoteReference"/>
        </w:rPr>
        <w:footnoteReference w:id="48"/>
      </w:r>
      <w:r w:rsidR="004328A1">
        <w:t xml:space="preserve"> </w:t>
      </w:r>
      <w:r w:rsidR="004328A1" w:rsidRPr="00B85B13">
        <w:t xml:space="preserve">Lodge’s words </w:t>
      </w:r>
      <w:r w:rsidR="00DD06CC">
        <w:t xml:space="preserve">implied that </w:t>
      </w:r>
      <w:r w:rsidR="004328A1" w:rsidRPr="00B85B13">
        <w:t>the US accepted that the conflict in Palestine was protracted; frozen for now, but ultimately unresolved.</w:t>
      </w:r>
    </w:p>
    <w:p w14:paraId="40B8F6F2" w14:textId="55C116C4" w:rsidR="002D12E7" w:rsidRDefault="000B5677" w:rsidP="00BD1F3A">
      <w:pPr>
        <w:spacing w:after="0" w:line="480" w:lineRule="auto"/>
        <w:ind w:firstLine="720"/>
        <w:contextualSpacing/>
        <w:jc w:val="both"/>
      </w:pPr>
      <w:r>
        <w:t>Moreover, w</w:t>
      </w:r>
      <w:r w:rsidR="0001531F">
        <w:t>ith the decision to transfer control to UNEF, rather than immediately return the territory to Egypt, as agreed in</w:t>
      </w:r>
      <w:r w:rsidR="0017111B">
        <w:t xml:space="preserve"> the</w:t>
      </w:r>
      <w:r w:rsidR="0001531F">
        <w:t xml:space="preserve"> 1948</w:t>
      </w:r>
      <w:r w:rsidR="0017111B">
        <w:t xml:space="preserve"> Armistice Agreements</w:t>
      </w:r>
      <w:r w:rsidR="0001531F">
        <w:t>, t</w:t>
      </w:r>
      <w:r w:rsidR="00B85B13" w:rsidRPr="00B85B13">
        <w:t>he</w:t>
      </w:r>
      <w:r w:rsidR="0001531F">
        <w:t xml:space="preserve"> international community </w:t>
      </w:r>
      <w:r w:rsidR="0017111B">
        <w:t xml:space="preserve">functionally </w:t>
      </w:r>
      <w:r w:rsidR="0001531F">
        <w:t>(re</w:t>
      </w:r>
      <w:r w:rsidR="00AF2796">
        <w:t>-</w:t>
      </w:r>
      <w:r w:rsidR="0001531F">
        <w:t>)opened the</w:t>
      </w:r>
      <w:r w:rsidR="00B85B13" w:rsidRPr="00B85B13">
        <w:t xml:space="preserve"> question of </w:t>
      </w:r>
      <w:r w:rsidR="0001531F">
        <w:t xml:space="preserve">future </w:t>
      </w:r>
      <w:r w:rsidR="00B85B13" w:rsidRPr="00B85B13">
        <w:t>sovereignty over the Gaza strip</w:t>
      </w:r>
      <w:r w:rsidR="0001531F">
        <w:t xml:space="preserve">. </w:t>
      </w:r>
      <w:r w:rsidR="00B85B13" w:rsidRPr="00B85B13">
        <w:t xml:space="preserve">The </w:t>
      </w:r>
      <w:bookmarkStart w:id="2" w:name="_Hlk168553955"/>
      <w:r w:rsidR="00B85B13" w:rsidRPr="00B85B13">
        <w:t>takeover – although loosely implied by Hammarskjöld as a transitional phase before returning the strip to Egyptian control –</w:t>
      </w:r>
      <w:r w:rsidR="00B85B13" w:rsidRPr="00B85B13">
        <w:rPr>
          <w:rStyle w:val="FootnoteReference"/>
        </w:rPr>
        <w:footnoteReference w:id="49"/>
      </w:r>
      <w:r w:rsidR="00B85B13" w:rsidRPr="00B85B13">
        <w:t xml:space="preserve"> communicated to the Palestinians that the organisation had accepted Israel’s framing of the strip as credibly up-for-debate, in contrast to other </w:t>
      </w:r>
      <w:r w:rsidR="0001531F">
        <w:t>occupied</w:t>
      </w:r>
      <w:r w:rsidR="00B85B13" w:rsidRPr="00B85B13">
        <w:t xml:space="preserve"> regions, like Suez and Sinai. </w:t>
      </w:r>
      <w:r w:rsidR="0001531F">
        <w:t>Instead, t</w:t>
      </w:r>
      <w:r w:rsidR="00B85B13" w:rsidRPr="00B85B13">
        <w:t>he UNEF administration</w:t>
      </w:r>
      <w:r w:rsidR="0001531F">
        <w:t xml:space="preserve"> extend</w:t>
      </w:r>
      <w:r w:rsidR="0017111B">
        <w:t>ed</w:t>
      </w:r>
      <w:r w:rsidR="0001531F">
        <w:t xml:space="preserve"> this</w:t>
      </w:r>
      <w:r w:rsidR="0017111B">
        <w:t xml:space="preserve"> period of militarised</w:t>
      </w:r>
      <w:r w:rsidR="0001531F">
        <w:t xml:space="preserve"> international occupation</w:t>
      </w:r>
      <w:bookmarkEnd w:id="2"/>
      <w:r w:rsidR="0001531F">
        <w:t xml:space="preserve"> with </w:t>
      </w:r>
      <w:r w:rsidR="0017111B">
        <w:t xml:space="preserve">only </w:t>
      </w:r>
      <w:r w:rsidR="0001531F">
        <w:t>the promise to withdraw eventually</w:t>
      </w:r>
      <w:r>
        <w:t xml:space="preserve"> and a return to the ‘norm’ of repeating the same bureaucratic cycle of palliative aid and political liminality</w:t>
      </w:r>
      <w:r w:rsidR="00B85B13" w:rsidRPr="00B85B13">
        <w:t>.</w:t>
      </w:r>
      <w:r w:rsidR="0001531F">
        <w:t xml:space="preserve"> Echoing the UN Trusteeship Council’s </w:t>
      </w:r>
      <w:r w:rsidR="0017111B">
        <w:t>mandate</w:t>
      </w:r>
      <w:r w:rsidR="0001531F">
        <w:t xml:space="preserve"> to provide oversight for colonised states that were ‘not yet ready’ for self-government, </w:t>
      </w:r>
      <w:r w:rsidR="0017111B">
        <w:t xml:space="preserve">UNEF’s </w:t>
      </w:r>
      <w:r w:rsidR="0001531F">
        <w:t xml:space="preserve">open-ended </w:t>
      </w:r>
      <w:r w:rsidR="0017111B">
        <w:t xml:space="preserve">plan for governance in Gaza trapped the population in a temporal agreement with </w:t>
      </w:r>
      <w:r w:rsidR="0017111B">
        <w:lastRenderedPageBreak/>
        <w:t xml:space="preserve">unclear terms and that they had not negotiated. </w:t>
      </w:r>
      <w:r w:rsidR="00B85B13" w:rsidRPr="00B85B13">
        <w:t>Many civilians perceived it as a capitulation to the Israeli government</w:t>
      </w:r>
      <w:r w:rsidR="0017111B">
        <w:t>’s threats</w:t>
      </w:r>
      <w:r w:rsidR="00B85B13" w:rsidRPr="00B85B13">
        <w:t xml:space="preserve"> and </w:t>
      </w:r>
      <w:r w:rsidR="00D42014">
        <w:t xml:space="preserve">another example of </w:t>
      </w:r>
      <w:r w:rsidR="00B85B13" w:rsidRPr="00B85B13">
        <w:t xml:space="preserve">the UN’s </w:t>
      </w:r>
      <w:r w:rsidR="00610B33">
        <w:t xml:space="preserve">deference to a </w:t>
      </w:r>
      <w:r w:rsidR="00B85B13" w:rsidRPr="00B85B13">
        <w:t xml:space="preserve">belligerent </w:t>
      </w:r>
      <w:r w:rsidR="00F927BE">
        <w:t>member</w:t>
      </w:r>
      <w:r w:rsidR="00610B33">
        <w:t>-state</w:t>
      </w:r>
      <w:r w:rsidR="00D42014">
        <w:t>, at the cost of a peoples’ self-determination</w:t>
      </w:r>
      <w:r w:rsidR="00B85B13" w:rsidRPr="00B85B13">
        <w:t xml:space="preserve">. </w:t>
      </w:r>
    </w:p>
    <w:p w14:paraId="5EB18B2E" w14:textId="77777777" w:rsidR="00AF2796" w:rsidRDefault="00AF2796" w:rsidP="00BD1F3A">
      <w:pPr>
        <w:pStyle w:val="NoSpacing"/>
        <w:spacing w:line="480" w:lineRule="auto"/>
      </w:pPr>
    </w:p>
    <w:p w14:paraId="134140C9" w14:textId="77777777" w:rsidR="00AF2796" w:rsidRDefault="00AF2796" w:rsidP="00BD1F3A">
      <w:pPr>
        <w:pStyle w:val="Heading1"/>
        <w:spacing w:line="480" w:lineRule="auto"/>
      </w:pPr>
      <w:r>
        <w:t>The ‘UN Family’ and Anti-Palestinian Rhetoric</w:t>
      </w:r>
    </w:p>
    <w:p w14:paraId="57930F66" w14:textId="77777777" w:rsidR="006E6DC0" w:rsidRPr="006E6DC0" w:rsidRDefault="006E6DC0" w:rsidP="00BD1F3A">
      <w:pPr>
        <w:pStyle w:val="NoSpacing"/>
        <w:spacing w:line="480" w:lineRule="auto"/>
      </w:pPr>
    </w:p>
    <w:p w14:paraId="0B403638" w14:textId="13373349" w:rsidR="002D12E7" w:rsidRDefault="000B5677" w:rsidP="00BD1F3A">
      <w:pPr>
        <w:spacing w:after="0" w:line="480" w:lineRule="auto"/>
        <w:contextualSpacing/>
        <w:jc w:val="both"/>
      </w:pPr>
      <w:r>
        <w:t>For the Palestinian population, most</w:t>
      </w:r>
      <w:r w:rsidRPr="000B5677">
        <w:t xml:space="preserve"> struggled to trust that their interests – and rights – would be protected by the UN as a stateless community beyond</w:t>
      </w:r>
      <w:r w:rsidR="00CB5B55">
        <w:t xml:space="preserve"> the delivery of</w:t>
      </w:r>
      <w:r w:rsidRPr="000B5677">
        <w:t xml:space="preserve"> their basic humanitarian needs</w:t>
      </w:r>
      <w:r w:rsidR="00E55CC3">
        <w:t xml:space="preserve"> by UNWRA and exerting control over their daily movements by UNTSO</w:t>
      </w:r>
      <w:r w:rsidRPr="000B5677">
        <w:t>.</w:t>
      </w:r>
      <w:r w:rsidR="00CB5B55" w:rsidRPr="00CB5B55">
        <w:t xml:space="preserve"> </w:t>
      </w:r>
      <w:r w:rsidR="00CB5B55" w:rsidRPr="000B5677">
        <w:t xml:space="preserve">Despite a lack of trust in the organisation, most </w:t>
      </w:r>
      <w:r w:rsidR="00CB5B55">
        <w:t>Palestinians</w:t>
      </w:r>
      <w:r w:rsidR="00CB5B55" w:rsidRPr="000B5677">
        <w:t xml:space="preserve"> </w:t>
      </w:r>
      <w:r w:rsidR="00CB5B55">
        <w:t>defended</w:t>
      </w:r>
      <w:r w:rsidR="00CB5B55" w:rsidRPr="000B5677">
        <w:t xml:space="preserve"> ‘the choice provided for them in General Assembly resolution 194 – that is, repatriation [pre-Nakba homes] or compensation.’</w:t>
      </w:r>
      <w:r w:rsidR="00CB5B55">
        <w:rPr>
          <w:rStyle w:val="FootnoteReference"/>
        </w:rPr>
        <w:footnoteReference w:id="50"/>
      </w:r>
      <w:r w:rsidR="00CB5B55" w:rsidRPr="000B5677">
        <w:t xml:space="preserve"> </w:t>
      </w:r>
      <w:r w:rsidR="005F367A">
        <w:t>This awareness of their rights frustrated some</w:t>
      </w:r>
      <w:r w:rsidR="00CB5B55">
        <w:t xml:space="preserve"> </w:t>
      </w:r>
      <w:r w:rsidRPr="000B5677">
        <w:t>UN officials</w:t>
      </w:r>
      <w:r w:rsidR="00CB5B55">
        <w:t xml:space="preserve"> working in Gaza</w:t>
      </w:r>
      <w:r w:rsidR="005F367A">
        <w:t>, especially as the years ticked by.</w:t>
      </w:r>
      <w:r w:rsidR="00451F02">
        <w:t xml:space="preserve"> </w:t>
      </w:r>
      <w:r w:rsidR="002D12E7">
        <w:t xml:space="preserve">Director of United Nations Relief and Works Agency (UNRWA) in Palestine, Henry Labouisse </w:t>
      </w:r>
      <w:r w:rsidR="00F974B6">
        <w:t>noted</w:t>
      </w:r>
      <w:r w:rsidR="00451F02">
        <w:t>, ‘</w:t>
      </w:r>
      <w:r w:rsidR="00451F02" w:rsidRPr="00CD5947">
        <w:rPr>
          <w:u w:val="single"/>
        </w:rPr>
        <w:t>Even illiterates</w:t>
      </w:r>
      <w:r w:rsidR="00451F02">
        <w:t xml:space="preserve"> know it by heart and insist on it – to the refugees </w:t>
      </w:r>
      <w:r w:rsidR="00451F02" w:rsidRPr="00CD5947">
        <w:rPr>
          <w:u w:val="single"/>
        </w:rPr>
        <w:t>this resolution is their bill of rights</w:t>
      </w:r>
      <w:r w:rsidR="00451F02">
        <w:t>.’</w:t>
      </w:r>
      <w:r w:rsidR="00451F02">
        <w:rPr>
          <w:rStyle w:val="FootnoteReference"/>
        </w:rPr>
        <w:footnoteReference w:id="51"/>
      </w:r>
      <w:r w:rsidR="005F367A">
        <w:t xml:space="preserve"> </w:t>
      </w:r>
      <w:r w:rsidR="00541732">
        <w:t>Pushing back on UN magical thinking that the displacement crisis would somehow resolve in this period of paralysis, he insisted</w:t>
      </w:r>
      <w:r w:rsidR="005F367A">
        <w:t xml:space="preserve"> </w:t>
      </w:r>
      <w:r w:rsidR="002D12E7">
        <w:t>‘time would not heal wounds’</w:t>
      </w:r>
      <w:r w:rsidR="00541732">
        <w:t xml:space="preserve">, warning that he worried about </w:t>
      </w:r>
      <w:r w:rsidR="002D12E7">
        <w:t xml:space="preserve">the </w:t>
      </w:r>
      <w:r w:rsidR="002D12E7">
        <w:lastRenderedPageBreak/>
        <w:t>protracted context entrench</w:t>
      </w:r>
      <w:r w:rsidR="00541732">
        <w:t>ing</w:t>
      </w:r>
      <w:r w:rsidR="002D12E7">
        <w:t xml:space="preserve"> ‘fanaticism’ and irrationality in the displacement camps.</w:t>
      </w:r>
      <w:r w:rsidR="002D12E7">
        <w:rPr>
          <w:rStyle w:val="FootnoteReference"/>
        </w:rPr>
        <w:footnoteReference w:id="52"/>
      </w:r>
      <w:r w:rsidR="002D12E7">
        <w:t xml:space="preserve"> E</w:t>
      </w:r>
      <w:r w:rsidR="005D00C5">
        <w:t xml:space="preserve">ndlessly </w:t>
      </w:r>
      <w:r w:rsidR="002D12E7">
        <w:t>supplying</w:t>
      </w:r>
      <w:r w:rsidR="005D00C5">
        <w:t xml:space="preserve"> </w:t>
      </w:r>
      <w:r w:rsidR="00F974B6">
        <w:t xml:space="preserve">palliative </w:t>
      </w:r>
      <w:r w:rsidR="005D00C5">
        <w:t xml:space="preserve">relief would not solve </w:t>
      </w:r>
      <w:r w:rsidR="002D12E7">
        <w:t xml:space="preserve">the </w:t>
      </w:r>
      <w:r w:rsidR="005D00C5">
        <w:t>basic</w:t>
      </w:r>
      <w:r w:rsidR="00F974B6">
        <w:t xml:space="preserve"> political</w:t>
      </w:r>
      <w:r w:rsidR="005D00C5">
        <w:t xml:space="preserve"> problem, it served to just ‘keep the lid on’.</w:t>
      </w:r>
      <w:r w:rsidR="005D00C5">
        <w:rPr>
          <w:rStyle w:val="FootnoteReference"/>
        </w:rPr>
        <w:footnoteReference w:id="53"/>
      </w:r>
      <w:r w:rsidR="002D12E7">
        <w:t xml:space="preserve"> Although frustrated that Israeli officials were not willing to negotiate the practicalities of compensation, he insisted that the Palestinians should take responsibility for their lot and accept resettlement: ‘their very existence is one of [the] profound causes of tensions in [the] area’.</w:t>
      </w:r>
      <w:r w:rsidR="002D12E7">
        <w:rPr>
          <w:rStyle w:val="FootnoteReference"/>
        </w:rPr>
        <w:footnoteReference w:id="54"/>
      </w:r>
      <w:r w:rsidR="002D12E7">
        <w:t xml:space="preserve"> As much the UNEF mission was a project to restore temporal paralysis to the territory, its sister-agency’s field-based international staff </w:t>
      </w:r>
      <w:r w:rsidR="00541732">
        <w:t xml:space="preserve">warned that this protraction policy offered more security risks than opportunities for peace. </w:t>
      </w:r>
      <w:r w:rsidR="002D12E7">
        <w:t xml:space="preserve"> </w:t>
      </w:r>
    </w:p>
    <w:p w14:paraId="17E58E6F" w14:textId="47E42096" w:rsidR="00931863" w:rsidRPr="00E4061D" w:rsidRDefault="005F367A" w:rsidP="00BD1F3A">
      <w:pPr>
        <w:spacing w:after="0" w:line="480" w:lineRule="auto"/>
        <w:ind w:firstLine="720"/>
        <w:contextualSpacing/>
        <w:jc w:val="both"/>
      </w:pPr>
      <w:r>
        <w:t xml:space="preserve">In </w:t>
      </w:r>
      <w:r w:rsidR="00FB20AA">
        <w:t>organisational documents</w:t>
      </w:r>
      <w:r>
        <w:t>,</w:t>
      </w:r>
      <w:r w:rsidR="00B12B9B">
        <w:t xml:space="preserve"> it was common for</w:t>
      </w:r>
      <w:r>
        <w:t xml:space="preserve"> </w:t>
      </w:r>
      <w:r w:rsidR="00695A20">
        <w:t>‘</w:t>
      </w:r>
      <w:r w:rsidR="00FB20AA">
        <w:t>UN family’</w:t>
      </w:r>
      <w:r w:rsidR="00FB20AA">
        <w:rPr>
          <w:rStyle w:val="FootnoteReference"/>
        </w:rPr>
        <w:footnoteReference w:id="55"/>
      </w:r>
      <w:r>
        <w:t xml:space="preserve"> </w:t>
      </w:r>
      <w:r w:rsidR="00FB20AA">
        <w:t>officials</w:t>
      </w:r>
      <w:r w:rsidR="000B5677" w:rsidRPr="000B5677">
        <w:t xml:space="preserve"> </w:t>
      </w:r>
      <w:r w:rsidR="00B12B9B">
        <w:t>to refer</w:t>
      </w:r>
      <w:r w:rsidR="000B5677" w:rsidRPr="000B5677">
        <w:t xml:space="preserve"> to Palestinian refugees pejoratively</w:t>
      </w:r>
      <w:r w:rsidR="00F1548A">
        <w:t xml:space="preserve"> as ‘embittered’</w:t>
      </w:r>
      <w:r w:rsidR="004A3D19" w:rsidRPr="004A3D19">
        <w:t xml:space="preserve"> </w:t>
      </w:r>
      <w:r w:rsidR="004A3D19">
        <w:t>among themselves</w:t>
      </w:r>
      <w:r w:rsidR="000B5677" w:rsidRPr="000B5677">
        <w:t xml:space="preserve">, </w:t>
      </w:r>
      <w:r w:rsidR="00F1548A">
        <w:t>suggesting</w:t>
      </w:r>
      <w:r w:rsidR="000B5677" w:rsidRPr="000B5677">
        <w:t xml:space="preserve"> that</w:t>
      </w:r>
      <w:r w:rsidR="00CB5B55">
        <w:t xml:space="preserve"> it was a symmetric conflict and that the refugees were </w:t>
      </w:r>
      <w:r w:rsidR="00E4061D">
        <w:t>‘</w:t>
      </w:r>
      <w:r w:rsidR="00B12B9B">
        <w:t>psychologically</w:t>
      </w:r>
      <w:r w:rsidR="00E4061D">
        <w:t>’</w:t>
      </w:r>
      <w:r w:rsidR="00B12B9B">
        <w:t xml:space="preserve"> </w:t>
      </w:r>
      <w:r w:rsidR="000B5677" w:rsidRPr="000B5677">
        <w:t>obstructive to peace in the region</w:t>
      </w:r>
      <w:r w:rsidR="00F974B6">
        <w:t>; in short, that they were making the job of the UN workers harder because they refused to be pragmatic</w:t>
      </w:r>
      <w:r w:rsidR="00CB5B55">
        <w:t>.</w:t>
      </w:r>
      <w:r w:rsidR="00D87E49">
        <w:rPr>
          <w:rStyle w:val="FootnoteReference"/>
        </w:rPr>
        <w:footnoteReference w:id="56"/>
      </w:r>
      <w:r w:rsidR="00CB5B55">
        <w:t xml:space="preserve"> </w:t>
      </w:r>
      <w:r w:rsidR="00CB5B55" w:rsidRPr="000B5677">
        <w:t>Labou</w:t>
      </w:r>
      <w:r w:rsidR="00A135CA">
        <w:t>i</w:t>
      </w:r>
      <w:r w:rsidR="00CB5B55" w:rsidRPr="000B5677">
        <w:t xml:space="preserve">sse noted </w:t>
      </w:r>
      <w:r w:rsidR="00CB5B55">
        <w:t>to the UN</w:t>
      </w:r>
      <w:r w:rsidR="00CB5B55" w:rsidRPr="000B5677">
        <w:t xml:space="preserve"> </w:t>
      </w:r>
      <w:r w:rsidR="00CB5B55">
        <w:t xml:space="preserve">Special Political Committee </w:t>
      </w:r>
      <w:r w:rsidR="00CB5B55" w:rsidRPr="000B5677">
        <w:t xml:space="preserve">that, ‘In the absence of that choice, </w:t>
      </w:r>
      <w:r w:rsidR="00CB5B55">
        <w:t>[Palestinians]</w:t>
      </w:r>
      <w:r w:rsidR="00CB5B55" w:rsidRPr="000B5677">
        <w:t xml:space="preserve"> bitterly oppose anything which has even the semblance of permanent settlement elsewhere’, </w:t>
      </w:r>
      <w:r w:rsidR="00CB5B55">
        <w:t>intimating</w:t>
      </w:r>
      <w:r w:rsidR="00CB5B55" w:rsidRPr="000B5677">
        <w:t xml:space="preserve"> that some UN</w:t>
      </w:r>
      <w:r w:rsidR="00D87E49">
        <w:t>RWA leadership</w:t>
      </w:r>
      <w:r w:rsidR="00CB5B55" w:rsidRPr="000B5677">
        <w:t xml:space="preserve"> </w:t>
      </w:r>
      <w:r w:rsidR="00CB5B55" w:rsidRPr="000B5677">
        <w:lastRenderedPageBreak/>
        <w:t>saw ethnic cleansing (or the deferred continuation of the Nakba) as the most obvious solution to conflict in Gaza.</w:t>
      </w:r>
      <w:r w:rsidR="00CB5B55">
        <w:rPr>
          <w:rStyle w:val="FootnoteReference"/>
        </w:rPr>
        <w:footnoteReference w:id="57"/>
      </w:r>
      <w:r w:rsidR="00CB5B55" w:rsidRPr="000B5677">
        <w:t xml:space="preserve"> </w:t>
      </w:r>
      <w:r w:rsidR="00CB5B55">
        <w:t>Indeed, by the</w:t>
      </w:r>
      <w:r w:rsidR="00D87E49">
        <w:t xml:space="preserve"> outbreak of the</w:t>
      </w:r>
      <w:r w:rsidR="00CB5B55">
        <w:t xml:space="preserve"> </w:t>
      </w:r>
      <w:r w:rsidR="00652622">
        <w:t>Suez crisis</w:t>
      </w:r>
      <w:r w:rsidR="00CB5B55">
        <w:t xml:space="preserve">, Labouisse had made </w:t>
      </w:r>
      <w:r w:rsidR="00652622">
        <w:t>multiple</w:t>
      </w:r>
      <w:r w:rsidR="00CB5B55">
        <w:t xml:space="preserve"> references in private that</w:t>
      </w:r>
      <w:r w:rsidR="00B12B9B">
        <w:t>, although he acknowledged their position,</w:t>
      </w:r>
      <w:r w:rsidR="000B5677" w:rsidRPr="000B5677">
        <w:t xml:space="preserve"> </w:t>
      </w:r>
      <w:r w:rsidR="00D87E49">
        <w:t xml:space="preserve">he believed that </w:t>
      </w:r>
      <w:r w:rsidR="00CB5B55">
        <w:t>Palestinians</w:t>
      </w:r>
      <w:r w:rsidR="000B5677" w:rsidRPr="000B5677">
        <w:t xml:space="preserve"> should accept resettlement elsewhere</w:t>
      </w:r>
      <w:r w:rsidR="00CB5B55">
        <w:t xml:space="preserve">, </w:t>
      </w:r>
      <w:r w:rsidR="000B5677" w:rsidRPr="000B5677">
        <w:t xml:space="preserve">preferably </w:t>
      </w:r>
      <w:r w:rsidR="00CB5B55">
        <w:t>by being absorbed into</w:t>
      </w:r>
      <w:r w:rsidR="000B5677" w:rsidRPr="000B5677">
        <w:t xml:space="preserve"> one or more neighbouring Arab states</w:t>
      </w:r>
      <w:r w:rsidR="00CB5B55">
        <w:t xml:space="preserve"> (although in public he continued to insist that he had no political opinion on </w:t>
      </w:r>
      <w:r w:rsidR="00E33BDE">
        <w:t>the</w:t>
      </w:r>
      <w:r w:rsidR="00CB5B55">
        <w:t xml:space="preserve"> solution to the crisis)</w:t>
      </w:r>
      <w:r w:rsidR="000B5677" w:rsidRPr="000B5677">
        <w:t xml:space="preserve">. </w:t>
      </w:r>
      <w:r w:rsidR="00B12B9B">
        <w:t xml:space="preserve">In an off-the-record speech, Labouisse </w:t>
      </w:r>
      <w:r w:rsidR="00E4061D">
        <w:t>commented</w:t>
      </w:r>
      <w:r w:rsidR="00B12B9B">
        <w:t xml:space="preserve"> that</w:t>
      </w:r>
      <w:r w:rsidR="004A3D19">
        <w:t xml:space="preserve"> although ‘UNRWA [is] </w:t>
      </w:r>
      <w:r w:rsidR="004A3D19" w:rsidRPr="004A3D19">
        <w:rPr>
          <w:u w:val="single"/>
        </w:rPr>
        <w:t>non-political</w:t>
      </w:r>
      <w:r w:rsidR="004A3D19">
        <w:t xml:space="preserve">… [the] </w:t>
      </w:r>
      <w:r w:rsidR="004A3D19" w:rsidRPr="004A3D19">
        <w:rPr>
          <w:u w:val="single"/>
        </w:rPr>
        <w:t>political</w:t>
      </w:r>
      <w:r w:rsidR="004A3D19">
        <w:t xml:space="preserve"> situation </w:t>
      </w:r>
      <w:r w:rsidR="004A3D19" w:rsidRPr="004A3D19">
        <w:rPr>
          <w:u w:val="single"/>
        </w:rPr>
        <w:t>conditions our work</w:t>
      </w:r>
      <w:r w:rsidR="004A3D19">
        <w:t xml:space="preserve"> and [I] must be frank about it’.</w:t>
      </w:r>
      <w:r w:rsidR="004A3D19">
        <w:rPr>
          <w:rStyle w:val="FootnoteReference"/>
        </w:rPr>
        <w:footnoteReference w:id="58"/>
      </w:r>
      <w:r w:rsidR="004A3D19">
        <w:t xml:space="preserve"> He stated that it was</w:t>
      </w:r>
      <w:r w:rsidR="00E4061D">
        <w:t xml:space="preserve"> ‘</w:t>
      </w:r>
      <w:r w:rsidR="00E4061D" w:rsidRPr="00E4061D">
        <w:rPr>
          <w:u w:val="double"/>
        </w:rPr>
        <w:t xml:space="preserve">hard </w:t>
      </w:r>
      <w:r w:rsidR="00E4061D" w:rsidRPr="00E4061D">
        <w:rPr>
          <w:u w:val="single"/>
        </w:rPr>
        <w:t xml:space="preserve">to </w:t>
      </w:r>
      <w:r w:rsidR="00E4061D" w:rsidRPr="00E4061D">
        <w:rPr>
          <w:u w:val="double"/>
        </w:rPr>
        <w:t>over-emphasise [the] strength</w:t>
      </w:r>
      <w:r w:rsidR="00E4061D">
        <w:t xml:space="preserve"> of [the] </w:t>
      </w:r>
      <w:r w:rsidR="00E4061D" w:rsidRPr="00E4061D">
        <w:rPr>
          <w:u w:val="double"/>
        </w:rPr>
        <w:t>Arab attitude</w:t>
      </w:r>
      <w:r w:rsidR="00E4061D">
        <w:rPr>
          <w:u w:val="double"/>
        </w:rPr>
        <w:t>’</w:t>
      </w:r>
      <w:r w:rsidR="00E4061D">
        <w:t xml:space="preserve"> and that ‘Refugees and Arab Governments’ were ‘</w:t>
      </w:r>
      <w:r w:rsidR="00E4061D" w:rsidRPr="00E4061D">
        <w:rPr>
          <w:u w:val="double"/>
        </w:rPr>
        <w:t>bitterly critical of fact</w:t>
      </w:r>
      <w:r w:rsidR="00E4061D">
        <w:t xml:space="preserve"> that resolution on repatriation and compensation </w:t>
      </w:r>
      <w:r w:rsidR="00E4061D" w:rsidRPr="00E4061D">
        <w:rPr>
          <w:u w:val="single"/>
        </w:rPr>
        <w:t>has never been enforced</w:t>
      </w:r>
      <w:r w:rsidR="00E4061D">
        <w:t>.’</w:t>
      </w:r>
      <w:r w:rsidR="00E4061D">
        <w:rPr>
          <w:rStyle w:val="FootnoteReference"/>
        </w:rPr>
        <w:footnoteReference w:id="59"/>
      </w:r>
      <w:r w:rsidR="00F1548A">
        <w:t xml:space="preserve"> He went on to warn his Western audience that Palestinians were ‘</w:t>
      </w:r>
      <w:r w:rsidR="00F1548A" w:rsidRPr="00F1548A">
        <w:rPr>
          <w:u w:val="single"/>
        </w:rPr>
        <w:t xml:space="preserve">Not always rational </w:t>
      </w:r>
      <w:r w:rsidR="00F1548A">
        <w:t>– often stirred up by agitators’ and warned that there was ‘</w:t>
      </w:r>
      <w:r w:rsidR="00F1548A" w:rsidRPr="00F1548A">
        <w:rPr>
          <w:u w:val="double"/>
        </w:rPr>
        <w:t>real fanaticism</w:t>
      </w:r>
      <w:r w:rsidR="00F1548A" w:rsidRPr="00F1548A">
        <w:rPr>
          <w:u w:val="single"/>
        </w:rPr>
        <w:t xml:space="preserve"> on this issue</w:t>
      </w:r>
      <w:r w:rsidR="00F1548A">
        <w:t>’.</w:t>
      </w:r>
      <w:r w:rsidR="004A3D19">
        <w:rPr>
          <w:rStyle w:val="FootnoteReference"/>
        </w:rPr>
        <w:footnoteReference w:id="60"/>
      </w:r>
      <w:r w:rsidR="00F1548A">
        <w:t xml:space="preserve"> Labouisse perpetuated colonial</w:t>
      </w:r>
      <w:r w:rsidR="007E76BE">
        <w:t xml:space="preserve"> and Islamophobic </w:t>
      </w:r>
      <w:r w:rsidR="00F1548A">
        <w:t xml:space="preserve">tropes of Arabs as obstinate (but also easily swayed), violent, and </w:t>
      </w:r>
      <w:r w:rsidR="007E76BE">
        <w:t xml:space="preserve">‘fanatically’ </w:t>
      </w:r>
      <w:r w:rsidR="00F1548A">
        <w:t>unreasonable in their expectations of the UN (and Western powers like the US).</w:t>
      </w:r>
      <w:r w:rsidR="007E76BE">
        <w:rPr>
          <w:rStyle w:val="FootnoteReference"/>
        </w:rPr>
        <w:footnoteReference w:id="61"/>
      </w:r>
      <w:r w:rsidR="00F1548A">
        <w:t xml:space="preserve"> </w:t>
      </w:r>
      <w:r w:rsidR="00F1079C">
        <w:t>‘</w:t>
      </w:r>
      <w:r w:rsidR="00F1079C" w:rsidRPr="00F1079C">
        <w:rPr>
          <w:u w:val="single"/>
        </w:rPr>
        <w:t>It is late’</w:t>
      </w:r>
      <w:r w:rsidR="00F1079C">
        <w:t xml:space="preserve">, he finished, ‘but not </w:t>
      </w:r>
      <w:r w:rsidR="00F1079C" w:rsidRPr="00F1079C">
        <w:rPr>
          <w:u w:val="single"/>
        </w:rPr>
        <w:t>too</w:t>
      </w:r>
      <w:r w:rsidR="00F1079C">
        <w:t xml:space="preserve"> late – for the interested powers to seek a humane solution of problems of refugees from Palestine,’ after detailing potential </w:t>
      </w:r>
      <w:r w:rsidR="00F1079C">
        <w:lastRenderedPageBreak/>
        <w:t xml:space="preserve">resettlement plans in Syria and Iraq. His opinion on Palestinian permanent </w:t>
      </w:r>
      <w:r w:rsidR="00F974B6">
        <w:t>re</w:t>
      </w:r>
      <w:r w:rsidR="00F1079C">
        <w:t>settlement in Gaza? ‘Nil’.</w:t>
      </w:r>
      <w:r w:rsidR="00BF38F8">
        <w:rPr>
          <w:rStyle w:val="FootnoteReference"/>
        </w:rPr>
        <w:footnoteReference w:id="62"/>
      </w:r>
    </w:p>
    <w:p w14:paraId="7032B094" w14:textId="4EFC2C5D" w:rsidR="00CA1E58" w:rsidRDefault="00461D24" w:rsidP="00BD1F3A">
      <w:pPr>
        <w:spacing w:after="0" w:line="480" w:lineRule="auto"/>
        <w:contextualSpacing/>
        <w:jc w:val="both"/>
      </w:pPr>
      <w:r>
        <w:tab/>
        <w:t>Among the ‘UN family’</w:t>
      </w:r>
      <w:r w:rsidR="00863827">
        <w:t xml:space="preserve"> in Gaza</w:t>
      </w:r>
      <w:r>
        <w:t xml:space="preserve">, he was far from alone in </w:t>
      </w:r>
      <w:r w:rsidR="00863827">
        <w:t>anti-Palestinian opinions</w:t>
      </w:r>
      <w:r>
        <w:t xml:space="preserve">. </w:t>
      </w:r>
      <w:r w:rsidR="00944698">
        <w:t xml:space="preserve">During the Israeli occupation </w:t>
      </w:r>
      <w:r w:rsidR="00863827">
        <w:t>during the Suez crisis</w:t>
      </w:r>
      <w:r w:rsidR="00944698">
        <w:t xml:space="preserve">, an UNTSO </w:t>
      </w:r>
      <w:r w:rsidR="00BB10D5">
        <w:t xml:space="preserve">observer peacekeeper, Major Alan W. Cooper, received complaints from Palestinian refugees and was reported for </w:t>
      </w:r>
      <w:r w:rsidR="00863827">
        <w:t xml:space="preserve">‘cooperating’ with Israelis by </w:t>
      </w:r>
      <w:r w:rsidR="00BB10D5">
        <w:t>confiscating weapons from Palestinians and handing them over to Israeli officials.</w:t>
      </w:r>
      <w:r w:rsidR="00BB10D5">
        <w:rPr>
          <w:rStyle w:val="FootnoteReference"/>
        </w:rPr>
        <w:footnoteReference w:id="63"/>
      </w:r>
      <w:r w:rsidR="00BB10D5">
        <w:t xml:space="preserve"> Cooper, who had previously been employed as part of the British Mandate in Palestine, was also heard </w:t>
      </w:r>
      <w:r w:rsidR="00863827">
        <w:t>‘making derogatory references’ to</w:t>
      </w:r>
      <w:r w:rsidR="00BB10D5">
        <w:t xml:space="preserve"> the Egyptian Government, especially Nasser, during the occupation.</w:t>
      </w:r>
      <w:r w:rsidR="00863827">
        <w:rPr>
          <w:rStyle w:val="FootnoteReference"/>
        </w:rPr>
        <w:footnoteReference w:id="64"/>
      </w:r>
      <w:r w:rsidR="00F85214">
        <w:t xml:space="preserve"> Despite these accusations</w:t>
      </w:r>
      <w:r w:rsidR="005735EF">
        <w:t xml:space="preserve"> and his </w:t>
      </w:r>
      <w:r w:rsidR="00493898">
        <w:t xml:space="preserve">known </w:t>
      </w:r>
      <w:r w:rsidR="005735EF">
        <w:t>‘unfriendly’ relationship with local civilians</w:t>
      </w:r>
      <w:r w:rsidR="00C3495D">
        <w:t xml:space="preserve"> in Gaza</w:t>
      </w:r>
      <w:r w:rsidR="00493898">
        <w:t xml:space="preserve"> (as well as his collaboration with Israelis during an occupation that the UN would be soon mandated to withdraw)</w:t>
      </w:r>
      <w:r w:rsidR="00F85214">
        <w:t>, Cooper was later employed by UNEF, until Egypt put him on a blacklist in November 1964 and he was reappointed to the new UN mission to Cyprus instead.</w:t>
      </w:r>
    </w:p>
    <w:p w14:paraId="2FE55B5E" w14:textId="7B5B75F3" w:rsidR="009D0C72" w:rsidRDefault="00CA1E58" w:rsidP="00BD1F3A">
      <w:pPr>
        <w:spacing w:after="0" w:line="480" w:lineRule="auto"/>
        <w:ind w:firstLine="720"/>
        <w:contextualSpacing/>
        <w:jc w:val="both"/>
      </w:pPr>
      <w:r>
        <w:t>These anti-Palestinian opinions</w:t>
      </w:r>
      <w:r w:rsidR="003552B9">
        <w:t xml:space="preserve"> among UN field officials</w:t>
      </w:r>
      <w:r>
        <w:t xml:space="preserve"> held even more significance in the run up to the UNEF take-over of Gaza</w:t>
      </w:r>
      <w:r w:rsidR="00C701B1">
        <w:t>. In February, UNEF Headquarters</w:t>
      </w:r>
      <w:r w:rsidR="0040573D">
        <w:t xml:space="preserve"> prepared intelligence </w:t>
      </w:r>
      <w:r w:rsidR="00C701B1">
        <w:t>reports</w:t>
      </w:r>
      <w:r w:rsidR="0040573D">
        <w:t xml:space="preserve"> on the </w:t>
      </w:r>
      <w:r w:rsidR="00A52218">
        <w:t xml:space="preserve">population and </w:t>
      </w:r>
      <w:r w:rsidR="0040573D">
        <w:t>region to prime officials for the occupation</w:t>
      </w:r>
      <w:r>
        <w:t xml:space="preserve">. </w:t>
      </w:r>
      <w:r w:rsidR="00C64B41">
        <w:t>One UNEF report</w:t>
      </w:r>
      <w:r w:rsidR="00284A24">
        <w:t xml:space="preserve"> specifically</w:t>
      </w:r>
      <w:r w:rsidR="009D0C72">
        <w:t xml:space="preserve"> sought to prepare the mission leadership </w:t>
      </w:r>
      <w:r>
        <w:t>to maintain control in the face of</w:t>
      </w:r>
      <w:r w:rsidR="009D0C72">
        <w:t xml:space="preserve"> the same ‘irrationality’ and ‘fanaticism’ that Labouisse mentioned:</w:t>
      </w:r>
    </w:p>
    <w:p w14:paraId="2653CCB3" w14:textId="77777777" w:rsidR="00826221" w:rsidRDefault="00826221" w:rsidP="00BD1F3A">
      <w:pPr>
        <w:spacing w:after="0" w:line="480" w:lineRule="auto"/>
        <w:contextualSpacing/>
        <w:jc w:val="both"/>
      </w:pPr>
    </w:p>
    <w:p w14:paraId="61828D31" w14:textId="010D634F" w:rsidR="009D0C72" w:rsidRDefault="009D0C72" w:rsidP="00BD1F3A">
      <w:pPr>
        <w:spacing w:after="0" w:line="480" w:lineRule="auto"/>
        <w:ind w:left="1134" w:right="1134"/>
        <w:contextualSpacing/>
        <w:jc w:val="both"/>
      </w:pPr>
      <w:r>
        <w:t xml:space="preserve">The inhabitants are excitable and irrational and local feeling rises suddenly. Demonstrations of an ugly nature can be spontaneous and it is said that, when it comes to throwing rocks, the </w:t>
      </w:r>
      <w:r w:rsidR="00826221">
        <w:t>inhabitants</w:t>
      </w:r>
      <w:r>
        <w:t xml:space="preserve"> are accurately impartial and everyone is a target. Even demonstrations of </w:t>
      </w:r>
      <w:r w:rsidR="00826221">
        <w:t>enthusiastic</w:t>
      </w:r>
      <w:r>
        <w:t xml:space="preserve"> welcome can carry and element of risk.</w:t>
      </w:r>
      <w:r w:rsidR="00CA1E58">
        <w:rPr>
          <w:rStyle w:val="FootnoteReference"/>
        </w:rPr>
        <w:footnoteReference w:id="65"/>
      </w:r>
    </w:p>
    <w:p w14:paraId="0E377843" w14:textId="77777777" w:rsidR="00CA1E58" w:rsidRDefault="00CA1E58" w:rsidP="00BD1F3A">
      <w:pPr>
        <w:spacing w:after="0" w:line="480" w:lineRule="auto"/>
        <w:ind w:left="1134" w:right="1134"/>
        <w:contextualSpacing/>
        <w:jc w:val="both"/>
      </w:pPr>
    </w:p>
    <w:p w14:paraId="56FC1B42" w14:textId="5C6101E2" w:rsidR="009D0C72" w:rsidRDefault="009D0C72" w:rsidP="00BD1F3A">
      <w:pPr>
        <w:spacing w:after="0" w:line="480" w:lineRule="auto"/>
        <w:contextualSpacing/>
        <w:jc w:val="both"/>
      </w:pPr>
      <w:r>
        <w:t xml:space="preserve">This </w:t>
      </w:r>
      <w:r w:rsidR="00826221">
        <w:t>report re</w:t>
      </w:r>
      <w:r w:rsidR="0064115B">
        <w:t xml:space="preserve">ferred to past demonstrations in Gaza which had been organised to protest plans to resettle Palestinians </w:t>
      </w:r>
      <w:r w:rsidR="00C70864">
        <w:t xml:space="preserve">in Sinai </w:t>
      </w:r>
      <w:r w:rsidR="0064115B">
        <w:t>rather than facilitate their return home.</w:t>
      </w:r>
      <w:r w:rsidR="0064115B">
        <w:rPr>
          <w:rStyle w:val="FootnoteReference"/>
        </w:rPr>
        <w:footnoteReference w:id="66"/>
      </w:r>
      <w:r w:rsidR="0064115B">
        <w:t xml:space="preserve"> It re</w:t>
      </w:r>
      <w:r w:rsidR="00826221">
        <w:t xml:space="preserve">lied on many of the same colonial tropes that Labouisse had used but </w:t>
      </w:r>
      <w:r w:rsidR="00AC090F">
        <w:t>added the additional racialised imaginary of the ‘trickster’ indigenous group that cunningly uses a performance of innocence to destabilise the colonial power</w:t>
      </w:r>
      <w:r w:rsidR="00826221">
        <w:t xml:space="preserve">. As the mission staff prepared to take-over administration of the strip, their </w:t>
      </w:r>
      <w:r w:rsidR="00C25D5C">
        <w:t xml:space="preserve">operational reports were </w:t>
      </w:r>
      <w:r w:rsidR="00826221">
        <w:t>warn</w:t>
      </w:r>
      <w:r w:rsidR="00C25D5C">
        <w:t>ing officials</w:t>
      </w:r>
      <w:r w:rsidR="00826221">
        <w:t xml:space="preserve"> to be vigilant, not let their guard down, and prepare for </w:t>
      </w:r>
      <w:r w:rsidR="00C92786">
        <w:t xml:space="preserve">‘impartial’ </w:t>
      </w:r>
      <w:r w:rsidR="00CA1E58">
        <w:t xml:space="preserve">violence: ‘everyone is a target’. </w:t>
      </w:r>
      <w:r w:rsidR="00234A02">
        <w:t xml:space="preserve">In this context of the Israeli withdrawal, this framing of the Palestinians as inherently violent served to naturalise their oppression and </w:t>
      </w:r>
      <w:r w:rsidR="00F54224">
        <w:t xml:space="preserve">justify their continued </w:t>
      </w:r>
      <w:r w:rsidR="00234A02">
        <w:t xml:space="preserve">violation; for the UN field officials, it seemed like if the </w:t>
      </w:r>
      <w:r w:rsidR="00F54224">
        <w:t xml:space="preserve">‘irrational’ </w:t>
      </w:r>
      <w:r w:rsidR="00234A02">
        <w:t>Palestinians had not found conflict with the Israeli, then they would have found it elsewhere.</w:t>
      </w:r>
    </w:p>
    <w:p w14:paraId="1868CE7A" w14:textId="1902EA45" w:rsidR="00D04991" w:rsidRDefault="000B5677" w:rsidP="00BD1F3A">
      <w:pPr>
        <w:spacing w:after="0" w:line="480" w:lineRule="auto"/>
        <w:ind w:firstLine="720"/>
        <w:contextualSpacing/>
        <w:jc w:val="both"/>
      </w:pPr>
      <w:r w:rsidRPr="000B5677">
        <w:lastRenderedPageBreak/>
        <w:t>Th</w:t>
      </w:r>
      <w:r w:rsidR="00E33BDE">
        <w:t>ese</w:t>
      </w:r>
      <w:r w:rsidR="00EA7DBD">
        <w:t xml:space="preserve"> documents provide fragmentary </w:t>
      </w:r>
      <w:r w:rsidRPr="000B5677">
        <w:t>insight</w:t>
      </w:r>
      <w:r w:rsidR="00E33BDE">
        <w:t>s</w:t>
      </w:r>
      <w:r w:rsidRPr="000B5677">
        <w:t xml:space="preserve"> into the</w:t>
      </w:r>
      <w:r w:rsidR="00727453">
        <w:t xml:space="preserve"> deeply entrenched</w:t>
      </w:r>
      <w:r w:rsidRPr="000B5677">
        <w:t xml:space="preserve"> </w:t>
      </w:r>
      <w:r w:rsidR="00E33BDE">
        <w:t>culture of anti-Palestinian politics within the field-based UN agencies in the run up to the UNEF takeover</w:t>
      </w:r>
      <w:r w:rsidR="00F703D6">
        <w:t xml:space="preserve">, even as the agencies were </w:t>
      </w:r>
      <w:r w:rsidR="00E14BC5">
        <w:t xml:space="preserve">simultaneously </w:t>
      </w:r>
      <w:r w:rsidR="00F703D6">
        <w:t>struggl</w:t>
      </w:r>
      <w:r w:rsidR="00E14BC5">
        <w:t>ing</w:t>
      </w:r>
      <w:r w:rsidR="00F703D6">
        <w:t xml:space="preserve"> against an Israeli invasion</w:t>
      </w:r>
      <w:r w:rsidR="00E33BDE">
        <w:t>.</w:t>
      </w:r>
      <w:r w:rsidR="00E33BDE" w:rsidRPr="000B5677">
        <w:t xml:space="preserve"> </w:t>
      </w:r>
      <w:r w:rsidR="004726AF">
        <w:t>Many of these racialised and Islamophobic</w:t>
      </w:r>
      <w:r w:rsidR="00652622">
        <w:t xml:space="preserve"> assumptions about </w:t>
      </w:r>
      <w:r w:rsidR="00E33BDE" w:rsidRPr="000B5677">
        <w:t>Palestinians were</w:t>
      </w:r>
      <w:r w:rsidR="00652622">
        <w:t xml:space="preserve"> shaped by temporal judgements, framing them</w:t>
      </w:r>
      <w:r w:rsidR="00E33BDE" w:rsidRPr="000B5677">
        <w:t xml:space="preserve"> a </w:t>
      </w:r>
      <w:r w:rsidR="004726AF">
        <w:t xml:space="preserve">‘backwards’ </w:t>
      </w:r>
      <w:r w:rsidR="00E33BDE" w:rsidRPr="000B5677">
        <w:t xml:space="preserve">group who would not </w:t>
      </w:r>
      <w:r w:rsidR="00652622">
        <w:t>‘</w:t>
      </w:r>
      <w:r w:rsidR="00E33BDE" w:rsidRPr="000B5677">
        <w:t>move on</w:t>
      </w:r>
      <w:r w:rsidR="00652622">
        <w:t>’</w:t>
      </w:r>
      <w:r w:rsidR="00E33BDE" w:rsidRPr="000B5677">
        <w:t xml:space="preserve"> from the past and – apparently frustratingly – forget their </w:t>
      </w:r>
      <w:r w:rsidR="00D224BB">
        <w:t xml:space="preserve">legal </w:t>
      </w:r>
      <w:r w:rsidR="00E33BDE" w:rsidRPr="000B5677">
        <w:t>rights.</w:t>
      </w:r>
      <w:r w:rsidR="00652622">
        <w:t xml:space="preserve"> Thus, although the UN leadership in the New York HQ sought to </w:t>
      </w:r>
      <w:r w:rsidR="00600FBB">
        <w:t>restore control over the region</w:t>
      </w:r>
      <w:r w:rsidR="00652622">
        <w:t xml:space="preserve">, for many UN </w:t>
      </w:r>
      <w:r w:rsidR="00600FBB">
        <w:t>leadership in the field</w:t>
      </w:r>
      <w:r w:rsidR="00E33BDE" w:rsidRPr="000B5677">
        <w:t xml:space="preserve"> </w:t>
      </w:r>
      <w:r w:rsidR="00652622">
        <w:t xml:space="preserve">the </w:t>
      </w:r>
      <w:r w:rsidR="00E33BDE" w:rsidRPr="000B5677">
        <w:t xml:space="preserve">preferred future </w:t>
      </w:r>
      <w:r w:rsidR="00652622">
        <w:t>for liberal peace in</w:t>
      </w:r>
      <w:r w:rsidR="00E33BDE" w:rsidRPr="000B5677">
        <w:t xml:space="preserve"> Gaza was one </w:t>
      </w:r>
      <w:r w:rsidR="00600FBB">
        <w:t>without the ‘fanaticism’</w:t>
      </w:r>
      <w:r w:rsidR="00E33BDE" w:rsidRPr="000B5677">
        <w:t xml:space="preserve"> Palestinians</w:t>
      </w:r>
      <w:r w:rsidR="00303247">
        <w:t>. By associating peace with ethnic cleansing, the dilemma for these officials was how to most ‘humanely’ (and legally) resettle the Palestinians away from the Gaza Strip.</w:t>
      </w:r>
      <w:r w:rsidR="00E4068E">
        <w:t xml:space="preserve"> </w:t>
      </w:r>
      <w:r w:rsidR="00D04991">
        <w:t>These r</w:t>
      </w:r>
      <w:r w:rsidR="00E33BDE">
        <w:t xml:space="preserve">acialised </w:t>
      </w:r>
      <w:r w:rsidR="00FD2864">
        <w:t xml:space="preserve">temporal </w:t>
      </w:r>
      <w:r w:rsidR="00E33BDE">
        <w:t xml:space="preserve">perceptions shaped the ways in which </w:t>
      </w:r>
      <w:r w:rsidRPr="000B5677">
        <w:t>UN</w:t>
      </w:r>
      <w:r w:rsidR="00E33BDE">
        <w:t>EF</w:t>
      </w:r>
      <w:r w:rsidRPr="000B5677">
        <w:t xml:space="preserve"> </w:t>
      </w:r>
      <w:r w:rsidR="00E33BDE">
        <w:t xml:space="preserve">officials and troops approached </w:t>
      </w:r>
      <w:r w:rsidR="00D04991">
        <w:t xml:space="preserve">Palestinians and perceived their mandate in </w:t>
      </w:r>
      <w:r w:rsidR="00E33BDE">
        <w:t xml:space="preserve">Gaza </w:t>
      </w:r>
      <w:r w:rsidR="00D04991">
        <w:t>once they took over the strip in March 1957</w:t>
      </w:r>
      <w:r w:rsidRPr="000B5677">
        <w:t>.</w:t>
      </w:r>
      <w:r w:rsidR="00E33BDE">
        <w:t xml:space="preserve"> </w:t>
      </w:r>
    </w:p>
    <w:p w14:paraId="1BF6E8A3" w14:textId="6A4787C9" w:rsidR="006958EB" w:rsidRDefault="00B85B13" w:rsidP="00BD1F3A">
      <w:pPr>
        <w:spacing w:after="0" w:line="480" w:lineRule="auto"/>
        <w:ind w:firstLine="720"/>
        <w:contextualSpacing/>
        <w:jc w:val="both"/>
      </w:pPr>
      <w:r w:rsidRPr="00B85B13">
        <w:t xml:space="preserve">It was in this context of institutional dismissal, palliative relief, and protracted injustice that Palestinians and other Gazans sought to use the opportunity of UNEF’s takeover to communicate their displeasure directly with organisation representatives and troops. </w:t>
      </w:r>
      <w:r w:rsidR="00652622" w:rsidRPr="00B85B13">
        <w:t xml:space="preserve">On 1 March, UNEF assumed civil control of the strip from Israel, with </w:t>
      </w:r>
      <w:r w:rsidR="00652622">
        <w:t xml:space="preserve">UNEF </w:t>
      </w:r>
      <w:r w:rsidR="00652622" w:rsidRPr="00B85B13">
        <w:t>Force Commander Burns confirming that troops were in position on 6 March. Israeli forces fully withdrew from their last unit at Rafah camp on 8 March.</w:t>
      </w:r>
      <w:r w:rsidR="00652622" w:rsidRPr="00B85B13">
        <w:rPr>
          <w:rStyle w:val="FootnoteReference"/>
        </w:rPr>
        <w:footnoteReference w:id="67"/>
      </w:r>
      <w:r w:rsidR="00652622" w:rsidRPr="00B85B13">
        <w:t xml:space="preserve"> </w:t>
      </w:r>
      <w:r w:rsidR="00652622">
        <w:t xml:space="preserve">The UNEF force moved in at </w:t>
      </w:r>
      <w:r w:rsidR="00652622">
        <w:lastRenderedPageBreak/>
        <w:t xml:space="preserve">night while a curfew was in force for the civilians, reinforcing the mission efforts to disconnect the population about this significant political transformation, waking to the </w:t>
      </w:r>
      <w:r w:rsidR="00652622" w:rsidRPr="00102751">
        <w:rPr>
          <w:i/>
          <w:iCs/>
        </w:rPr>
        <w:t>post hoc</w:t>
      </w:r>
      <w:r w:rsidR="00652622">
        <w:t xml:space="preserve"> notification of a regime change.</w:t>
      </w:r>
      <w:r w:rsidR="00652622">
        <w:rPr>
          <w:rStyle w:val="FootnoteReference"/>
        </w:rPr>
        <w:footnoteReference w:id="68"/>
      </w:r>
      <w:r w:rsidR="00652622">
        <w:t xml:space="preserve"> </w:t>
      </w:r>
    </w:p>
    <w:p w14:paraId="55651579" w14:textId="77777777" w:rsidR="006958EB" w:rsidRDefault="006958EB" w:rsidP="00BD1F3A">
      <w:pPr>
        <w:pStyle w:val="NoSpacing"/>
        <w:spacing w:line="480" w:lineRule="auto"/>
      </w:pPr>
    </w:p>
    <w:p w14:paraId="12F92AAF" w14:textId="26D0F8E5" w:rsidR="006958EB" w:rsidRDefault="006958EB" w:rsidP="00BD1F3A">
      <w:pPr>
        <w:pStyle w:val="Heading1"/>
        <w:spacing w:line="480" w:lineRule="auto"/>
      </w:pPr>
      <w:r>
        <w:t>Rupture as Opportunity</w:t>
      </w:r>
    </w:p>
    <w:p w14:paraId="40312FF5" w14:textId="77777777" w:rsidR="006958EB" w:rsidRPr="006958EB" w:rsidRDefault="006958EB" w:rsidP="00BD1F3A">
      <w:pPr>
        <w:pStyle w:val="NoSpacing"/>
        <w:spacing w:line="480" w:lineRule="auto"/>
      </w:pPr>
    </w:p>
    <w:p w14:paraId="4417CD3C" w14:textId="151EE9A7" w:rsidR="00B85B13" w:rsidRPr="00B85B13" w:rsidRDefault="00652622" w:rsidP="00BD1F3A">
      <w:pPr>
        <w:spacing w:after="0" w:line="480" w:lineRule="auto"/>
        <w:contextualSpacing/>
        <w:jc w:val="both"/>
      </w:pPr>
      <w:r>
        <w:t xml:space="preserve">Immediately after </w:t>
      </w:r>
      <w:r w:rsidR="0034731B">
        <w:t xml:space="preserve">waking up to </w:t>
      </w:r>
      <w:r>
        <w:t>the takeover, l</w:t>
      </w:r>
      <w:r w:rsidR="00B85B13" w:rsidRPr="00B85B13">
        <w:t xml:space="preserve">arge protests convened outside the UN HQ in the city of Gaza to challenge the exceptional decision to install UN administration over the region </w:t>
      </w:r>
      <w:r w:rsidR="00D86510">
        <w:t>instead of</w:t>
      </w:r>
      <w:r w:rsidR="00B85B13" w:rsidRPr="00B85B13">
        <w:t xml:space="preserve"> returning the territory to its previous authority, Egypt. </w:t>
      </w:r>
      <w:r w:rsidR="00D86510">
        <w:t>More so than for the observer UNTSO peacekeepers or</w:t>
      </w:r>
      <w:r w:rsidR="00B85B13" w:rsidRPr="00B85B13">
        <w:t xml:space="preserve"> UNRWA relief workers, who insisted on their apolitical, humanitarian character,</w:t>
      </w:r>
      <w:r w:rsidR="00B85B13" w:rsidRPr="00B85B13">
        <w:rPr>
          <w:rStyle w:val="FootnoteReference"/>
        </w:rPr>
        <w:footnoteReference w:id="69"/>
      </w:r>
      <w:r w:rsidR="00B85B13" w:rsidRPr="00B85B13">
        <w:t xml:space="preserve"> the UNEF personnel represented a direct link to the political negotiations over their lives and </w:t>
      </w:r>
      <w:r w:rsidR="00D86510">
        <w:t xml:space="preserve">the militarisation of the civilian’s </w:t>
      </w:r>
      <w:r w:rsidR="00B85B13" w:rsidRPr="00B85B13">
        <w:t>political sovereignty. For some</w:t>
      </w:r>
      <w:r w:rsidR="0059019F">
        <w:t xml:space="preserve"> Palestinians</w:t>
      </w:r>
      <w:r w:rsidR="00B85B13" w:rsidRPr="00B85B13">
        <w:t>, UNEF’s take-over felt suspicious, transitory, and a step towards undoing the – already controversial – armistice agreements and a permanent Israeli control.</w:t>
      </w:r>
      <w:r w:rsidR="0059019F">
        <w:rPr>
          <w:rStyle w:val="FootnoteReference"/>
        </w:rPr>
        <w:footnoteReference w:id="70"/>
      </w:r>
      <w:r w:rsidR="00B85B13" w:rsidRPr="00B85B13">
        <w:t xml:space="preserve"> Israel had gained confidence during the tripartite invasion and had quickly grown into a formidable military power</w:t>
      </w:r>
      <w:r w:rsidR="00CA552C">
        <w:t xml:space="preserve"> in the region</w:t>
      </w:r>
      <w:r w:rsidR="00B85B13" w:rsidRPr="00B85B13">
        <w:t>.</w:t>
      </w:r>
      <w:r w:rsidR="00B85B13" w:rsidRPr="00B85B13">
        <w:rPr>
          <w:rStyle w:val="FootnoteReference"/>
        </w:rPr>
        <w:footnoteReference w:id="71"/>
      </w:r>
      <w:r w:rsidR="00B85B13" w:rsidRPr="00B85B13">
        <w:t xml:space="preserve"> For others, UNEF administration could represent a step towards Gazan self-determination and the question of Palestinian statehood. </w:t>
      </w:r>
      <w:r w:rsidR="00B85B13" w:rsidRPr="00B85B13">
        <w:lastRenderedPageBreak/>
        <w:t>Seeking to galvanise this critical moment of transition, Palestinian protestors mobilised quickly and demanded a return to Egyptian authority; it would not be a solution to their displacement, but it would return them to the liminal norm that had been precariously preserved since 1949 and many already felt aligned with Nasser’s anticolonial politics.</w:t>
      </w:r>
      <w:r w:rsidR="00B85B13" w:rsidRPr="00B85B13">
        <w:rPr>
          <w:rStyle w:val="FootnoteReference"/>
        </w:rPr>
        <w:footnoteReference w:id="72"/>
      </w:r>
    </w:p>
    <w:p w14:paraId="34302F8B" w14:textId="313AFFDD" w:rsidR="00B85B13" w:rsidRPr="00B85B13" w:rsidRDefault="00B85B13" w:rsidP="00BD1F3A">
      <w:pPr>
        <w:spacing w:after="0" w:line="480" w:lineRule="auto"/>
        <w:ind w:firstLine="720"/>
        <w:contextualSpacing/>
        <w:jc w:val="both"/>
      </w:pPr>
      <w:r w:rsidRPr="00B85B13">
        <w:t>On 10 March, hundreds of Palestinians mobilised to protest around the new UNEF HQ, which had taken over the Gaza police station.</w:t>
      </w:r>
      <w:r w:rsidRPr="00B85B13">
        <w:rPr>
          <w:rStyle w:val="FootnoteReference"/>
        </w:rPr>
        <w:footnoteReference w:id="73"/>
      </w:r>
      <w:r w:rsidR="009133DE">
        <w:t xml:space="preserve"> </w:t>
      </w:r>
      <w:r w:rsidR="009133DE" w:rsidRPr="009133DE">
        <w:rPr>
          <w:i/>
          <w:iCs/>
        </w:rPr>
        <w:t>Al HaMishmar</w:t>
      </w:r>
      <w:r w:rsidR="009133DE">
        <w:t xml:space="preserve">, ‘On </w:t>
      </w:r>
      <w:r w:rsidR="002B228F">
        <w:t>the Watch’</w:t>
      </w:r>
      <w:r w:rsidRPr="00B85B13">
        <w:t xml:space="preserve"> </w:t>
      </w:r>
      <w:r w:rsidR="002B228F">
        <w:t>a</w:t>
      </w:r>
      <w:r w:rsidR="009133DE">
        <w:t xml:space="preserve"> Zionist Socialist daily newspaper, </w:t>
      </w:r>
      <w:r w:rsidR="002B228F">
        <w:t xml:space="preserve">described the protests as led by a ‘Hamas-led coalition’ that ‘threatened to destroy the Gaza Strip’, </w:t>
      </w:r>
      <w:r w:rsidR="00391722">
        <w:t>exaggerat</w:t>
      </w:r>
      <w:r w:rsidR="002B228F">
        <w:t>ing</w:t>
      </w:r>
      <w:r w:rsidR="00391722">
        <w:t xml:space="preserve"> th</w:t>
      </w:r>
      <w:r w:rsidR="002B228F">
        <w:t>e</w:t>
      </w:r>
      <w:r w:rsidR="00391722">
        <w:t xml:space="preserve"> number </w:t>
      </w:r>
      <w:r w:rsidR="002B228F">
        <w:t>to protestors to a</w:t>
      </w:r>
      <w:r w:rsidR="009133DE">
        <w:t xml:space="preserve"> 3,000</w:t>
      </w:r>
      <w:r w:rsidR="002B228F">
        <w:t xml:space="preserve">-strong </w:t>
      </w:r>
      <w:r w:rsidR="00183236">
        <w:t>violent ‘mob’</w:t>
      </w:r>
      <w:r w:rsidR="002B228F">
        <w:rPr>
          <w:rStyle w:val="FootnoteReference"/>
        </w:rPr>
        <w:footnoteReference w:id="74"/>
      </w:r>
      <w:r w:rsidR="009133DE">
        <w:t xml:space="preserve">. </w:t>
      </w:r>
      <w:r w:rsidRPr="00B85B13">
        <w:t>Although there had been protests since 5 March, the 10 March demonstration had escalated due to Force Commander Burn’s announcement of Col. Carl Engholm, a Danish UN official, as Military Governor for Gaza, prompting fears of a prolonged UN administration. Western press footage of the protests focussed on all-men groups in close-up shots, such as in a Reuters newsreel clip of the take-over.</w:t>
      </w:r>
      <w:r w:rsidRPr="00B85B13">
        <w:rPr>
          <w:rStyle w:val="FootnoteReference"/>
        </w:rPr>
        <w:footnoteReference w:id="75"/>
      </w:r>
      <w:r w:rsidRPr="00B85B13">
        <w:t xml:space="preserve"> The media and government coverage framed the demonstrations as led by an exceptional group of ‘disturbing…agitators’ and ‘Egyptian-inspired…riots’, but photos from the protests show </w:t>
      </w:r>
      <w:r w:rsidRPr="00B85B13">
        <w:lastRenderedPageBreak/>
        <w:t>families marching peacefully together outside the UNEF HQ and a large number of children involved in the protests.</w:t>
      </w:r>
      <w:r w:rsidRPr="00B85B13">
        <w:rPr>
          <w:rStyle w:val="FootnoteReference"/>
        </w:rPr>
        <w:footnoteReference w:id="76"/>
      </w:r>
      <w:r w:rsidRPr="00B85B13">
        <w:t xml:space="preserve"> </w:t>
      </w:r>
    </w:p>
    <w:p w14:paraId="0A1E1151" w14:textId="038B8187" w:rsidR="006E2588" w:rsidRPr="00412653" w:rsidRDefault="00B85B13" w:rsidP="00BD1F3A">
      <w:pPr>
        <w:spacing w:after="0" w:line="480" w:lineRule="auto"/>
        <w:ind w:firstLine="720"/>
        <w:contextualSpacing/>
        <w:jc w:val="both"/>
        <w:rPr>
          <w:sz w:val="20"/>
          <w:szCs w:val="18"/>
        </w:rPr>
      </w:pPr>
      <w:r w:rsidRPr="00B85B13">
        <w:t xml:space="preserve">Shortly after some of the protestors attempted to gain access to the building, UNEF General Burns authorised the use of tear gas </w:t>
      </w:r>
      <w:r w:rsidR="009133DE">
        <w:t xml:space="preserve">and grenades, </w:t>
      </w:r>
      <w:r w:rsidRPr="00B85B13">
        <w:t>instruct</w:t>
      </w:r>
      <w:r w:rsidR="009133DE">
        <w:t>ing</w:t>
      </w:r>
      <w:r w:rsidRPr="00B85B13">
        <w:t xml:space="preserve"> the Danish and Norwegian – or DANOR – peacekeeping troops to shoot ‘over the heads of nearly 300 Arab demonstrators’.</w:t>
      </w:r>
      <w:r w:rsidRPr="00B85B13">
        <w:rPr>
          <w:rStyle w:val="FootnoteReference"/>
        </w:rPr>
        <w:footnoteReference w:id="77"/>
      </w:r>
      <w:r w:rsidRPr="00B85B13">
        <w:t xml:space="preserve"> Protesters had thrown stones at some UN white vehicles as part of and several activists were arrested. The increased emotional intensity and size of the crowds in this protest from the smaller marches since UNEF had taken over were decontextualised and provocatively framed by Force Commander Burns who suggested that ‘this mob had evidently been incited to violence’ and</w:t>
      </w:r>
      <w:r w:rsidRPr="00B85B13">
        <w:rPr>
          <w:i/>
          <w:iCs/>
        </w:rPr>
        <w:t xml:space="preserve"> </w:t>
      </w:r>
      <w:r w:rsidRPr="00B85B13">
        <w:t>that he ‘detected a Communist tinge’.</w:t>
      </w:r>
      <w:r w:rsidRPr="00B85B13">
        <w:rPr>
          <w:rStyle w:val="FootnoteReference"/>
        </w:rPr>
        <w:footnoteReference w:id="78"/>
      </w:r>
      <w:r w:rsidRPr="00B85B13">
        <w:t xml:space="preserve"> Instead of valuing the political demands and history of the conflict, UNEF leadership dismissed these crowds as a critical form of democratic engagement and a signal to reflect on the UN Advisory Board’s current ‘wait and see’ attitude about the future of Gaza’s sovereignty.</w:t>
      </w:r>
      <w:r w:rsidRPr="00B85B13">
        <w:rPr>
          <w:rStyle w:val="FootnoteReference"/>
        </w:rPr>
        <w:footnoteReference w:id="79"/>
      </w:r>
      <w:r w:rsidRPr="00B85B13">
        <w:t xml:space="preserve"> </w:t>
      </w:r>
      <w:r w:rsidR="00E1090A">
        <w:t>Approximately 10 protestors were arrested and detained by the UN mission.</w:t>
      </w:r>
    </w:p>
    <w:p w14:paraId="78914C86" w14:textId="63AA49C7" w:rsidR="00950E73" w:rsidRDefault="00B85B13" w:rsidP="00BD1F3A">
      <w:pPr>
        <w:widowControl w:val="0"/>
        <w:spacing w:after="0" w:line="480" w:lineRule="auto"/>
        <w:ind w:firstLine="720"/>
        <w:contextualSpacing/>
        <w:jc w:val="both"/>
      </w:pPr>
      <w:r w:rsidRPr="00B85B13">
        <w:t xml:space="preserve">Over the next week, Palestinians in Gaza used this </w:t>
      </w:r>
      <w:r w:rsidR="00544568">
        <w:t>rupture during the</w:t>
      </w:r>
      <w:r w:rsidRPr="00B85B13">
        <w:t xml:space="preserve"> transition to communicate their Arab identity and seek pan-Arab solidarity with the Egyptian government, rejecting the UNEF administration and efforts to make Gaza ‘international’. Despite the </w:t>
      </w:r>
      <w:r w:rsidRPr="00B85B13">
        <w:lastRenderedPageBreak/>
        <w:t>controversy of the first protest, large crowds continued to gather outside the UNEF HQ and to hold signs that made their demands clear. In these images, protestors brought along signs in English to communicate with the UN staff: ‘Never forget Palestine’, and ‘Gaza Greats, Arab Leaders’ were popular slogans, alongside large images of Nasser and the Egyptian flag. Protestors also wrote large signs in Arabic to target the Arab press and Egyptian audience</w:t>
      </w:r>
      <w:r w:rsidR="00CA4E62">
        <w:t xml:space="preserve"> with ethno-nationalist language</w:t>
      </w:r>
      <w:r w:rsidRPr="00B85B13">
        <w:t xml:space="preserve">. </w:t>
      </w:r>
      <w:r w:rsidR="006E2588">
        <w:t xml:space="preserve">One </w:t>
      </w:r>
      <w:r w:rsidRPr="00B85B13">
        <w:t>cloth si</w:t>
      </w:r>
      <w:r w:rsidR="006E2588">
        <w:t>gn</w:t>
      </w:r>
      <w:r w:rsidRPr="00B85B13">
        <w:t xml:space="preserve"> read, ‘Gaza is Arab and not international’ and ‘In the name of the Arab’.</w:t>
      </w:r>
    </w:p>
    <w:p w14:paraId="64E7C4DE" w14:textId="52AF0780" w:rsidR="00E9604C" w:rsidRDefault="00950E73" w:rsidP="00BD1F3A">
      <w:pPr>
        <w:spacing w:after="0" w:line="480" w:lineRule="auto"/>
        <w:ind w:firstLine="720"/>
        <w:contextualSpacing/>
        <w:jc w:val="both"/>
      </w:pPr>
      <w:r>
        <w:t>A</w:t>
      </w:r>
      <w:r w:rsidR="00B85B13" w:rsidRPr="00B85B13">
        <w:t>lthough many Palestinians felt betrayed by Arab states during the signing of the 1949 Armistice Agreements, their recent occupation by Israeli forces had prompted a resurgence of Egyptian support in the strip</w:t>
      </w:r>
      <w:r w:rsidR="007D2E43">
        <w:t xml:space="preserve"> and a distrust of ‘internationalization’</w:t>
      </w:r>
      <w:r w:rsidR="005C685D">
        <w:t xml:space="preserve"> under an open-ended UN administration</w:t>
      </w:r>
      <w:bookmarkStart w:id="3" w:name="_Hlk196292928"/>
      <w:r w:rsidR="00B85B13" w:rsidRPr="00B85B13">
        <w:t>.</w:t>
      </w:r>
      <w:r w:rsidR="007D2E43">
        <w:t xml:space="preserve"> One statement published in a piece for the Middle East Press Agency </w:t>
      </w:r>
      <w:r w:rsidR="00337F12">
        <w:t>reported</w:t>
      </w:r>
      <w:r w:rsidR="007D2E43">
        <w:t xml:space="preserve"> that, ‘Internationalization has become the newest form of imperialism’.</w:t>
      </w:r>
      <w:r w:rsidR="007D2E43">
        <w:rPr>
          <w:rStyle w:val="FootnoteReference"/>
        </w:rPr>
        <w:footnoteReference w:id="80"/>
      </w:r>
      <w:r w:rsidR="005C685D">
        <w:t xml:space="preserve"> Similar </w:t>
      </w:r>
      <w:r w:rsidR="00F63F77">
        <w:t xml:space="preserve">front-page </w:t>
      </w:r>
      <w:r w:rsidR="005C685D">
        <w:t>h</w:t>
      </w:r>
      <w:r w:rsidR="00337F12">
        <w:t>eadline</w:t>
      </w:r>
      <w:r w:rsidR="005C685D">
        <w:t>s</w:t>
      </w:r>
      <w:r w:rsidR="00337F12">
        <w:t xml:space="preserve"> in </w:t>
      </w:r>
      <w:r w:rsidR="00337F12" w:rsidRPr="00337F12">
        <w:rPr>
          <w:i/>
          <w:iCs/>
        </w:rPr>
        <w:t>al-ittihad</w:t>
      </w:r>
      <w:r w:rsidR="00337F12">
        <w:rPr>
          <w:i/>
          <w:iCs/>
        </w:rPr>
        <w:t xml:space="preserve">, </w:t>
      </w:r>
      <w:r w:rsidR="00337F12">
        <w:t>‘The Union’,</w:t>
      </w:r>
      <w:r w:rsidR="00337F12">
        <w:rPr>
          <w:i/>
          <w:iCs/>
        </w:rPr>
        <w:t xml:space="preserve"> </w:t>
      </w:r>
      <w:r w:rsidR="00337F12">
        <w:t>a Communist Arabic newspaper based in occupied Palestine</w:t>
      </w:r>
      <w:r w:rsidR="005C685D">
        <w:t xml:space="preserve"> territory</w:t>
      </w:r>
      <w:r w:rsidR="00337F12">
        <w:t xml:space="preserve"> during UNEF, </w:t>
      </w:r>
      <w:r w:rsidR="005C685D">
        <w:t>read</w:t>
      </w:r>
      <w:r w:rsidR="00337F12">
        <w:t xml:space="preserve"> ‘No colonialism, no internationalization, Gaza is Arab and will remain Arab’</w:t>
      </w:r>
      <w:r w:rsidR="00EF6F78">
        <w:t xml:space="preserve"> </w:t>
      </w:r>
      <w:r w:rsidR="005C685D">
        <w:t>and ‘The uproar over the Gaza Strip is a colonial conspiracy’</w:t>
      </w:r>
      <w:r w:rsidR="00337F12">
        <w:t>.</w:t>
      </w:r>
      <w:r w:rsidR="00337F12">
        <w:rPr>
          <w:rStyle w:val="FootnoteReference"/>
        </w:rPr>
        <w:footnoteReference w:id="81"/>
      </w:r>
      <w:r w:rsidR="00337F12">
        <w:t xml:space="preserve"> </w:t>
      </w:r>
      <w:bookmarkEnd w:id="3"/>
      <w:r w:rsidR="00F63F77">
        <w:t>Protestors demanded the right to return and a resolution to the refugee crisis in Gaza</w:t>
      </w:r>
      <w:r w:rsidR="00DD5F6C">
        <w:t xml:space="preserve">, </w:t>
      </w:r>
      <w:r w:rsidR="003217E4">
        <w:t xml:space="preserve">perceiving this moment as an opportunity to restore Palestinian beyond Gaza and </w:t>
      </w:r>
      <w:r w:rsidR="00DD5F6C">
        <w:t>rejecting</w:t>
      </w:r>
      <w:r w:rsidR="003217E4">
        <w:t xml:space="preserve"> </w:t>
      </w:r>
      <w:r w:rsidR="00DD5F6C">
        <w:t>segregation</w:t>
      </w:r>
      <w:r w:rsidR="003217E4">
        <w:t xml:space="preserve"> or racial apartheid</w:t>
      </w:r>
      <w:r w:rsidR="00DD5F6C">
        <w:t xml:space="preserve">: ‘Nazareth will not be the new </w:t>
      </w:r>
      <w:r w:rsidR="00DD5F6C">
        <w:lastRenderedPageBreak/>
        <w:t>South Africa’</w:t>
      </w:r>
      <w:r w:rsidR="00F63F77">
        <w:t>.</w:t>
      </w:r>
      <w:r w:rsidR="00F63F77">
        <w:rPr>
          <w:rStyle w:val="FootnoteReference"/>
        </w:rPr>
        <w:footnoteReference w:id="82"/>
      </w:r>
      <w:r w:rsidR="00F63F77">
        <w:t xml:space="preserve"> Palestinian</w:t>
      </w:r>
      <w:r w:rsidR="00B85B13" w:rsidRPr="00B85B13">
        <w:t xml:space="preserve"> allegiance </w:t>
      </w:r>
      <w:r w:rsidR="007D2E43">
        <w:t xml:space="preserve">with Egypt and Nasser </w:t>
      </w:r>
      <w:r w:rsidR="00B85B13" w:rsidRPr="00B85B13">
        <w:t xml:space="preserve">was, therefore, a pragmatic decision, </w:t>
      </w:r>
      <w:r w:rsidR="00F63F77">
        <w:t>grounded</w:t>
      </w:r>
      <w:r w:rsidR="00B85B13" w:rsidRPr="00B85B13">
        <w:t xml:space="preserve"> in support of Nasser’s anticolonial politics but also shrewdly aware of how vulnerable those displaced in the strip were</w:t>
      </w:r>
      <w:r w:rsidR="00F63F77">
        <w:t xml:space="preserve"> not only</w:t>
      </w:r>
      <w:r w:rsidR="00B85B13" w:rsidRPr="00B85B13">
        <w:t xml:space="preserve"> to future occupation by Israel</w:t>
      </w:r>
      <w:r w:rsidR="00F63F77">
        <w:t>, but to permanent deferred justice by becoming an international territory or a permanent mission</w:t>
      </w:r>
      <w:r w:rsidR="00B85B13" w:rsidRPr="00B85B13">
        <w:t>. A return to Egyptian occupation offered the greatest security for a population that had already experienced the sharp end of the Zionist project</w:t>
      </w:r>
      <w:r w:rsidR="00E93BFA">
        <w:t xml:space="preserve"> </w:t>
      </w:r>
      <w:r w:rsidR="00F63F77">
        <w:t>and perceived colonial continuities in the practices of the UNEF occupation</w:t>
      </w:r>
      <w:r w:rsidR="00E1090A">
        <w:t>.</w:t>
      </w:r>
    </w:p>
    <w:p w14:paraId="35FED95A" w14:textId="77777777" w:rsidR="009019ED" w:rsidRDefault="009019ED" w:rsidP="00BD1F3A">
      <w:pPr>
        <w:pStyle w:val="NoSpacing"/>
        <w:spacing w:line="480" w:lineRule="auto"/>
      </w:pPr>
    </w:p>
    <w:p w14:paraId="15B599DE" w14:textId="0C8D1F44" w:rsidR="00DE53FA" w:rsidRPr="00DE53FA" w:rsidRDefault="008340C2" w:rsidP="00BD1F3A">
      <w:pPr>
        <w:pStyle w:val="Heading1"/>
        <w:spacing w:line="480" w:lineRule="auto"/>
      </w:pPr>
      <w:r>
        <w:t>The Future of Gaza</w:t>
      </w:r>
    </w:p>
    <w:p w14:paraId="1FBF8AE0" w14:textId="77777777" w:rsidR="00E9604C" w:rsidRDefault="00E9604C" w:rsidP="00BD1F3A">
      <w:pPr>
        <w:pStyle w:val="NoSpacing"/>
        <w:spacing w:line="480" w:lineRule="auto"/>
      </w:pPr>
    </w:p>
    <w:p w14:paraId="123F70E5" w14:textId="5FED16E3" w:rsidR="00E9604C" w:rsidRDefault="00E9604C" w:rsidP="00BD1F3A">
      <w:pPr>
        <w:spacing w:after="0" w:line="480" w:lineRule="auto"/>
        <w:contextualSpacing/>
        <w:jc w:val="both"/>
      </w:pPr>
      <w:r w:rsidRPr="007E3EC6">
        <w:t xml:space="preserve">The UN’s occupation in March 1957 thus severed international ideas of the conflict as the result of a protracted displacement crisis and instead opened up an </w:t>
      </w:r>
      <w:r w:rsidR="00725D02">
        <w:t>exceptional</w:t>
      </w:r>
      <w:r w:rsidR="00725D02" w:rsidRPr="007E3EC6">
        <w:t xml:space="preserve"> </w:t>
      </w:r>
      <w:r w:rsidRPr="007E3EC6">
        <w:t>view of the strip as a desirable territory that could achieve peace in the future if the ‘right’ owners were put in power</w:t>
      </w:r>
      <w:r>
        <w:t xml:space="preserve"> and the Palestinians were removed</w:t>
      </w:r>
      <w:r w:rsidRPr="007E3EC6">
        <w:t xml:space="preserve">. </w:t>
      </w:r>
      <w:r w:rsidR="00D745D3">
        <w:t xml:space="preserve">As temporal ‘claims-makers’, the UN officials held power to recommend </w:t>
      </w:r>
      <w:r w:rsidR="00F5526E">
        <w:t xml:space="preserve">resettlement (implicitly, </w:t>
      </w:r>
      <w:r w:rsidR="00D745D3">
        <w:t>ethnic cleansing</w:t>
      </w:r>
      <w:r w:rsidR="00F5526E">
        <w:t>)</w:t>
      </w:r>
      <w:r w:rsidR="00D745D3">
        <w:t xml:space="preserve"> as technocrats in conflict resolution </w:t>
      </w:r>
      <w:r w:rsidR="00D745D3">
        <w:rPr>
          <w:i/>
          <w:iCs/>
        </w:rPr>
        <w:t xml:space="preserve">and </w:t>
      </w:r>
      <w:r w:rsidR="00D745D3">
        <w:t xml:space="preserve">due to their perceived wisdom as field-based officials. As representatives of the UN, the world’s largest international organisation empowered with protecting peace and security, they held the power to imagine and narrate time (especially the future of liberal peace in Gaza), even if they were unable to militarily defend their hold on </w:t>
      </w:r>
      <w:r w:rsidR="00D745D3">
        <w:lastRenderedPageBreak/>
        <w:t xml:space="preserve">the territory against a member-state. </w:t>
      </w:r>
      <w:r w:rsidR="0086590B">
        <w:t xml:space="preserve">In the aftermath of the protests and the </w:t>
      </w:r>
      <w:r w:rsidR="005A665C">
        <w:t>mission</w:t>
      </w:r>
      <w:r w:rsidR="0086590B">
        <w:t xml:space="preserve"> response</w:t>
      </w:r>
      <w:r w:rsidRPr="007E3EC6">
        <w:t xml:space="preserve">, the future of the territory was seen in the West as being held back by a population that was stuck in the past that refused to move on: the </w:t>
      </w:r>
      <w:r w:rsidRPr="007E3EC6">
        <w:rPr>
          <w:i/>
          <w:iCs/>
        </w:rPr>
        <w:t>territory</w:t>
      </w:r>
      <w:r w:rsidRPr="007E3EC6">
        <w:t xml:space="preserve"> was framed as a desirable space for future development and the </w:t>
      </w:r>
      <w:r w:rsidRPr="007E3EC6">
        <w:rPr>
          <w:i/>
          <w:iCs/>
        </w:rPr>
        <w:t xml:space="preserve">population </w:t>
      </w:r>
      <w:r w:rsidRPr="007E3EC6">
        <w:t xml:space="preserve">racialised as a violent, grievance-ridden community (a narrative that perfectly suited the </w:t>
      </w:r>
      <w:r w:rsidR="001D2FED">
        <w:t>settler colonial</w:t>
      </w:r>
      <w:r w:rsidRPr="007E3EC6">
        <w:t xml:space="preserve"> agenda of Israel).</w:t>
      </w:r>
      <w:r w:rsidR="001D2FED">
        <w:t xml:space="preserve"> </w:t>
      </w:r>
      <w:r w:rsidR="00E630BE">
        <w:t xml:space="preserve">Indeed, even once UNEF transferred administrative control back to Egypt Gaza, the continued peacekeeping presence – and the question of </w:t>
      </w:r>
      <w:r w:rsidR="00005284">
        <w:t>the mission’s</w:t>
      </w:r>
      <w:r w:rsidR="00E630BE">
        <w:t xml:space="preserve"> permanence – was a fraught issue between the UN and Nasser’s government.</w:t>
      </w:r>
      <w:r w:rsidR="00E630BE">
        <w:rPr>
          <w:rStyle w:val="FootnoteReference"/>
        </w:rPr>
        <w:footnoteReference w:id="83"/>
      </w:r>
    </w:p>
    <w:p w14:paraId="6645B3A9" w14:textId="54A48F64" w:rsidR="002102A0" w:rsidRDefault="004F4CE0" w:rsidP="00BD1F3A">
      <w:pPr>
        <w:spacing w:after="0" w:line="480" w:lineRule="auto"/>
        <w:ind w:firstLine="720"/>
        <w:contextualSpacing/>
        <w:jc w:val="both"/>
      </w:pPr>
      <w:r>
        <w:t>Instead of valuing the political demands of the host population and their request to be returned to their previous administrative power just as Sinai had been, UNEF leadership dismissed these demonstrations as a critical form of democratic engagement and a signal to reflect on the UN Advisory Board’s current ‘wait and see’ attitude about the future of Gaza’s sovereignty.</w:t>
      </w:r>
      <w:r w:rsidR="002102A0">
        <w:rPr>
          <w:rStyle w:val="FootnoteReference"/>
        </w:rPr>
        <w:footnoteReference w:id="84"/>
      </w:r>
      <w:r w:rsidR="002102A0">
        <w:t xml:space="preserve"> Palestinians’ political objection to Engholm’s appointment and their lack of consultation in the UNEF takeover were thus decontextualised and dismissed in the aftermath of the protest. This false symmetry between protestors throwing rocks at UN vehicles and the militarised response by the uniformed force in power of the territory was reinforced by the UNEF leader, Force Commander Burns, who homogenised the protestors </w:t>
      </w:r>
      <w:r w:rsidR="002102A0">
        <w:lastRenderedPageBreak/>
        <w:t>and suggested that ‘this mob had evidently been incited to violence’ and</w:t>
      </w:r>
      <w:r w:rsidR="002102A0">
        <w:rPr>
          <w:i/>
          <w:iCs/>
        </w:rPr>
        <w:t xml:space="preserve"> </w:t>
      </w:r>
      <w:r w:rsidR="002102A0">
        <w:t>that he ‘detected a Communist tinge’, in search of support from Western audiences.</w:t>
      </w:r>
      <w:r w:rsidR="002102A0">
        <w:rPr>
          <w:rStyle w:val="FootnoteReference"/>
        </w:rPr>
        <w:footnoteReference w:id="85"/>
      </w:r>
      <w:r w:rsidR="002102A0">
        <w:t xml:space="preserve"> </w:t>
      </w:r>
    </w:p>
    <w:p w14:paraId="17FE9993" w14:textId="40791952" w:rsidR="0019042F" w:rsidRDefault="002102A0" w:rsidP="00BD1F3A">
      <w:pPr>
        <w:spacing w:after="0" w:line="480" w:lineRule="auto"/>
        <w:ind w:firstLine="720"/>
        <w:contextualSpacing/>
        <w:jc w:val="both"/>
      </w:pPr>
      <w:r>
        <w:t xml:space="preserve">As much as the protests had galvanised the Palestinian population to seek self-determination and reject Israeli and UN occupation, it had also brought international attention to the region, provoking the idea of Palestinians as the source of protracted conflict. </w:t>
      </w:r>
      <w:r w:rsidR="00725D02">
        <w:t>M</w:t>
      </w:r>
      <w:r>
        <w:t xml:space="preserve">any </w:t>
      </w:r>
      <w:r w:rsidR="00A77D92">
        <w:t>UN member-</w:t>
      </w:r>
      <w:r>
        <w:t>states,</w:t>
      </w:r>
      <w:r w:rsidR="00A77D92">
        <w:t xml:space="preserve"> </w:t>
      </w:r>
      <w:r>
        <w:t>mirroring Labouisse’s comments</w:t>
      </w:r>
      <w:r w:rsidR="009A7495">
        <w:t>,</w:t>
      </w:r>
      <w:r>
        <w:t xml:space="preserve"> perceived the Palestinian demands for the right to return as a nuisance, an obstacle to the future of Israel and liberal peace in the Middle East, and an </w:t>
      </w:r>
      <w:r w:rsidR="006D09C1">
        <w:t>elongated</w:t>
      </w:r>
      <w:r>
        <w:t xml:space="preserve"> financial burden for the UN members.</w:t>
      </w:r>
      <w:r>
        <w:rPr>
          <w:rStyle w:val="FootnoteReference"/>
        </w:rPr>
        <w:footnoteReference w:id="86"/>
      </w:r>
      <w:r>
        <w:t xml:space="preserve"> Having allied with Israel during the Suez Crisis, France demanded that a swift solution be found for the Gaza Strip protests before it threatens Israeli sovereignty. Australia, although censuring Israel for its rejection of all Palestinian refugees,</w:t>
      </w:r>
      <w:r w:rsidR="005C5C7C">
        <w:t xml:space="preserve"> </w:t>
      </w:r>
      <w:r>
        <w:t>argued that the resettlement of Palestinians offered the clearest solution to the displacement in Gaza</w:t>
      </w:r>
      <w:r w:rsidR="00782E8D">
        <w:t>, even if it required waiting longer</w:t>
      </w:r>
      <w:r>
        <w:t>: ‘Time had not proved a healing agent but it might have an effect in the long run if the parties concerned would allow it to do its work’.</w:t>
      </w:r>
      <w:r>
        <w:rPr>
          <w:rStyle w:val="FootnoteReference"/>
        </w:rPr>
        <w:footnoteReference w:id="87"/>
      </w:r>
      <w:r>
        <w:t xml:space="preserve"> </w:t>
      </w:r>
      <w:r w:rsidR="008340C2">
        <w:t>This</w:t>
      </w:r>
      <w:r w:rsidR="0019042F">
        <w:t xml:space="preserve"> active interpretation of time – as a generative process rather than as a ‘freezing’ or passive concept – suggests that a solution might be easier to reach</w:t>
      </w:r>
      <w:r w:rsidR="00782E8D">
        <w:t xml:space="preserve"> </w:t>
      </w:r>
      <w:r w:rsidR="0019042F">
        <w:t>the more time is extended after the initial displacement. In this framing, the parties may be less ‘hardened’ to their position and more flexible due to the deferral.</w:t>
      </w:r>
      <w:r w:rsidR="00782E8D">
        <w:t xml:space="preserve"> W</w:t>
      </w:r>
      <w:r w:rsidR="0019042F">
        <w:t xml:space="preserve">ith recognition of how the Palestinians were most often described as hardened or ‘embittered’ </w:t>
      </w:r>
      <w:r w:rsidR="0019042F">
        <w:lastRenderedPageBreak/>
        <w:t xml:space="preserve">by holding onto their original position, </w:t>
      </w:r>
      <w:r w:rsidR="00782E8D">
        <w:t>Australia’s statement implies that time is an active process that will weaken Palestinians’ political position and thus make them more conciliatory to liberal peace in the region through resettlement.</w:t>
      </w:r>
    </w:p>
    <w:p w14:paraId="34C34325" w14:textId="771F1EA2" w:rsidR="002102A0" w:rsidRDefault="001169B8" w:rsidP="00BD1F3A">
      <w:pPr>
        <w:spacing w:after="0" w:line="480" w:lineRule="auto"/>
        <w:ind w:firstLine="720"/>
        <w:contextualSpacing/>
        <w:jc w:val="both"/>
      </w:pPr>
      <w:r>
        <w:t>This p</w:t>
      </w:r>
      <w:r w:rsidR="008340C2">
        <w:t>erceived linear pathway to liberal peace justified continued UN efforts to guide the region towards its ‘inevitable’ civilisational</w:t>
      </w:r>
      <w:r>
        <w:t xml:space="preserve"> progress or</w:t>
      </w:r>
      <w:r w:rsidR="008340C2">
        <w:t xml:space="preserve"> future – a </w:t>
      </w:r>
      <w:r w:rsidR="007A0681">
        <w:t xml:space="preserve">temporal colonial trope whose imaginaries of the </w:t>
      </w:r>
      <w:r w:rsidR="008340C2">
        <w:t>future</w:t>
      </w:r>
      <w:r w:rsidR="007A0681">
        <w:t xml:space="preserve"> led towards a Western developmental model</w:t>
      </w:r>
      <w:r w:rsidR="008340C2">
        <w:t xml:space="preserve"> that was deemed incompatible with the continued presence of ‘backwards’-focused (or ‘haunted’) Palestinians.</w:t>
      </w:r>
      <w:r w:rsidR="000D557D" w:rsidRPr="000D557D">
        <w:t xml:space="preserve"> </w:t>
      </w:r>
      <w:r w:rsidR="000D557D">
        <w:t>Other member states, including Pakistan, were abstract in their engagement with the conflict, noting that there needed to be a solution to the ‘refugee problem’ but refraining from suggesting what this might look like. Only Morocco’s representative explicitly stated that ‘the only solution to the problem would be to allow the refugees to return to their homes.’</w:t>
      </w:r>
      <w:r w:rsidR="000D557D">
        <w:rPr>
          <w:rStyle w:val="FootnoteReference"/>
        </w:rPr>
        <w:footnoteReference w:id="88"/>
      </w:r>
      <w:r w:rsidR="008340C2">
        <w:t xml:space="preserve"> </w:t>
      </w:r>
      <w:r w:rsidR="002102A0">
        <w:t xml:space="preserve"> </w:t>
      </w:r>
    </w:p>
    <w:p w14:paraId="50C2247E" w14:textId="0234B8D2" w:rsidR="00D4240F" w:rsidRDefault="002102A0" w:rsidP="00BD1F3A">
      <w:pPr>
        <w:spacing w:after="0" w:line="480" w:lineRule="auto"/>
        <w:ind w:firstLine="720"/>
        <w:contextualSpacing/>
        <w:jc w:val="both"/>
      </w:pPr>
      <w:r>
        <w:t xml:space="preserve">Western journalists also popularised racialised imaginaries of the protestors as ‘mobs’ and naturalised the idea of the strip (and its population) as inherently unstable and permanently in conflict in March 1957, thus blaming Palestinians for their own suppression and normalising violent suppression as a peacekeeping </w:t>
      </w:r>
      <w:r w:rsidRPr="004328A1">
        <w:t xml:space="preserve">strategy; for these commentators, Palestinians, by nature, required taming or controlling through a paternalistic authority, mirroring a colonial trope. </w:t>
      </w:r>
      <w:r w:rsidR="004328A1" w:rsidRPr="004328A1">
        <w:t>The</w:t>
      </w:r>
      <w:r w:rsidR="004328A1" w:rsidRPr="004328A1">
        <w:rPr>
          <w:i/>
          <w:iCs/>
        </w:rPr>
        <w:t xml:space="preserve"> New York Times</w:t>
      </w:r>
      <w:r w:rsidR="004328A1" w:rsidRPr="004328A1">
        <w:t xml:space="preserve"> published image of a UN refugee camp in Gaza on 10 March 1957, with the caption ‘REFUGEES: Arabs in a U.N. camp in Gaza </w:t>
      </w:r>
      <w:r w:rsidR="004328A1" w:rsidRPr="004328A1">
        <w:lastRenderedPageBreak/>
        <w:t>remain a basis source of tensions and threat to peace in Mideast’, suggesting that the displaced Palestinians were somehow the most responsible party for perpetuating the ongoing violence in the region.</w:t>
      </w:r>
      <w:r w:rsidR="004328A1" w:rsidRPr="004328A1">
        <w:rPr>
          <w:rStyle w:val="FootnoteReference"/>
        </w:rPr>
        <w:footnoteReference w:id="89"/>
      </w:r>
      <w:r w:rsidR="004328A1" w:rsidRPr="00B7747F">
        <w:t xml:space="preserve"> </w:t>
      </w:r>
      <w:r>
        <w:t>As</w:t>
      </w:r>
      <w:r w:rsidR="00D4240F">
        <w:t xml:space="preserve"> Hamilton Fish Armstrong,</w:t>
      </w:r>
      <w:r>
        <w:t xml:space="preserve"> the editor of </w:t>
      </w:r>
      <w:r>
        <w:rPr>
          <w:i/>
          <w:iCs/>
        </w:rPr>
        <w:t xml:space="preserve">Foreign Affairs </w:t>
      </w:r>
      <w:r>
        <w:t>wrote, ‘F</w:t>
      </w:r>
      <w:r w:rsidRPr="005A3DF2">
        <w:t>or years the United Nations had been debating this complex of problems and passing resolutions about them; for years some of its members had been giving unselfish service and large sums of money to mitigate the human misery involved</w:t>
      </w:r>
      <w:r>
        <w:t>.’</w:t>
      </w:r>
      <w:r>
        <w:rPr>
          <w:rStyle w:val="FootnoteReference"/>
        </w:rPr>
        <w:footnoteReference w:id="90"/>
      </w:r>
      <w:r>
        <w:t xml:space="preserve"> </w:t>
      </w:r>
      <w:r w:rsidR="00D4240F">
        <w:t>Armstrong decontextualised the crisis, framing it – and the displaced population – as a natural state of being, always having been displaced, instead of as a political conflict that had affected individuals lived reality for almost a decade.</w:t>
      </w:r>
      <w:r w:rsidR="00D4240F" w:rsidRPr="00652622">
        <w:t xml:space="preserve"> </w:t>
      </w:r>
      <w:r w:rsidR="00D4240F">
        <w:t>These media reports</w:t>
      </w:r>
      <w:r w:rsidR="00D4240F" w:rsidRPr="00B85B13">
        <w:t xml:space="preserve"> illustrated how </w:t>
      </w:r>
      <w:r w:rsidR="00D4240F">
        <w:t>liberal commentators in the</w:t>
      </w:r>
      <w:r w:rsidR="00D4240F" w:rsidRPr="00B85B13">
        <w:t xml:space="preserve"> West</w:t>
      </w:r>
      <w:r w:rsidR="00D4240F">
        <w:t xml:space="preserve">, in the aftermath of the UNEF takeover, increasingly blamed Palestinians for continued instability in Gaza and legitimised the Zionist framing of the displaced population </w:t>
      </w:r>
      <w:r w:rsidR="00D4240F" w:rsidRPr="00B85B13">
        <w:t xml:space="preserve">as a pathologized </w:t>
      </w:r>
      <w:r w:rsidR="00D4240F">
        <w:t xml:space="preserve">group </w:t>
      </w:r>
      <w:r w:rsidR="00D4240F" w:rsidRPr="00B85B13">
        <w:t xml:space="preserve">that </w:t>
      </w:r>
      <w:r w:rsidR="00D4240F">
        <w:t xml:space="preserve">had </w:t>
      </w:r>
      <w:r w:rsidR="00D4240F">
        <w:rPr>
          <w:i/>
          <w:iCs/>
        </w:rPr>
        <w:t xml:space="preserve">chosen </w:t>
      </w:r>
      <w:r w:rsidR="00D4240F">
        <w:t>to remain frozen in time</w:t>
      </w:r>
      <w:r w:rsidR="00D4240F" w:rsidRPr="00B85B13">
        <w:t>.</w:t>
      </w:r>
      <w:r w:rsidR="00D4240F">
        <w:t xml:space="preserve"> </w:t>
      </w:r>
    </w:p>
    <w:p w14:paraId="3671F14C" w14:textId="45B008F0" w:rsidR="004F4CE0" w:rsidRDefault="002102A0" w:rsidP="00BD1F3A">
      <w:pPr>
        <w:spacing w:after="0" w:line="480" w:lineRule="auto"/>
        <w:ind w:firstLine="720"/>
        <w:contextualSpacing/>
        <w:jc w:val="both"/>
      </w:pPr>
      <w:r w:rsidRPr="005A3DF2">
        <w:t>This</w:t>
      </w:r>
      <w:r>
        <w:t xml:space="preserve"> infantilising and criminalising imaginary of the population was rooted in colonial tropes of racialised populations, ‘othering’ their behaviour, therefore delegitimising their political demands and their actions as recognisably part of a democratic movement. As a perceived ‘problem’ for the UN, Palestinian protestors were paternalistically framed as ungrateful (for not uncritically welcoming the intervening force), violent (for throwing stones), and </w:t>
      </w:r>
      <w:r w:rsidR="006D09C1">
        <w:t>infantile</w:t>
      </w:r>
      <w:r>
        <w:t xml:space="preserve"> (for failing to understand ‘their place’ in the regional conflict). </w:t>
      </w:r>
      <w:r>
        <w:lastRenderedPageBreak/>
        <w:t>Positioned against the self-sacrificial rhetoric describing the UN peacekeepers,</w:t>
      </w:r>
      <w:r>
        <w:rPr>
          <w:rStyle w:val="FootnoteReference"/>
        </w:rPr>
        <w:footnoteReference w:id="91"/>
      </w:r>
      <w:r>
        <w:t xml:space="preserve"> </w:t>
      </w:r>
      <w:r w:rsidR="004F4CE0">
        <w:t>Palestinians – and their refusal to accept the decision-making of the international community – were perceived as not sufficiently deferential or submissive to the UN intervention</w:t>
      </w:r>
      <w:r w:rsidR="00AA7825">
        <w:t xml:space="preserve"> and broader geopolitical regional concerns</w:t>
      </w:r>
      <w:r w:rsidR="004F4CE0">
        <w:t>, provoking resentment from the force.</w:t>
      </w:r>
    </w:p>
    <w:p w14:paraId="788D676E" w14:textId="5E61650F" w:rsidR="009D1AAE" w:rsidRDefault="00B72AB3" w:rsidP="00BD1F3A">
      <w:pPr>
        <w:spacing w:after="0" w:line="480" w:lineRule="auto"/>
        <w:ind w:firstLine="720"/>
        <w:contextualSpacing/>
        <w:jc w:val="both"/>
      </w:pPr>
      <w:r>
        <w:t>But the protests were, in the short-term, successful in restoring Palestinian’s demands. I</w:t>
      </w:r>
      <w:r w:rsidR="00B85B13" w:rsidRPr="00B85B13">
        <w:t>n response to the protests and the public swell of support for Egyptian control from Palestinians in the strip, Nasser announced his intention of taking over Gaza from UNEF and named General Hassan Abdel Latif as Governor of Gaza</w:t>
      </w:r>
      <w:r w:rsidR="00E1090A">
        <w:t xml:space="preserve"> on 13 March. </w:t>
      </w:r>
      <w:r w:rsidR="009D1AAE">
        <w:t xml:space="preserve">Although Gaza had been under Egyptian governance from 1948 until the Israeli occupation in 1956, displaced Palestinians </w:t>
      </w:r>
      <w:r w:rsidR="009D1AAE" w:rsidRPr="007E3EC6">
        <w:t>focused on a resolution to their displacement, a right to return home, rather than dreamed of Egyptian permanent annexation</w:t>
      </w:r>
      <w:r w:rsidR="009D1AAE">
        <w:t>. H</w:t>
      </w:r>
      <w:r w:rsidR="00E1090A">
        <w:t>owever, Bunche continued to negotiate with the Israeli and Egyptian governments</w:t>
      </w:r>
      <w:r w:rsidR="002B228F">
        <w:t>, both seeking to acquire oil import rights from the strip,</w:t>
      </w:r>
      <w:r w:rsidR="00E1090A">
        <w:t xml:space="preserve"> and UNEF remained in power</w:t>
      </w:r>
      <w:r w:rsidR="002B228F">
        <w:t xml:space="preserve"> until the end of the month</w:t>
      </w:r>
      <w:r w:rsidR="00E1090A">
        <w:t xml:space="preserve">. </w:t>
      </w:r>
      <w:r w:rsidR="00C1029E">
        <w:t xml:space="preserve">Focused on how </w:t>
      </w:r>
      <w:r w:rsidR="00E1090A">
        <w:t>the Gaza</w:t>
      </w:r>
      <w:r w:rsidR="00C1029E">
        <w:t xml:space="preserve"> takeover could serve as a blueprint for future UN interventions, the UN was caught unawares</w:t>
      </w:r>
      <w:r w:rsidR="00E1090A">
        <w:t xml:space="preserve"> by Nasser</w:t>
      </w:r>
      <w:r w:rsidR="00C1029E">
        <w:t>: ‘</w:t>
      </w:r>
      <w:r w:rsidR="00C1029E" w:rsidRPr="00C1029E">
        <w:t>Before they could get their bearings, while they were still searching for beds and desks, Egypt had stepped in again</w:t>
      </w:r>
      <w:r w:rsidR="00C1029E">
        <w:t>’.</w:t>
      </w:r>
      <w:r w:rsidR="00C1029E">
        <w:rPr>
          <w:rStyle w:val="FootnoteReference"/>
        </w:rPr>
        <w:footnoteReference w:id="92"/>
      </w:r>
      <w:r w:rsidR="00C1029E">
        <w:t xml:space="preserve"> </w:t>
      </w:r>
    </w:p>
    <w:p w14:paraId="52872923" w14:textId="7E2B29B9" w:rsidR="00B85B13" w:rsidRDefault="00B85B13" w:rsidP="00BD1F3A">
      <w:pPr>
        <w:spacing w:after="0" w:line="480" w:lineRule="auto"/>
        <w:ind w:firstLine="720"/>
        <w:contextualSpacing/>
        <w:jc w:val="both"/>
      </w:pPr>
      <w:r w:rsidRPr="00B85B13">
        <w:t xml:space="preserve">The protests were integral to the timing of this capitulation from the UN, although the Western media repeatedly sought to depoliticise the protestors demands and instead </w:t>
      </w:r>
      <w:r w:rsidRPr="00B85B13">
        <w:lastRenderedPageBreak/>
        <w:t>focus on the violence of one march: ‘Demonstrating once again his acute sense of timing, President Nasser waited until Gaza mobs had provoked a shooting incident before demanding the immediate restoration Egyptian rule. The United Nations force seems to have had no alternative but to yield to the Egyptian demand.’</w:t>
      </w:r>
      <w:r w:rsidRPr="00B85B13">
        <w:rPr>
          <w:rStyle w:val="FootnoteReference"/>
        </w:rPr>
        <w:footnoteReference w:id="93"/>
      </w:r>
      <w:r w:rsidRPr="00B85B13">
        <w:t xml:space="preserve"> The UNEF mission was now limited to monitoring the demarcation lines, yielding its responsibilities to General Latif </w:t>
      </w:r>
      <w:r w:rsidR="00B96599">
        <w:t>and the Egyptian Army at</w:t>
      </w:r>
      <w:r w:rsidR="00C1029E">
        <w:t xml:space="preserve"> the end</w:t>
      </w:r>
      <w:r w:rsidRPr="00B85B13">
        <w:t xml:space="preserve"> of March</w:t>
      </w:r>
      <w:r w:rsidR="00B96599">
        <w:t xml:space="preserve"> 1957</w:t>
      </w:r>
      <w:r w:rsidRPr="00B85B13">
        <w:t>.</w:t>
      </w:r>
      <w:r w:rsidR="00B96599">
        <w:t xml:space="preserve"> Although UNEF remained in Gaza to monitor borders and police the population, they no longer had administrative control over the strip.</w:t>
      </w:r>
      <w:r w:rsidRPr="00B85B13">
        <w:t xml:space="preserve"> </w:t>
      </w:r>
      <w:r w:rsidRPr="00B85B13">
        <w:tab/>
      </w:r>
    </w:p>
    <w:p w14:paraId="2B825B92" w14:textId="17828D8A" w:rsidR="00043ED5" w:rsidRDefault="00043ED5" w:rsidP="00BD1F3A">
      <w:pPr>
        <w:spacing w:after="0" w:line="480" w:lineRule="auto"/>
        <w:ind w:firstLine="720"/>
        <w:contextualSpacing/>
        <w:jc w:val="both"/>
      </w:pPr>
      <w:r w:rsidRPr="006B2BE7">
        <w:t>However, lingering questions about the UN’s responsibility for the conflict</w:t>
      </w:r>
      <w:r w:rsidR="00BB29E7">
        <w:t xml:space="preserve"> and its confused approach to the Armistice Agreements</w:t>
      </w:r>
      <w:r w:rsidRPr="006B2BE7">
        <w:t xml:space="preserve"> </w:t>
      </w:r>
      <w:r w:rsidR="00BB29E7">
        <w:t>perpetuated</w:t>
      </w:r>
      <w:r w:rsidRPr="006B2BE7">
        <w:t xml:space="preserve"> instability in the strip</w:t>
      </w:r>
      <w:r w:rsidR="00BB29E7">
        <w:t>,</w:t>
      </w:r>
      <w:r w:rsidRPr="006B2BE7">
        <w:t>even after Egypt had restored its authority in Gaza</w:t>
      </w:r>
      <w:r w:rsidR="00BB29E7">
        <w:t>:</w:t>
      </w:r>
      <w:r w:rsidRPr="006B2BE7">
        <w:t xml:space="preserve"> </w:t>
      </w:r>
      <w:r w:rsidR="00BB29E7">
        <w:t>‘</w:t>
      </w:r>
      <w:r w:rsidRPr="006B2BE7">
        <w:t>The aggregate of self-justified infringements by both sides led to wa</w:t>
      </w:r>
      <w:r>
        <w:t>r</w:t>
      </w:r>
      <w:r w:rsidRPr="006B2BE7">
        <w:t xml:space="preserve"> and the restoration of the armistice looks like leading to war again.’</w:t>
      </w:r>
      <w:r w:rsidRPr="006B2BE7">
        <w:rPr>
          <w:rStyle w:val="FootnoteReference"/>
        </w:rPr>
        <w:footnoteReference w:id="94"/>
      </w:r>
      <w:r>
        <w:t xml:space="preserve"> UN decision-making in the aftermath of the creation of Israel continued to threaten future conflict in the region. In Britain, </w:t>
      </w:r>
      <w:r w:rsidRPr="00043ED5">
        <w:rPr>
          <w:i/>
          <w:iCs/>
        </w:rPr>
        <w:t>T</w:t>
      </w:r>
      <w:r>
        <w:rPr>
          <w:i/>
          <w:iCs/>
        </w:rPr>
        <w:t xml:space="preserve">he Times </w:t>
      </w:r>
      <w:r>
        <w:t>published on 12</w:t>
      </w:r>
      <w:r w:rsidRPr="00043ED5">
        <w:rPr>
          <w:vertAlign w:val="superscript"/>
        </w:rPr>
        <w:t>th</w:t>
      </w:r>
      <w:r>
        <w:t xml:space="preserve"> March,</w:t>
      </w:r>
    </w:p>
    <w:p w14:paraId="7087E6CC" w14:textId="77777777" w:rsidR="00043ED5" w:rsidRPr="00043ED5" w:rsidRDefault="00043ED5" w:rsidP="00BD1F3A">
      <w:pPr>
        <w:spacing w:after="0" w:line="480" w:lineRule="auto"/>
        <w:ind w:firstLine="720"/>
        <w:contextualSpacing/>
        <w:jc w:val="both"/>
      </w:pPr>
    </w:p>
    <w:p w14:paraId="7DCAE5A4" w14:textId="07D4D692" w:rsidR="00043ED5" w:rsidRPr="00043ED5" w:rsidRDefault="001231A0" w:rsidP="00BD1F3A">
      <w:pPr>
        <w:spacing w:line="480" w:lineRule="auto"/>
        <w:ind w:left="1134" w:right="1134"/>
        <w:jc w:val="both"/>
      </w:pPr>
      <w:r w:rsidRPr="00043ED5">
        <w:t xml:space="preserve">The United Nations—fumbling, divided, fearful of responsibility—left the gates to Gaza open, and Egypt has driven a horse and cart through…a great opportunity has been missed. For years Gaza was the hot-bed of disturbances…Its 200,000 refugees were already a </w:t>
      </w:r>
      <w:r w:rsidRPr="00043ED5">
        <w:lastRenderedPageBreak/>
        <w:t xml:space="preserve">United Nations' responsibility. If it could have been administered as a whole by the United Nations for </w:t>
      </w:r>
      <w:r w:rsidRPr="00AE22A4">
        <w:rPr>
          <w:i/>
          <w:iCs/>
        </w:rPr>
        <w:t>some time ahead</w:t>
      </w:r>
      <w:r w:rsidRPr="00043ED5">
        <w:t>, there would have been far greater security against raids and counter-raids between Israel and Egypt.</w:t>
      </w:r>
      <w:r w:rsidR="00043ED5">
        <w:rPr>
          <w:rStyle w:val="FootnoteReference"/>
        </w:rPr>
        <w:footnoteReference w:id="95"/>
      </w:r>
    </w:p>
    <w:p w14:paraId="6A4013CB" w14:textId="5FA28538" w:rsidR="00136417" w:rsidRDefault="00043ED5" w:rsidP="00BD1F3A">
      <w:pPr>
        <w:spacing w:line="480" w:lineRule="auto"/>
        <w:jc w:val="both"/>
      </w:pPr>
      <w:r w:rsidRPr="00043ED5">
        <w:t>In citing this quote</w:t>
      </w:r>
      <w:r w:rsidR="00DE53FA">
        <w:t xml:space="preserve"> and the loss of the ‘solution’ of an open-ended UN administration,</w:t>
      </w:r>
      <w:r w:rsidRPr="00043ED5">
        <w:t xml:space="preserve"> Selwyn Lloyd, British Secretary of Foreign Affairs, </w:t>
      </w:r>
      <w:r w:rsidR="00DE53FA">
        <w:t>lamented</w:t>
      </w:r>
      <w:r w:rsidRPr="00043ED5">
        <w:t xml:space="preserve"> </w:t>
      </w:r>
      <w:r w:rsidR="00DE53FA">
        <w:t xml:space="preserve">‘So </w:t>
      </w:r>
      <w:r w:rsidR="001231A0" w:rsidRPr="00043ED5">
        <w:t>much for Gaza.</w:t>
      </w:r>
      <w:r>
        <w:t>’</w:t>
      </w:r>
      <w:r w:rsidR="001231A0" w:rsidRPr="00043ED5">
        <w:rPr>
          <w:rStyle w:val="FootnoteReference"/>
        </w:rPr>
        <w:footnoteReference w:id="96"/>
      </w:r>
      <w:r w:rsidR="00384C70">
        <w:t xml:space="preserve"> </w:t>
      </w:r>
      <w:r w:rsidR="00D4240F">
        <w:t>F</w:t>
      </w:r>
      <w:r w:rsidR="00384C70">
        <w:t xml:space="preserve">or many member-states who saw the solution to the Palestinian ‘problem’ as the resettlement – or ethnic cleansing – of the strip and a ‘liberal’ state in ownership, the </w:t>
      </w:r>
      <w:r w:rsidR="00C36CC2">
        <w:t>Palestinians</w:t>
      </w:r>
      <w:r w:rsidR="00384C70">
        <w:t xml:space="preserve"> </w:t>
      </w:r>
      <w:r w:rsidR="00C36CC2">
        <w:t xml:space="preserve">were perceived to have </w:t>
      </w:r>
      <w:r w:rsidR="00FE02C6">
        <w:t>obstructed the liberal potential of the territory</w:t>
      </w:r>
      <w:r w:rsidR="00D4240F">
        <w:t xml:space="preserve"> for not, but that the future of the territory was far from decided</w:t>
      </w:r>
      <w:r w:rsidR="00FE02C6">
        <w:t>.</w:t>
      </w:r>
      <w:r w:rsidR="00D4240F" w:rsidRPr="00D4240F">
        <w:t xml:space="preserve"> </w:t>
      </w:r>
    </w:p>
    <w:p w14:paraId="77D0C42F" w14:textId="6695406F" w:rsidR="009019ED" w:rsidRDefault="007C0B7B" w:rsidP="00BD1F3A">
      <w:pPr>
        <w:pStyle w:val="Heading1"/>
        <w:spacing w:line="480" w:lineRule="auto"/>
      </w:pPr>
      <w:r>
        <w:t>Conclusion</w:t>
      </w:r>
    </w:p>
    <w:p w14:paraId="53F62285" w14:textId="77777777" w:rsidR="00E84236" w:rsidRPr="006E6DC0" w:rsidRDefault="00E84236" w:rsidP="00BD1F3A">
      <w:pPr>
        <w:pStyle w:val="NoSpacing"/>
        <w:spacing w:line="480" w:lineRule="auto"/>
      </w:pPr>
    </w:p>
    <w:p w14:paraId="329F3B04" w14:textId="77777777" w:rsidR="00F82A9C" w:rsidRDefault="00F82A9C" w:rsidP="00BD1F3A">
      <w:pPr>
        <w:spacing w:after="0" w:line="480" w:lineRule="auto"/>
        <w:contextualSpacing/>
        <w:jc w:val="both"/>
      </w:pPr>
      <w:r>
        <w:t>As some scholars of settler colonialism have argued, the Nakba should be understood as an ongoing, repeating process of violent dispossession, rather than a static, discrete event: ‘the Nakba is not a singular event but is manifested today in the continuing subjection of Palestinians by Israelis.’</w:t>
      </w:r>
      <w:r>
        <w:rPr>
          <w:rStyle w:val="FootnoteReference"/>
        </w:rPr>
        <w:footnoteReference w:id="97"/>
      </w:r>
      <w:r>
        <w:t xml:space="preserve"> However, by focusing liberationist approaches solely to the settler colonial practices of Israel, we miss the ways in which other powerful actors and liberal agents </w:t>
      </w:r>
      <w:r>
        <w:lastRenderedPageBreak/>
        <w:t xml:space="preserve">naturalised Zionist logic and/or behaved in settler colonial ways themselves towards Palestinians. In order to fully trace the development and naturalisation of Zionist temporal logic within liberal international understandings of Palestine, we must look beyond Israel and towards the oft-neglected moment in the aftermath of the Suez Crisis to disentangle how the ‘Gaza exception’ became popularised beyond Israel. </w:t>
      </w:r>
    </w:p>
    <w:p w14:paraId="4A68AF16" w14:textId="3126A6E0" w:rsidR="00031FC3" w:rsidRDefault="00981413" w:rsidP="00BD1F3A">
      <w:pPr>
        <w:spacing w:after="0" w:line="480" w:lineRule="auto"/>
        <w:ind w:firstLine="720"/>
        <w:contextualSpacing/>
        <w:jc w:val="both"/>
      </w:pPr>
      <w:r>
        <w:t>This article has shown how Palestinian protestors rupture</w:t>
      </w:r>
      <w:r w:rsidR="00400984">
        <w:t>d</w:t>
      </w:r>
      <w:r>
        <w:t xml:space="preserve"> the temporal control and decade-long stagnation over their displacement on the Gaza Strip. I have shown how the first armed peacekeeping mission, UNEF, was designed to weaponise time directly </w:t>
      </w:r>
      <w:r w:rsidRPr="00400984">
        <w:t>on the ground</w:t>
      </w:r>
      <w:r>
        <w:rPr>
          <w:i/>
          <w:iCs/>
        </w:rPr>
        <w:t xml:space="preserve"> </w:t>
      </w:r>
      <w:r>
        <w:t xml:space="preserve">for an indefinite period in order to </w:t>
      </w:r>
      <w:r w:rsidR="00400984">
        <w:t>‘stabilise’</w:t>
      </w:r>
      <w:r>
        <w:t xml:space="preserve"> and control decolonising populations</w:t>
      </w:r>
      <w:r w:rsidR="00400984">
        <w:t>, preventing them from escalating and engulfing geopolitical powers</w:t>
      </w:r>
      <w:r>
        <w:t>.</w:t>
      </w:r>
      <w:r w:rsidR="00400984">
        <w:t xml:space="preserve"> But this ‘freezing’ approach was also deeply harmful for host populations, obstructing them from justice and paralysing them in a bureaucratic stasis.</w:t>
      </w:r>
      <w:r>
        <w:t xml:space="preserve"> </w:t>
      </w:r>
      <w:r w:rsidR="0066733B">
        <w:t xml:space="preserve">Although freezing a conflict via a peacekeeping mission may appear to resolve tensions, the moment that this political norm is destabilised – often following an intensification of intra-group antagonism – the thawing and reignition of conflict for the oppressed community is inevitable as nothing has been resolved. Peacekeeping as a method of protracted peace is thus a temporal Faustian bargain: an acceptance of surface-level ‘stability’ and territorial dominance now in exchange for deferred violence. </w:t>
      </w:r>
    </w:p>
    <w:p w14:paraId="76E9B39C" w14:textId="1D8AC612" w:rsidR="00E32EE2" w:rsidRDefault="001231A0" w:rsidP="00BD1F3A">
      <w:pPr>
        <w:spacing w:line="480" w:lineRule="auto"/>
        <w:ind w:firstLine="720"/>
        <w:jc w:val="both"/>
      </w:pPr>
      <w:r>
        <w:t xml:space="preserve">In the current context of </w:t>
      </w:r>
      <w:r w:rsidR="002637F4">
        <w:t>ongoing</w:t>
      </w:r>
      <w:r>
        <w:t xml:space="preserve"> genocide </w:t>
      </w:r>
      <w:r w:rsidR="002637F4">
        <w:t>of Palestinians i</w:t>
      </w:r>
      <w:r>
        <w:t>n Gaza</w:t>
      </w:r>
      <w:r w:rsidR="00392440">
        <w:t xml:space="preserve">, </w:t>
      </w:r>
      <w:r w:rsidR="002637F4">
        <w:t xml:space="preserve">escalating </w:t>
      </w:r>
      <w:r>
        <w:t>settler violence in the West Bank,</w:t>
      </w:r>
      <w:r w:rsidR="00392440">
        <w:t xml:space="preserve"> and UN Resolutions on a new international administration in Palestina, </w:t>
      </w:r>
      <w:r w:rsidR="002637F4">
        <w:t>the relevance of th</w:t>
      </w:r>
      <w:r w:rsidR="00392440">
        <w:t>e post-Suez</w:t>
      </w:r>
      <w:r w:rsidR="002637F4">
        <w:t xml:space="preserve"> moment of rupture is stark. </w:t>
      </w:r>
      <w:r w:rsidR="00515E3D">
        <w:t xml:space="preserve">As scholars of Palestine </w:t>
      </w:r>
      <w:r w:rsidR="00515E3D">
        <w:lastRenderedPageBreak/>
        <w:t>well know, t</w:t>
      </w:r>
      <w:r w:rsidR="002637F4">
        <w:t xml:space="preserve">he Zionist project was seeking territorial expansion far before the 1967 conflict. In the aftermath of the Suez crisis, the Israeli state defended its occupation of Egyptian land and sought to retain as much as possible. </w:t>
      </w:r>
      <w:r w:rsidR="00515E3D">
        <w:t>But the complicity and involvement of UN</w:t>
      </w:r>
      <w:r w:rsidR="00B73D11">
        <w:t xml:space="preserve"> leadership and operations</w:t>
      </w:r>
      <w:r w:rsidR="00515E3D">
        <w:t xml:space="preserve">, and the </w:t>
      </w:r>
      <w:r w:rsidR="00B73D11">
        <w:t xml:space="preserve">colonial </w:t>
      </w:r>
      <w:r w:rsidR="00515E3D">
        <w:t xml:space="preserve">logics of liberal peace more broadly, should also factor into our histories of injustice in Palestine. </w:t>
      </w:r>
      <w:r w:rsidR="002637F4">
        <w:t>Today,</w:t>
      </w:r>
      <w:r w:rsidR="0056586B">
        <w:t xml:space="preserve"> </w:t>
      </w:r>
      <w:r>
        <w:t>delays to food aid, medical support, and – indeed – the articulation of the word ‘genocide’</w:t>
      </w:r>
      <w:r w:rsidR="0056586B">
        <w:t xml:space="preserve"> in the past year</w:t>
      </w:r>
      <w:r>
        <w:t xml:space="preserve"> have, once again, drawn public attention to the ways in which time – its elongation, its inaction, its openendness – </w:t>
      </w:r>
      <w:r w:rsidR="002637F4">
        <w:t xml:space="preserve">can be </w:t>
      </w:r>
      <w:r w:rsidR="00B73D11">
        <w:t>mobilised in the name of ‘peace’</w:t>
      </w:r>
      <w:r w:rsidR="002637F4">
        <w:t xml:space="preserve"> to harm marginalised communities</w:t>
      </w:r>
      <w:r>
        <w:t xml:space="preserve"> in Gaza.</w:t>
      </w:r>
      <w:r w:rsidR="0055726D">
        <w:rPr>
          <w:rStyle w:val="FootnoteReference"/>
        </w:rPr>
        <w:footnoteReference w:id="98"/>
      </w:r>
      <w:r>
        <w:t xml:space="preserve"> </w:t>
      </w:r>
      <w:r w:rsidR="00B83A4F">
        <w:t>J</w:t>
      </w:r>
      <w:r>
        <w:t xml:space="preserve">ust as in </w:t>
      </w:r>
      <w:r w:rsidR="00B83A4F">
        <w:t xml:space="preserve">March </w:t>
      </w:r>
      <w:r>
        <w:t xml:space="preserve">1957, we witness Palestinian civilians </w:t>
      </w:r>
      <w:r w:rsidR="00B83A4F">
        <w:t>resisting passivity or assimilation, demanding attention to the violation of their rights, both past and present, and the continued</w:t>
      </w:r>
      <w:r>
        <w:t xml:space="preserve"> </w:t>
      </w:r>
      <w:r w:rsidR="00D04E46">
        <w:t xml:space="preserve">deferral </w:t>
      </w:r>
      <w:r>
        <w:t xml:space="preserve">of </w:t>
      </w:r>
      <w:r w:rsidR="00D04E46">
        <w:t>justice</w:t>
      </w:r>
      <w:r w:rsidR="00B83A4F">
        <w:t xml:space="preserve">. </w:t>
      </w:r>
      <w:r w:rsidR="00B73D11">
        <w:t>On 24 September 2024, Mohammed El-Kurd, a Palestinian writer and activist, posted on Twitter (now X), ‘Justice… you are taking too long’.</w:t>
      </w:r>
      <w:r w:rsidR="00B73D11">
        <w:rPr>
          <w:rStyle w:val="FootnoteReference"/>
        </w:rPr>
        <w:footnoteReference w:id="99"/>
      </w:r>
      <w:r w:rsidR="00B73D11">
        <w:t xml:space="preserve"> Yet, as</w:t>
      </w:r>
      <w:r w:rsidR="00B83A4F">
        <w:t xml:space="preserve"> liberal audiences continue to promote bothsid</w:t>
      </w:r>
      <w:r w:rsidR="00A31787">
        <w:t>e</w:t>
      </w:r>
      <w:r w:rsidR="006307F6">
        <w:t>i</w:t>
      </w:r>
      <w:r w:rsidR="00B83A4F">
        <w:t xml:space="preserve">sm and focus on </w:t>
      </w:r>
      <w:r w:rsidR="00B73D11">
        <w:t>the Strip as a</w:t>
      </w:r>
      <w:r w:rsidR="00B83A4F">
        <w:t xml:space="preserve"> territorial dispute</w:t>
      </w:r>
      <w:r w:rsidR="00B73D11">
        <w:t xml:space="preserve"> over ownership</w:t>
      </w:r>
      <w:r w:rsidR="00B83A4F">
        <w:t xml:space="preserve">, </w:t>
      </w:r>
      <w:r w:rsidR="00B73D11">
        <w:t>a</w:t>
      </w:r>
      <w:r w:rsidR="00B83A4F">
        <w:t xml:space="preserve"> political resolution and </w:t>
      </w:r>
      <w:r w:rsidR="00B73D11">
        <w:t xml:space="preserve">the </w:t>
      </w:r>
      <w:r w:rsidR="00B83A4F">
        <w:t xml:space="preserve">likelihood of restitution for rights violations continue to slip further </w:t>
      </w:r>
      <w:r w:rsidR="00150789">
        <w:t xml:space="preserve">over the horizon, </w:t>
      </w:r>
      <w:r w:rsidR="00B83A4F">
        <w:t xml:space="preserve">into the future. </w:t>
      </w:r>
    </w:p>
    <w:p w14:paraId="1CA51505" w14:textId="77777777" w:rsidR="003A4BA9" w:rsidRDefault="003A4BA9" w:rsidP="002B5334">
      <w:pPr>
        <w:spacing w:line="480" w:lineRule="auto"/>
        <w:jc w:val="both"/>
        <w:rPr>
          <w:b/>
          <w:bCs/>
        </w:rPr>
      </w:pPr>
    </w:p>
    <w:p w14:paraId="7986F7C2" w14:textId="77777777" w:rsidR="003A4BA9" w:rsidRDefault="003A4BA9" w:rsidP="002B5334">
      <w:pPr>
        <w:spacing w:line="480" w:lineRule="auto"/>
        <w:jc w:val="both"/>
        <w:rPr>
          <w:b/>
          <w:bCs/>
        </w:rPr>
      </w:pPr>
    </w:p>
    <w:p w14:paraId="293CC606" w14:textId="04242408" w:rsidR="002B5334" w:rsidRDefault="002B5334" w:rsidP="002B5334">
      <w:pPr>
        <w:spacing w:line="480" w:lineRule="auto"/>
        <w:jc w:val="both"/>
        <w:rPr>
          <w:b/>
          <w:bCs/>
        </w:rPr>
      </w:pPr>
      <w:r>
        <w:rPr>
          <w:b/>
          <w:bCs/>
        </w:rPr>
        <w:lastRenderedPageBreak/>
        <w:t>Acknowledgements</w:t>
      </w:r>
    </w:p>
    <w:p w14:paraId="2FB41439" w14:textId="7776B522" w:rsidR="002B5334" w:rsidRPr="002B5334" w:rsidRDefault="001D1B0A" w:rsidP="002B5334">
      <w:pPr>
        <w:spacing w:line="480" w:lineRule="auto"/>
        <w:jc w:val="both"/>
      </w:pPr>
      <w:r>
        <w:t xml:space="preserve">I am grateful to Moustafa Mahgoub for his Arabic translations. </w:t>
      </w:r>
      <w:r w:rsidR="002B5334">
        <w:t xml:space="preserve">I am </w:t>
      </w:r>
      <w:r>
        <w:t>also acknowledge</w:t>
      </w:r>
      <w:r w:rsidR="002B5334">
        <w:t xml:space="preserve"> Louise Ridden, Myfanwy James, and Matilda Greig, as well as </w:t>
      </w:r>
      <w:r w:rsidR="00C53EB3">
        <w:t xml:space="preserve">the </w:t>
      </w:r>
      <w:r w:rsidR="00C53EB3">
        <w:rPr>
          <w:i/>
          <w:iCs/>
        </w:rPr>
        <w:t xml:space="preserve">RIS </w:t>
      </w:r>
      <w:r w:rsidR="00C53EB3">
        <w:t xml:space="preserve">Editors and </w:t>
      </w:r>
      <w:r w:rsidR="002B5334">
        <w:t xml:space="preserve">three generous reviewers for their invaluable advice and support. I presented an early draft of this paper at a seminar hosted by the </w:t>
      </w:r>
      <w:r w:rsidR="002B5334" w:rsidRPr="002B5334">
        <w:t>Department of International Development</w:t>
      </w:r>
      <w:r w:rsidR="002B5334">
        <w:t>,</w:t>
      </w:r>
      <w:r w:rsidR="002B5334" w:rsidRPr="002B5334">
        <w:t xml:space="preserve"> LSE</w:t>
      </w:r>
      <w:r w:rsidR="002B5334">
        <w:t xml:space="preserve"> on</w:t>
      </w:r>
      <w:r w:rsidR="002B5334" w:rsidRPr="002B5334">
        <w:t xml:space="preserve"> 13th November 2024</w:t>
      </w:r>
      <w:r w:rsidR="002B5334">
        <w:t xml:space="preserve"> which</w:t>
      </w:r>
      <w:r w:rsidR="00C53EB3">
        <w:t xml:space="preserve"> greatly</w:t>
      </w:r>
      <w:r w:rsidR="002B5334">
        <w:t xml:space="preserve"> helped to sharpen my argument</w:t>
      </w:r>
      <w:r w:rsidR="002B5334" w:rsidRPr="002B5334">
        <w:t>.</w:t>
      </w:r>
    </w:p>
    <w:p w14:paraId="44C0CE6A" w14:textId="4134C4F8" w:rsidR="006615AD" w:rsidRPr="007C0B7B" w:rsidRDefault="006615AD" w:rsidP="00BD1F3A">
      <w:pPr>
        <w:spacing w:line="480" w:lineRule="auto"/>
        <w:rPr>
          <w:b/>
          <w:bCs/>
        </w:rPr>
      </w:pPr>
    </w:p>
    <w:sectPr w:rsidR="006615AD" w:rsidRPr="007C0B7B" w:rsidSect="002B5334">
      <w:footerReference w:type="default" r:id="rId9"/>
      <w:pgSz w:w="11906" w:h="16838"/>
      <w:pgMar w:top="2835" w:right="1701" w:bottom="28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FBC4B" w14:textId="77777777" w:rsidR="00645AB3" w:rsidRDefault="00645AB3" w:rsidP="00B85B13">
      <w:pPr>
        <w:spacing w:after="0" w:line="240" w:lineRule="auto"/>
      </w:pPr>
      <w:r>
        <w:separator/>
      </w:r>
    </w:p>
  </w:endnote>
  <w:endnote w:type="continuationSeparator" w:id="0">
    <w:p w14:paraId="0BC554DF" w14:textId="77777777" w:rsidR="00645AB3" w:rsidRDefault="00645AB3" w:rsidP="00B85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899348"/>
      <w:docPartObj>
        <w:docPartGallery w:val="Page Numbers (Bottom of Page)"/>
        <w:docPartUnique/>
      </w:docPartObj>
    </w:sdtPr>
    <w:sdtEndPr>
      <w:rPr>
        <w:noProof/>
      </w:rPr>
    </w:sdtEndPr>
    <w:sdtContent>
      <w:p w14:paraId="2AA4B111" w14:textId="5A9FA30F" w:rsidR="008C3396" w:rsidRDefault="008C339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E4DB77" w14:textId="77777777" w:rsidR="008C3396" w:rsidRDefault="008C33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4A7F1" w14:textId="77777777" w:rsidR="00645AB3" w:rsidRDefault="00645AB3" w:rsidP="00B85B13">
      <w:pPr>
        <w:spacing w:after="0" w:line="240" w:lineRule="auto"/>
      </w:pPr>
      <w:r>
        <w:separator/>
      </w:r>
    </w:p>
  </w:footnote>
  <w:footnote w:type="continuationSeparator" w:id="0">
    <w:p w14:paraId="42301C29" w14:textId="77777777" w:rsidR="00645AB3" w:rsidRDefault="00645AB3" w:rsidP="00B85B13">
      <w:pPr>
        <w:spacing w:after="0" w:line="240" w:lineRule="auto"/>
      </w:pPr>
      <w:r>
        <w:continuationSeparator/>
      </w:r>
    </w:p>
  </w:footnote>
  <w:footnote w:id="1">
    <w:p w14:paraId="31FCA120" w14:textId="3FCC4A88" w:rsidR="00C4480E" w:rsidRPr="009D0C72" w:rsidRDefault="00C4480E">
      <w:pPr>
        <w:pStyle w:val="FootnoteText"/>
        <w:rPr>
          <w:rFonts w:cs="Times New Roman"/>
        </w:rPr>
      </w:pPr>
      <w:r w:rsidRPr="009D0C72">
        <w:rPr>
          <w:rStyle w:val="FootnoteReference"/>
          <w:rFonts w:cs="Times New Roman"/>
        </w:rPr>
        <w:footnoteRef/>
      </w:r>
      <w:r w:rsidRPr="009D0C72">
        <w:rPr>
          <w:rFonts w:cs="Times New Roman"/>
        </w:rPr>
        <w:t xml:space="preserve"> </w:t>
      </w:r>
      <w:r w:rsidR="00770EB6" w:rsidRPr="009D0C72">
        <w:rPr>
          <w:rFonts w:cs="Times New Roman"/>
        </w:rPr>
        <w:t xml:space="preserve">‘What Donald Trump said about his plans to ‘take over’ Gaza’, </w:t>
      </w:r>
      <w:r w:rsidR="00770EB6" w:rsidRPr="009D0C72">
        <w:rPr>
          <w:rFonts w:cs="Times New Roman"/>
          <w:i/>
          <w:iCs/>
        </w:rPr>
        <w:t xml:space="preserve">Al Jazeera, </w:t>
      </w:r>
      <w:r w:rsidR="00770EB6" w:rsidRPr="009D0C72">
        <w:rPr>
          <w:rFonts w:cs="Times New Roman"/>
        </w:rPr>
        <w:t>5 February 2025</w:t>
      </w:r>
      <w:r w:rsidR="00BE4A51">
        <w:rPr>
          <w:rFonts w:cs="Times New Roman"/>
        </w:rPr>
        <w:t xml:space="preserve">, [available at: </w:t>
      </w:r>
      <w:hyperlink r:id="rId1" w:history="1">
        <w:r w:rsidR="00BE4A51" w:rsidRPr="00B81E7A">
          <w:rPr>
            <w:rStyle w:val="Hyperlink"/>
            <w:rFonts w:cs="Times New Roman"/>
          </w:rPr>
          <w:t>https://www.aljazeera.com/news/2025/2/5/what-donald-trump-said-about-his-plans-to-take-over-gaza</w:t>
        </w:r>
      </w:hyperlink>
      <w:r w:rsidR="00BE4A51">
        <w:rPr>
          <w:rFonts w:cs="Times New Roman"/>
        </w:rPr>
        <w:t xml:space="preserve"> accessed on 3 March 2025].</w:t>
      </w:r>
    </w:p>
  </w:footnote>
  <w:footnote w:id="2">
    <w:p w14:paraId="1676BE74" w14:textId="77777777" w:rsidR="00C8075A" w:rsidRPr="009D0C72" w:rsidRDefault="00C8075A" w:rsidP="00C8075A">
      <w:pPr>
        <w:pStyle w:val="FootnoteText"/>
        <w:rPr>
          <w:rFonts w:cs="Times New Roman"/>
        </w:rPr>
      </w:pPr>
      <w:r w:rsidRPr="009D0C72">
        <w:rPr>
          <w:rStyle w:val="FootnoteReference"/>
          <w:rFonts w:cs="Times New Roman"/>
        </w:rPr>
        <w:footnoteRef/>
      </w:r>
      <w:r w:rsidRPr="009D0C72">
        <w:rPr>
          <w:rFonts w:cs="Times New Roman"/>
        </w:rPr>
        <w:t xml:space="preserve"> Pietro Stefanini, ‘Settler-Humanitarianism: Dispossession, ‘Humanitarian Transfer’ and the 1948 Nakba’, </w:t>
      </w:r>
      <w:r w:rsidRPr="009D0C72">
        <w:rPr>
          <w:rFonts w:cs="Times New Roman"/>
          <w:i/>
          <w:iCs/>
        </w:rPr>
        <w:t xml:space="preserve">Millenium, </w:t>
      </w:r>
      <w:r w:rsidRPr="009D0C72">
        <w:rPr>
          <w:rFonts w:cs="Times New Roman"/>
        </w:rPr>
        <w:t>Vol. 53:1 (2024).</w:t>
      </w:r>
    </w:p>
  </w:footnote>
  <w:footnote w:id="3">
    <w:p w14:paraId="153B79C4" w14:textId="77777777" w:rsidR="00823DB6" w:rsidRPr="009D0C72" w:rsidRDefault="00823DB6" w:rsidP="00823DB6">
      <w:pPr>
        <w:pStyle w:val="FootnoteText"/>
        <w:rPr>
          <w:rFonts w:cs="Times New Roman"/>
        </w:rPr>
      </w:pPr>
      <w:r w:rsidRPr="009D0C72">
        <w:rPr>
          <w:rStyle w:val="FootnoteReference"/>
          <w:rFonts w:cs="Times New Roman"/>
        </w:rPr>
        <w:footnoteRef/>
      </w:r>
      <w:r w:rsidRPr="009D0C72">
        <w:rPr>
          <w:rFonts w:cs="Times New Roman"/>
        </w:rPr>
        <w:t xml:space="preserve"> UN Doc, A/RES/194 (III), ‘Palestine—Progress Report of the United Nations Mediator’, 11 December 1948.</w:t>
      </w:r>
    </w:p>
  </w:footnote>
  <w:footnote w:id="4">
    <w:p w14:paraId="08D401EF" w14:textId="5B4C5617" w:rsidR="00496C11" w:rsidRPr="00FD694E" w:rsidRDefault="00496C11" w:rsidP="00496C11">
      <w:pPr>
        <w:pStyle w:val="FootnoteText"/>
      </w:pPr>
      <w:r>
        <w:rPr>
          <w:rStyle w:val="FootnoteReference"/>
        </w:rPr>
        <w:footnoteRef/>
      </w:r>
      <w:r>
        <w:t xml:space="preserve"> See</w:t>
      </w:r>
      <w:r w:rsidR="00176777">
        <w:t>,</w:t>
      </w:r>
      <w:r>
        <w:t xml:space="preserve"> Andrew Hom, </w:t>
      </w:r>
      <w:r>
        <w:rPr>
          <w:i/>
          <w:iCs/>
        </w:rPr>
        <w:t xml:space="preserve">International Relations and the Problem of Time </w:t>
      </w:r>
      <w:r>
        <w:t xml:space="preserve">(Oxford University Press, 2020); </w:t>
      </w:r>
      <w:r w:rsidRPr="009D0C72">
        <w:rPr>
          <w:rFonts w:cs="Times New Roman"/>
        </w:rPr>
        <w:t xml:space="preserve">Kimberly Hutchings, </w:t>
      </w:r>
      <w:r w:rsidRPr="009D0C72">
        <w:rPr>
          <w:rFonts w:cs="Times New Roman"/>
          <w:i/>
          <w:iCs/>
        </w:rPr>
        <w:t>Time and World Politics: Thinking the Present</w:t>
      </w:r>
      <w:r w:rsidRPr="009D0C72">
        <w:rPr>
          <w:rFonts w:cs="Times New Roman"/>
        </w:rPr>
        <w:t xml:space="preserve"> Manchester University Press, 2008)</w:t>
      </w:r>
      <w:r>
        <w:rPr>
          <w:rFonts w:cs="Times New Roman"/>
        </w:rPr>
        <w:t xml:space="preserve">; </w:t>
      </w:r>
      <w:r w:rsidRPr="00DA7634">
        <w:rPr>
          <w:rFonts w:cs="Times New Roman"/>
        </w:rPr>
        <w:t>Andrew</w:t>
      </w:r>
      <w:r>
        <w:rPr>
          <w:rFonts w:cs="Times New Roman"/>
        </w:rPr>
        <w:t xml:space="preserve"> Carr</w:t>
      </w:r>
      <w:r w:rsidRPr="00DA7634">
        <w:rPr>
          <w:rFonts w:cs="Times New Roman"/>
        </w:rPr>
        <w:t xml:space="preserve">. </w:t>
      </w:r>
      <w:r>
        <w:rPr>
          <w:rFonts w:cs="Times New Roman"/>
        </w:rPr>
        <w:t>(</w:t>
      </w:r>
      <w:r w:rsidRPr="00DA7634">
        <w:rPr>
          <w:rFonts w:cs="Times New Roman"/>
        </w:rPr>
        <w:t>2021</w:t>
      </w:r>
      <w:r>
        <w:rPr>
          <w:rFonts w:cs="Times New Roman"/>
        </w:rPr>
        <w:t>)</w:t>
      </w:r>
      <w:r w:rsidRPr="00DA7634">
        <w:rPr>
          <w:rFonts w:cs="Times New Roman"/>
        </w:rPr>
        <w:t xml:space="preserve"> ‘It’s about Time: Strategy and Temporal Phenomena’. </w:t>
      </w:r>
      <w:r w:rsidRPr="00CD5947">
        <w:rPr>
          <w:rFonts w:cs="Times New Roman"/>
          <w:i/>
          <w:iCs/>
        </w:rPr>
        <w:t>Journal of Strategic Studies</w:t>
      </w:r>
      <w:r>
        <w:rPr>
          <w:rFonts w:cs="Times New Roman"/>
        </w:rPr>
        <w:t>,</w:t>
      </w:r>
      <w:r w:rsidRPr="00DA7634">
        <w:rPr>
          <w:rFonts w:cs="Times New Roman"/>
        </w:rPr>
        <w:t xml:space="preserve"> 44 (3): 303–24</w:t>
      </w:r>
      <w:r>
        <w:rPr>
          <w:rFonts w:cs="Times New Roman"/>
        </w:rPr>
        <w:t xml:space="preserve">; Paulo </w:t>
      </w:r>
      <w:r w:rsidRPr="00DA7634">
        <w:rPr>
          <w:rFonts w:cs="Times New Roman"/>
        </w:rPr>
        <w:t>Chamon</w:t>
      </w:r>
      <w:r>
        <w:rPr>
          <w:rFonts w:cs="Times New Roman"/>
        </w:rPr>
        <w:t>,</w:t>
      </w:r>
      <w:r w:rsidRPr="00DA7634">
        <w:rPr>
          <w:rFonts w:cs="Times New Roman"/>
        </w:rPr>
        <w:t xml:space="preserve"> </w:t>
      </w:r>
      <w:r>
        <w:rPr>
          <w:rFonts w:cs="Times New Roman"/>
        </w:rPr>
        <w:t>(</w:t>
      </w:r>
      <w:r w:rsidRPr="00DA7634">
        <w:rPr>
          <w:rFonts w:cs="Times New Roman"/>
        </w:rPr>
        <w:t>2018</w:t>
      </w:r>
      <w:r>
        <w:rPr>
          <w:rFonts w:cs="Times New Roman"/>
        </w:rPr>
        <w:t>)</w:t>
      </w:r>
      <w:r w:rsidRPr="00DA7634">
        <w:rPr>
          <w:rFonts w:cs="Times New Roman"/>
        </w:rPr>
        <w:t xml:space="preserve">. ‘Turning Temporal: A Discourse of Time in IR’. </w:t>
      </w:r>
      <w:r w:rsidRPr="00CD5947">
        <w:rPr>
          <w:rFonts w:cs="Times New Roman"/>
          <w:i/>
          <w:iCs/>
        </w:rPr>
        <w:t>Millennium: Journal of International Studies</w:t>
      </w:r>
      <w:r>
        <w:rPr>
          <w:rFonts w:cs="Times New Roman"/>
          <w:i/>
          <w:iCs/>
        </w:rPr>
        <w:t>,</w:t>
      </w:r>
      <w:r w:rsidRPr="00DA7634">
        <w:rPr>
          <w:rFonts w:cs="Times New Roman"/>
        </w:rPr>
        <w:t xml:space="preserve"> 46 (3): 396–420</w:t>
      </w:r>
      <w:r>
        <w:rPr>
          <w:rFonts w:cs="Times New Roman"/>
        </w:rPr>
        <w:t>;</w:t>
      </w:r>
      <w:r w:rsidRPr="000827BE">
        <w:rPr>
          <w:rFonts w:cs="Times New Roman"/>
        </w:rPr>
        <w:t xml:space="preserve"> Andrew</w:t>
      </w:r>
      <w:r>
        <w:rPr>
          <w:rFonts w:cs="Times New Roman"/>
        </w:rPr>
        <w:t xml:space="preserve"> Hom, (</w:t>
      </w:r>
      <w:r w:rsidRPr="000827BE">
        <w:rPr>
          <w:rFonts w:cs="Times New Roman"/>
        </w:rPr>
        <w:t>2018</w:t>
      </w:r>
      <w:r>
        <w:rPr>
          <w:rFonts w:cs="Times New Roman"/>
        </w:rPr>
        <w:t>)</w:t>
      </w:r>
      <w:r w:rsidRPr="000827BE">
        <w:rPr>
          <w:rFonts w:cs="Times New Roman"/>
        </w:rPr>
        <w:t xml:space="preserve">. ‘Silent Order: The Temporal Turn in Critical International Relations’. </w:t>
      </w:r>
      <w:r w:rsidRPr="00CD5947">
        <w:rPr>
          <w:rFonts w:cs="Times New Roman"/>
          <w:i/>
          <w:iCs/>
        </w:rPr>
        <w:t xml:space="preserve">Millennium: Journal of International Studies </w:t>
      </w:r>
      <w:r w:rsidRPr="000827BE">
        <w:rPr>
          <w:rFonts w:cs="Times New Roman"/>
        </w:rPr>
        <w:t>46 (3): 303–30</w:t>
      </w:r>
      <w:r>
        <w:rPr>
          <w:rFonts w:cs="Times New Roman"/>
        </w:rPr>
        <w:t xml:space="preserve">; </w:t>
      </w:r>
      <w:r w:rsidRPr="00765D32">
        <w:rPr>
          <w:rFonts w:cs="Times New Roman"/>
        </w:rPr>
        <w:t>Rahul</w:t>
      </w:r>
      <w:r>
        <w:rPr>
          <w:rFonts w:cs="Times New Roman"/>
        </w:rPr>
        <w:t xml:space="preserve"> Rao,</w:t>
      </w:r>
      <w:r w:rsidRPr="00765D32">
        <w:rPr>
          <w:rFonts w:cs="Times New Roman"/>
        </w:rPr>
        <w:t xml:space="preserve"> </w:t>
      </w:r>
      <w:r>
        <w:rPr>
          <w:rFonts w:cs="Times New Roman"/>
        </w:rPr>
        <w:t>(</w:t>
      </w:r>
      <w:r w:rsidRPr="00765D32">
        <w:rPr>
          <w:rFonts w:cs="Times New Roman"/>
        </w:rPr>
        <w:t>2019</w:t>
      </w:r>
      <w:r>
        <w:rPr>
          <w:rFonts w:cs="Times New Roman"/>
        </w:rPr>
        <w:t>)</w:t>
      </w:r>
      <w:r w:rsidRPr="00765D32">
        <w:rPr>
          <w:rFonts w:cs="Times New Roman"/>
        </w:rPr>
        <w:t xml:space="preserve">. ‘One Time, Many Times’. </w:t>
      </w:r>
      <w:r w:rsidRPr="00CD5947">
        <w:rPr>
          <w:rFonts w:cs="Times New Roman"/>
          <w:i/>
          <w:iCs/>
        </w:rPr>
        <w:t>Millennium: Journal of International Studies</w:t>
      </w:r>
      <w:r w:rsidRPr="00765D32">
        <w:rPr>
          <w:rFonts w:cs="Times New Roman"/>
        </w:rPr>
        <w:t xml:space="preserve"> 47 (2): 299–308</w:t>
      </w:r>
      <w:r>
        <w:rPr>
          <w:rFonts w:cs="Times New Roman"/>
        </w:rPr>
        <w:t xml:space="preserve">; Ty Soloman, </w:t>
      </w:r>
      <w:r w:rsidRPr="00765D32">
        <w:rPr>
          <w:rFonts w:cs="Times New Roman"/>
        </w:rPr>
        <w:t>2016. ‘Temporality and Insecurity in International Practices’. In Anna M. Agathangelou and Kyle D. Killian</w:t>
      </w:r>
      <w:r>
        <w:rPr>
          <w:rFonts w:cs="Times New Roman"/>
        </w:rPr>
        <w:t xml:space="preserve"> (Eds.)</w:t>
      </w:r>
      <w:r w:rsidRPr="00765D32">
        <w:rPr>
          <w:rFonts w:cs="Times New Roman"/>
        </w:rPr>
        <w:t xml:space="preserve">, </w:t>
      </w:r>
      <w:r w:rsidRPr="00765D32">
        <w:rPr>
          <w:rFonts w:cs="Times New Roman"/>
          <w:i/>
          <w:iCs/>
        </w:rPr>
        <w:t>Time, Temporality and Violence in International Relations: (De)Fatalizing the Present, Forging Radical Alternatives</w:t>
      </w:r>
      <w:r w:rsidRPr="00765D32">
        <w:rPr>
          <w:rFonts w:cs="Times New Roman"/>
        </w:rPr>
        <w:t xml:space="preserve">, </w:t>
      </w:r>
      <w:r>
        <w:rPr>
          <w:rFonts w:cs="Times New Roman"/>
        </w:rPr>
        <w:t xml:space="preserve">(Routledge, 2016), pp. </w:t>
      </w:r>
      <w:r w:rsidRPr="00765D32">
        <w:rPr>
          <w:rFonts w:cs="Times New Roman"/>
        </w:rPr>
        <w:t>76–86</w:t>
      </w:r>
      <w:r>
        <w:rPr>
          <w:rFonts w:cs="Times New Roman"/>
        </w:rPr>
        <w:t>.</w:t>
      </w:r>
    </w:p>
  </w:footnote>
  <w:footnote w:id="5">
    <w:p w14:paraId="485AF3E2" w14:textId="7BBA4BC1" w:rsidR="00496C11" w:rsidRPr="00CD5947" w:rsidRDefault="00496C11" w:rsidP="00496C11">
      <w:pPr>
        <w:pStyle w:val="FootnoteText"/>
      </w:pPr>
      <w:r>
        <w:rPr>
          <w:rStyle w:val="FootnoteReference"/>
        </w:rPr>
        <w:footnoteRef/>
      </w:r>
      <w:r>
        <w:t xml:space="preserve"> </w:t>
      </w:r>
      <w:r w:rsidRPr="009D0C72">
        <w:rPr>
          <w:rFonts w:cs="Times New Roman"/>
        </w:rPr>
        <w:t xml:space="preserve">Hutchings, </w:t>
      </w:r>
      <w:r w:rsidRPr="009D0C72">
        <w:rPr>
          <w:rFonts w:cs="Times New Roman"/>
          <w:i/>
          <w:iCs/>
        </w:rPr>
        <w:t>Time and World Politics</w:t>
      </w:r>
      <w:r w:rsidR="00370744">
        <w:rPr>
          <w:rFonts w:cs="Times New Roman"/>
          <w:i/>
          <w:iCs/>
        </w:rPr>
        <w:t>.</w:t>
      </w:r>
    </w:p>
  </w:footnote>
  <w:footnote w:id="6">
    <w:p w14:paraId="644AF892" w14:textId="77777777" w:rsidR="00496C11" w:rsidRPr="009D0C72" w:rsidRDefault="00496C11" w:rsidP="00496C11">
      <w:pPr>
        <w:pStyle w:val="FootnoteText"/>
        <w:rPr>
          <w:rFonts w:cs="Times New Roman"/>
        </w:rPr>
      </w:pPr>
      <w:r w:rsidRPr="009D0C72">
        <w:rPr>
          <w:rStyle w:val="FootnoteReference"/>
          <w:rFonts w:cs="Times New Roman"/>
        </w:rPr>
        <w:footnoteRef/>
      </w:r>
      <w:r w:rsidRPr="009D0C72">
        <w:rPr>
          <w:rFonts w:cs="Times New Roman"/>
        </w:rPr>
        <w:t xml:space="preserve"> John Robertson (ed.),</w:t>
      </w:r>
      <w:r w:rsidRPr="009D0C72">
        <w:rPr>
          <w:rFonts w:cs="Times New Roman"/>
          <w:i/>
          <w:iCs/>
        </w:rPr>
        <w:t xml:space="preserve"> Time, History, and Political Thought </w:t>
      </w:r>
      <w:r w:rsidRPr="009D0C72">
        <w:rPr>
          <w:rFonts w:cs="Times New Roman"/>
        </w:rPr>
        <w:t>(Cambridge University Press, 2023); F. Esposito and T. Becker, ‘The Time Of Politics, The Politics Of Time, And Politicized Time: An Introduction To Chronopolitics’,</w:t>
      </w:r>
      <w:r w:rsidRPr="009D0C72">
        <w:rPr>
          <w:rFonts w:cs="Times New Roman"/>
          <w:i/>
          <w:iCs/>
        </w:rPr>
        <w:t xml:space="preserve"> History and Theory</w:t>
      </w:r>
      <w:r w:rsidRPr="009D0C72">
        <w:rPr>
          <w:rFonts w:cs="Times New Roman"/>
        </w:rPr>
        <w:t xml:space="preserve"> (2023), Vol. 62:4, 3–23;  </w:t>
      </w:r>
    </w:p>
  </w:footnote>
  <w:footnote w:id="7">
    <w:p w14:paraId="2B2EE038" w14:textId="64FA1284" w:rsidR="00496C11" w:rsidRPr="009D0C72" w:rsidRDefault="00496C11" w:rsidP="00496C11">
      <w:pPr>
        <w:pStyle w:val="FootnoteText"/>
        <w:rPr>
          <w:rFonts w:cs="Times New Roman"/>
        </w:rPr>
      </w:pPr>
      <w:r w:rsidRPr="009D0C72">
        <w:rPr>
          <w:rStyle w:val="FootnoteReference"/>
          <w:rFonts w:cs="Times New Roman"/>
        </w:rPr>
        <w:footnoteRef/>
      </w:r>
      <w:r w:rsidRPr="009D0C72">
        <w:rPr>
          <w:rFonts w:cs="Times New Roman"/>
        </w:rPr>
        <w:t xml:space="preserve"> Victoria Canning and Monish Bhatia (Eds.), </w:t>
      </w:r>
      <w:r w:rsidRPr="009D0C72">
        <w:rPr>
          <w:rFonts w:cs="Times New Roman"/>
          <w:i/>
          <w:iCs/>
        </w:rPr>
        <w:t xml:space="preserve">Stealing Time: Migration, Temporalities and State Violence </w:t>
      </w:r>
      <w:r w:rsidRPr="009D0C72">
        <w:rPr>
          <w:rFonts w:cs="Times New Roman"/>
        </w:rPr>
        <w:t xml:space="preserve">(Palgrave Macmillan, 2021); </w:t>
      </w:r>
      <w:r w:rsidR="00370744" w:rsidRPr="00370744">
        <w:rPr>
          <w:rFonts w:cs="Times New Roman"/>
        </w:rPr>
        <w:t>Louise Ridden,</w:t>
      </w:r>
      <w:r w:rsidR="00370744">
        <w:rPr>
          <w:rFonts w:cs="Times New Roman"/>
        </w:rPr>
        <w:t xml:space="preserve"> </w:t>
      </w:r>
      <w:r w:rsidR="00370744" w:rsidRPr="00370744">
        <w:rPr>
          <w:rFonts w:cs="Times New Roman"/>
          <w:i/>
          <w:iCs/>
        </w:rPr>
        <w:t>Nonviolent Encounters: Unarmed Civilian Protection through Bodies, Spaces and Times</w:t>
      </w:r>
      <w:r w:rsidR="00370744" w:rsidRPr="00370744">
        <w:rPr>
          <w:rFonts w:cs="Times New Roman"/>
        </w:rPr>
        <w:t>. (Edinburgh University Press, 2026)</w:t>
      </w:r>
      <w:r>
        <w:rPr>
          <w:rFonts w:cs="Times New Roman"/>
        </w:rPr>
        <w:t xml:space="preserve">; </w:t>
      </w:r>
      <w:r w:rsidRPr="009D0C72">
        <w:rPr>
          <w:rFonts w:cs="Times New Roman"/>
        </w:rPr>
        <w:t xml:space="preserve">Emily Clifford, </w:t>
      </w:r>
      <w:r w:rsidRPr="009D0C72">
        <w:rPr>
          <w:rFonts w:cs="Times New Roman"/>
          <w:i/>
          <w:iCs/>
        </w:rPr>
        <w:t xml:space="preserve">The Futurescapes of Human Trafficking Protection in Global Britain, </w:t>
      </w:r>
      <w:r w:rsidRPr="009D0C72">
        <w:rPr>
          <w:rFonts w:cs="Times New Roman"/>
        </w:rPr>
        <w:t>[unpublished PhD thesis, University of Exeter, 2024].</w:t>
      </w:r>
    </w:p>
  </w:footnote>
  <w:footnote w:id="8">
    <w:p w14:paraId="405C7C64" w14:textId="77777777" w:rsidR="00496C11" w:rsidRPr="009D0C72" w:rsidRDefault="00496C11" w:rsidP="00496C11">
      <w:pPr>
        <w:pStyle w:val="FootnoteText"/>
        <w:rPr>
          <w:rFonts w:cs="Times New Roman"/>
        </w:rPr>
      </w:pPr>
      <w:r w:rsidRPr="009D0C72">
        <w:rPr>
          <w:rStyle w:val="FootnoteReference"/>
          <w:rFonts w:cs="Times New Roman"/>
        </w:rPr>
        <w:footnoteRef/>
      </w:r>
      <w:r w:rsidRPr="009D0C72">
        <w:rPr>
          <w:rFonts w:cs="Times New Roman"/>
        </w:rPr>
        <w:t xml:space="preserve"> </w:t>
      </w:r>
      <w:r>
        <w:rPr>
          <w:rFonts w:cs="Times New Roman"/>
        </w:rPr>
        <w:t xml:space="preserve">See, </w:t>
      </w:r>
      <w:r w:rsidRPr="009D0C72">
        <w:rPr>
          <w:rFonts w:cs="Times New Roman"/>
        </w:rPr>
        <w:t xml:space="preserve">Sara Salazar Hughes, ‘Unbounded Territoriality: Territorial Control, Settler Colonialism, and Israel/Palestine’, </w:t>
      </w:r>
      <w:r w:rsidRPr="009D0C72">
        <w:rPr>
          <w:rFonts w:cs="Times New Roman"/>
          <w:i/>
          <w:iCs/>
        </w:rPr>
        <w:t xml:space="preserve">Settler Colonial Studies, </w:t>
      </w:r>
      <w:r w:rsidRPr="009D0C72">
        <w:rPr>
          <w:rFonts w:cs="Times New Roman"/>
        </w:rPr>
        <w:t xml:space="preserve">Vol. 10:2 (2020), pp. 216–33; </w:t>
      </w:r>
      <w:r w:rsidRPr="00955759">
        <w:rPr>
          <w:rFonts w:cs="Times New Roman"/>
        </w:rPr>
        <w:t xml:space="preserve">Sean F. McMahon (2016) </w:t>
      </w:r>
      <w:r>
        <w:rPr>
          <w:rFonts w:cs="Times New Roman"/>
        </w:rPr>
        <w:t>‘</w:t>
      </w:r>
      <w:r w:rsidRPr="00955759">
        <w:rPr>
          <w:rFonts w:cs="Times New Roman"/>
        </w:rPr>
        <w:t>Temporality, Peace Initiatives and Palestinian</w:t>
      </w:r>
      <w:r>
        <w:rPr>
          <w:rFonts w:cs="Times New Roman"/>
        </w:rPr>
        <w:t>-</w:t>
      </w:r>
      <w:r w:rsidRPr="00955759">
        <w:rPr>
          <w:rFonts w:cs="Times New Roman"/>
        </w:rPr>
        <w:t>Israeli Politics</w:t>
      </w:r>
      <w:r>
        <w:rPr>
          <w:rFonts w:cs="Times New Roman"/>
        </w:rPr>
        <w:t>’</w:t>
      </w:r>
      <w:r w:rsidRPr="00955759">
        <w:rPr>
          <w:rFonts w:cs="Times New Roman"/>
        </w:rPr>
        <w:t xml:space="preserve">, </w:t>
      </w:r>
      <w:r w:rsidRPr="00CD5947">
        <w:rPr>
          <w:rFonts w:cs="Times New Roman"/>
          <w:i/>
          <w:iCs/>
        </w:rPr>
        <w:t>Middle East Critique</w:t>
      </w:r>
      <w:r w:rsidRPr="00955759">
        <w:rPr>
          <w:rFonts w:cs="Times New Roman"/>
        </w:rPr>
        <w:t>, 25:1, 5-21</w:t>
      </w:r>
      <w:r>
        <w:rPr>
          <w:rFonts w:cs="Times New Roman"/>
        </w:rPr>
        <w:t>.</w:t>
      </w:r>
    </w:p>
  </w:footnote>
  <w:footnote w:id="9">
    <w:p w14:paraId="371CDD13" w14:textId="77777777" w:rsidR="00496C11" w:rsidRPr="009D0C72" w:rsidRDefault="00496C11" w:rsidP="00496C11">
      <w:pPr>
        <w:pStyle w:val="FootnoteText"/>
        <w:rPr>
          <w:rFonts w:cs="Times New Roman"/>
        </w:rPr>
      </w:pPr>
      <w:r w:rsidRPr="009D0C72">
        <w:rPr>
          <w:rStyle w:val="FootnoteReference"/>
          <w:rFonts w:cs="Times New Roman"/>
        </w:rPr>
        <w:footnoteRef/>
      </w:r>
      <w:r w:rsidRPr="009D0C72">
        <w:rPr>
          <w:rFonts w:cs="Times New Roman"/>
        </w:rPr>
        <w:t xml:space="preserve"> Nasser Abourahme, </w:t>
      </w:r>
      <w:r w:rsidRPr="009D0C72">
        <w:rPr>
          <w:rFonts w:cs="Times New Roman"/>
          <w:i/>
          <w:iCs/>
        </w:rPr>
        <w:t xml:space="preserve">The Time beneath the Concrete: Palestine between Camp and Colony </w:t>
      </w:r>
      <w:r w:rsidRPr="009D0C72">
        <w:rPr>
          <w:rFonts w:cs="Times New Roman"/>
        </w:rPr>
        <w:t>(Duke University Press, 2025).</w:t>
      </w:r>
    </w:p>
  </w:footnote>
  <w:footnote w:id="10">
    <w:p w14:paraId="6959E616" w14:textId="77777777" w:rsidR="00496C11" w:rsidRPr="009D0C72" w:rsidRDefault="00496C11" w:rsidP="00496C11">
      <w:pPr>
        <w:pStyle w:val="FootnoteText"/>
        <w:rPr>
          <w:rFonts w:cs="Times New Roman"/>
        </w:rPr>
      </w:pPr>
      <w:r w:rsidRPr="009D0C72">
        <w:rPr>
          <w:rStyle w:val="FootnoteReference"/>
          <w:rFonts w:cs="Times New Roman"/>
        </w:rPr>
        <w:footnoteRef/>
      </w:r>
      <w:r w:rsidRPr="009D0C72">
        <w:rPr>
          <w:rFonts w:cs="Times New Roman"/>
        </w:rPr>
        <w:t xml:space="preserve"> Ibid.</w:t>
      </w:r>
    </w:p>
  </w:footnote>
  <w:footnote w:id="11">
    <w:p w14:paraId="38DCBF12" w14:textId="77777777" w:rsidR="00496C11" w:rsidRPr="009D0C72" w:rsidRDefault="00496C11" w:rsidP="00496C11">
      <w:pPr>
        <w:pStyle w:val="FootnoteText"/>
        <w:rPr>
          <w:rFonts w:cs="Times New Roman"/>
        </w:rPr>
      </w:pPr>
      <w:r w:rsidRPr="009D0C72">
        <w:rPr>
          <w:rStyle w:val="FootnoteReference"/>
          <w:rFonts w:cs="Times New Roman"/>
        </w:rPr>
        <w:footnoteRef/>
      </w:r>
      <w:r w:rsidRPr="009D0C72">
        <w:rPr>
          <w:rFonts w:cs="Times New Roman"/>
        </w:rPr>
        <w:t xml:space="preserve"> </w:t>
      </w:r>
      <w:r>
        <w:rPr>
          <w:rFonts w:cs="Times New Roman"/>
        </w:rPr>
        <w:t>Ibid.</w:t>
      </w:r>
    </w:p>
  </w:footnote>
  <w:footnote w:id="12">
    <w:p w14:paraId="079AF0A8" w14:textId="77777777" w:rsidR="00496C11" w:rsidRPr="00CD5947" w:rsidRDefault="00496C11" w:rsidP="00496C11">
      <w:pPr>
        <w:pStyle w:val="FootnoteText"/>
        <w:rPr>
          <w:rFonts w:cs="Times New Roman"/>
        </w:rPr>
      </w:pPr>
      <w:r w:rsidRPr="009D0C72">
        <w:rPr>
          <w:rStyle w:val="FootnoteReference"/>
          <w:rFonts w:cs="Times New Roman"/>
        </w:rPr>
        <w:footnoteRef/>
      </w:r>
      <w:r w:rsidRPr="009D0C72">
        <w:rPr>
          <w:rFonts w:cs="Times New Roman"/>
        </w:rPr>
        <w:t xml:space="preserve"> Hutchings, </w:t>
      </w:r>
      <w:r w:rsidRPr="009D0C72">
        <w:rPr>
          <w:rFonts w:cs="Times New Roman"/>
          <w:i/>
          <w:iCs/>
        </w:rPr>
        <w:t>Time and World Politics</w:t>
      </w:r>
      <w:r>
        <w:rPr>
          <w:rFonts w:cs="Times New Roman"/>
        </w:rPr>
        <w:t xml:space="preserve">. </w:t>
      </w:r>
    </w:p>
  </w:footnote>
  <w:footnote w:id="13">
    <w:p w14:paraId="5E0F0BB6" w14:textId="77777777" w:rsidR="00496C11" w:rsidRPr="009D0C72" w:rsidRDefault="00496C11" w:rsidP="00496C11">
      <w:pPr>
        <w:pStyle w:val="FootnoteText"/>
        <w:rPr>
          <w:rFonts w:cs="Times New Roman"/>
        </w:rPr>
      </w:pPr>
      <w:r w:rsidRPr="009D0C72">
        <w:rPr>
          <w:rStyle w:val="FootnoteReference"/>
          <w:rFonts w:cs="Times New Roman"/>
        </w:rPr>
        <w:footnoteRef/>
      </w:r>
      <w:r w:rsidRPr="009D0C72">
        <w:rPr>
          <w:rFonts w:cs="Times New Roman"/>
        </w:rPr>
        <w:t xml:space="preserve"> Ann Laura Stoler, </w:t>
      </w:r>
      <w:r w:rsidRPr="009D0C72">
        <w:rPr>
          <w:rFonts w:cs="Times New Roman"/>
          <w:i/>
          <w:iCs/>
        </w:rPr>
        <w:t xml:space="preserve">Duress: Imperial Durabilities in Our Times </w:t>
      </w:r>
      <w:r w:rsidRPr="009D0C72">
        <w:rPr>
          <w:rFonts w:cs="Times New Roman"/>
        </w:rPr>
        <w:t>(Duke University Press, 2016).</w:t>
      </w:r>
    </w:p>
  </w:footnote>
  <w:footnote w:id="14">
    <w:p w14:paraId="0241252E" w14:textId="77777777" w:rsidR="00496C11" w:rsidRPr="009D0C72" w:rsidRDefault="00496C11" w:rsidP="00496C11">
      <w:pPr>
        <w:pStyle w:val="FootnoteText"/>
        <w:rPr>
          <w:rFonts w:cs="Times New Roman"/>
        </w:rPr>
      </w:pPr>
      <w:r w:rsidRPr="009D0C72">
        <w:rPr>
          <w:rStyle w:val="FootnoteReference"/>
          <w:rFonts w:cs="Times New Roman"/>
        </w:rPr>
        <w:footnoteRef/>
      </w:r>
      <w:r w:rsidRPr="009D0C72">
        <w:rPr>
          <w:rFonts w:cs="Times New Roman"/>
        </w:rPr>
        <w:t xml:space="preserve"> Ibid.</w:t>
      </w:r>
    </w:p>
  </w:footnote>
  <w:footnote w:id="15">
    <w:p w14:paraId="183C03F2" w14:textId="77777777" w:rsidR="00496C11" w:rsidRPr="009D0C72" w:rsidRDefault="00496C11" w:rsidP="00496C11">
      <w:pPr>
        <w:pStyle w:val="FootnoteText"/>
        <w:rPr>
          <w:rFonts w:cs="Times New Roman"/>
        </w:rPr>
      </w:pPr>
      <w:r w:rsidRPr="009D0C72">
        <w:rPr>
          <w:rStyle w:val="FootnoteReference"/>
          <w:rFonts w:cs="Times New Roman"/>
        </w:rPr>
        <w:footnoteRef/>
      </w:r>
      <w:r w:rsidRPr="009D0C72">
        <w:rPr>
          <w:rFonts w:cs="Times New Roman"/>
        </w:rPr>
        <w:t xml:space="preserve"> Daniel Haines, ‘Timescapes, subjectivity and emotions after the India–Tibet earthquake, 1950’, </w:t>
      </w:r>
      <w:r w:rsidRPr="009D0C72">
        <w:rPr>
          <w:rFonts w:cs="Times New Roman"/>
          <w:i/>
          <w:iCs/>
        </w:rPr>
        <w:t>Past &amp; Present</w:t>
      </w:r>
      <w:r w:rsidRPr="009D0C72">
        <w:rPr>
          <w:rFonts w:cs="Times New Roman"/>
        </w:rPr>
        <w:t xml:space="preserve"> (2024), 27.</w:t>
      </w:r>
    </w:p>
  </w:footnote>
  <w:footnote w:id="16">
    <w:p w14:paraId="5170112A" w14:textId="77777777" w:rsidR="00496C11" w:rsidRPr="009D0C72" w:rsidRDefault="00496C11" w:rsidP="00496C11">
      <w:pPr>
        <w:pStyle w:val="FootnoteText"/>
        <w:rPr>
          <w:rFonts w:cs="Times New Roman"/>
        </w:rPr>
      </w:pPr>
      <w:r w:rsidRPr="009D0C72">
        <w:rPr>
          <w:rStyle w:val="FootnoteReference"/>
          <w:rFonts w:cs="Times New Roman"/>
        </w:rPr>
        <w:footnoteRef/>
      </w:r>
      <w:r w:rsidRPr="009D0C72">
        <w:rPr>
          <w:rFonts w:cs="Times New Roman"/>
        </w:rPr>
        <w:t xml:space="preserve"> For more on imperial rule and time, see: Giordano Nanni, The colonisation of time: Ritual, routine and resistance in the British Empire (Manchester University Press, 2013); Rikita, Prasad, ‘“Time-Sense”: Railways and Temporality in Colonial India’, </w:t>
      </w:r>
      <w:r w:rsidRPr="009D0C72">
        <w:rPr>
          <w:rFonts w:cs="Times New Roman"/>
          <w:i/>
          <w:iCs/>
        </w:rPr>
        <w:t>Modern Asian Studies,</w:t>
      </w:r>
      <w:r w:rsidRPr="009D0C72">
        <w:rPr>
          <w:rFonts w:cs="Times New Roman"/>
        </w:rPr>
        <w:t> Vol. 47.4 (2013), 1252–1282.</w:t>
      </w:r>
    </w:p>
  </w:footnote>
  <w:footnote w:id="17">
    <w:p w14:paraId="534F5638" w14:textId="77777777" w:rsidR="00496C11" w:rsidRPr="009D0C72" w:rsidRDefault="00496C11" w:rsidP="00496C11">
      <w:pPr>
        <w:pStyle w:val="FootnoteText"/>
        <w:rPr>
          <w:rFonts w:cs="Times New Roman"/>
        </w:rPr>
      </w:pPr>
      <w:r w:rsidRPr="009D0C72">
        <w:rPr>
          <w:rStyle w:val="FootnoteReference"/>
          <w:rFonts w:cs="Times New Roman"/>
        </w:rPr>
        <w:footnoteRef/>
      </w:r>
      <w:r w:rsidRPr="009D0C72">
        <w:rPr>
          <w:rFonts w:cs="Times New Roman"/>
        </w:rPr>
        <w:t xml:space="preserve"> N. Crawford, </w:t>
      </w:r>
      <w:r w:rsidRPr="009D0C72">
        <w:rPr>
          <w:rFonts w:cs="Times New Roman"/>
          <w:i/>
          <w:iCs/>
        </w:rPr>
        <w:t>Argument and Change in World Politics: Ethics, Decolonization, and Humanitarian</w:t>
      </w:r>
      <w:r w:rsidRPr="009D0C72">
        <w:rPr>
          <w:rFonts w:cs="Times New Roman"/>
        </w:rPr>
        <w:t xml:space="preserve"> </w:t>
      </w:r>
      <w:r w:rsidRPr="009D0C72">
        <w:rPr>
          <w:rFonts w:cs="Times New Roman"/>
          <w:i/>
          <w:iCs/>
        </w:rPr>
        <w:t>Intervention</w:t>
      </w:r>
      <w:r w:rsidRPr="009D0C72">
        <w:rPr>
          <w:rFonts w:cs="Times New Roman"/>
        </w:rPr>
        <w:t xml:space="preserve"> (Cambridge University Press, 2002); Julius Heise, </w:t>
      </w:r>
      <w:r w:rsidRPr="009D0C72">
        <w:rPr>
          <w:rFonts w:cs="Times New Roman"/>
          <w:i/>
          <w:iCs/>
        </w:rPr>
        <w:t xml:space="preserve">Securitising Decolonisation: The Silencing of Ewe and Togoland Unification Under United Nations Trusteeship, 1945-1960 </w:t>
      </w:r>
      <w:r w:rsidRPr="009D0C72">
        <w:rPr>
          <w:rFonts w:cs="Times New Roman"/>
        </w:rPr>
        <w:t xml:space="preserve">(transcript Verlag, 2024); Aurora Almada e Santos, Jessica Lynne Pearson, Nicole Eggers, </w:t>
      </w:r>
      <w:r w:rsidRPr="009D0C72">
        <w:rPr>
          <w:rFonts w:cs="Times New Roman"/>
          <w:i/>
          <w:iCs/>
        </w:rPr>
        <w:t xml:space="preserve">The United Nations and Decolonization </w:t>
      </w:r>
      <w:r w:rsidRPr="009D0C72">
        <w:rPr>
          <w:rFonts w:cs="Times New Roman"/>
        </w:rPr>
        <w:t xml:space="preserve">(Routledge, 2020); Miriam Bak Mckenna, </w:t>
      </w:r>
      <w:r w:rsidRPr="009D0C72">
        <w:rPr>
          <w:rFonts w:cs="Times New Roman"/>
          <w:i/>
          <w:iCs/>
        </w:rPr>
        <w:t xml:space="preserve">Reckoning with Empire: Self-Determination in International Law </w:t>
      </w:r>
      <w:r w:rsidRPr="009D0C72">
        <w:rPr>
          <w:rFonts w:cs="Times New Roman"/>
        </w:rPr>
        <w:t>(Brill, 2022).</w:t>
      </w:r>
    </w:p>
  </w:footnote>
  <w:footnote w:id="18">
    <w:p w14:paraId="661DFA7E" w14:textId="0836A290" w:rsidR="004A5C46" w:rsidRDefault="004A5C46">
      <w:pPr>
        <w:pStyle w:val="FootnoteText"/>
      </w:pPr>
      <w:r>
        <w:rPr>
          <w:rStyle w:val="FootnoteReference"/>
        </w:rPr>
        <w:footnoteRef/>
      </w:r>
      <w:r>
        <w:t xml:space="preserve"> UN Document, General Assembly, ‘Resolution 377 (A) ‘Uniting for peace’, 3 November 1956.</w:t>
      </w:r>
    </w:p>
  </w:footnote>
  <w:footnote w:id="19">
    <w:p w14:paraId="378CC29F" w14:textId="1BA45F1B" w:rsidR="00CD7BF6" w:rsidRDefault="00CD7BF6">
      <w:pPr>
        <w:pStyle w:val="FootnoteText"/>
      </w:pPr>
      <w:r>
        <w:rPr>
          <w:rStyle w:val="FootnoteReference"/>
        </w:rPr>
        <w:footnoteRef/>
      </w:r>
      <w:r>
        <w:t xml:space="preserve"> </w:t>
      </w:r>
      <w:r w:rsidRPr="009D0C72">
        <w:rPr>
          <w:rFonts w:cs="Times New Roman"/>
        </w:rPr>
        <w:t>Princeton University Special Collections</w:t>
      </w:r>
      <w:r>
        <w:rPr>
          <w:rFonts w:cs="Times New Roman"/>
        </w:rPr>
        <w:t xml:space="preserve"> [Princeton henceforth]</w:t>
      </w:r>
      <w:r w:rsidRPr="009D0C72">
        <w:rPr>
          <w:rFonts w:cs="Times New Roman"/>
        </w:rPr>
        <w:t>, Henry Labouisse Papers, Box 1</w:t>
      </w:r>
      <w:r>
        <w:rPr>
          <w:rFonts w:cs="Times New Roman"/>
        </w:rPr>
        <w:t>4</w:t>
      </w:r>
      <w:r w:rsidRPr="009D0C72">
        <w:rPr>
          <w:rFonts w:cs="Times New Roman"/>
        </w:rPr>
        <w:t xml:space="preserve">, Folder </w:t>
      </w:r>
      <w:r>
        <w:rPr>
          <w:rFonts w:cs="Times New Roman"/>
        </w:rPr>
        <w:t>11</w:t>
      </w:r>
      <w:r w:rsidRPr="009D0C72">
        <w:rPr>
          <w:rFonts w:cs="Times New Roman"/>
        </w:rPr>
        <w:t xml:space="preserve">, ‘Speech for </w:t>
      </w:r>
      <w:r>
        <w:rPr>
          <w:rFonts w:cs="Times New Roman"/>
        </w:rPr>
        <w:t xml:space="preserve">Cosmopolitan Club </w:t>
      </w:r>
      <w:r w:rsidRPr="009D0C72">
        <w:rPr>
          <w:rFonts w:cs="Times New Roman"/>
        </w:rPr>
        <w:t xml:space="preserve">– cue cards’, </w:t>
      </w:r>
      <w:r>
        <w:rPr>
          <w:rFonts w:cs="Times New Roman"/>
        </w:rPr>
        <w:t>3 December 1958.</w:t>
      </w:r>
    </w:p>
  </w:footnote>
  <w:footnote w:id="20">
    <w:p w14:paraId="17D695EE" w14:textId="77777777" w:rsidR="00591302" w:rsidRPr="009D0C72" w:rsidRDefault="00591302" w:rsidP="00591302">
      <w:pPr>
        <w:pStyle w:val="FootnoteText"/>
        <w:rPr>
          <w:rFonts w:cs="Times New Roman"/>
        </w:rPr>
      </w:pPr>
      <w:r w:rsidRPr="009D0C72">
        <w:rPr>
          <w:rStyle w:val="FootnoteReference"/>
          <w:rFonts w:cs="Times New Roman"/>
        </w:rPr>
        <w:footnoteRef/>
      </w:r>
      <w:r w:rsidRPr="009D0C72">
        <w:rPr>
          <w:rFonts w:cs="Times New Roman"/>
        </w:rPr>
        <w:t xml:space="preserve"> Adam Y. Stern, ‘On Zionism and the Concept of Deferral’, </w:t>
      </w:r>
      <w:r w:rsidRPr="009D0C72">
        <w:rPr>
          <w:rFonts w:cs="Times New Roman"/>
          <w:i/>
          <w:iCs/>
        </w:rPr>
        <w:t>Critical Times</w:t>
      </w:r>
      <w:r w:rsidRPr="009D0C72">
        <w:rPr>
          <w:rFonts w:cs="Times New Roman"/>
        </w:rPr>
        <w:t>, Vol. 5:1 (2022), 20–49.</w:t>
      </w:r>
    </w:p>
  </w:footnote>
  <w:footnote w:id="21">
    <w:p w14:paraId="53B45F72" w14:textId="77777777" w:rsidR="00F50042" w:rsidRPr="009D0C72" w:rsidRDefault="00F50042" w:rsidP="00F50042">
      <w:pPr>
        <w:pStyle w:val="FootnoteText"/>
        <w:rPr>
          <w:rFonts w:cs="Times New Roman"/>
        </w:rPr>
      </w:pPr>
      <w:r w:rsidRPr="009D0C72">
        <w:rPr>
          <w:rStyle w:val="FootnoteReference"/>
          <w:rFonts w:cs="Times New Roman"/>
        </w:rPr>
        <w:footnoteRef/>
      </w:r>
      <w:r w:rsidRPr="009D0C72">
        <w:rPr>
          <w:rFonts w:cs="Times New Roman"/>
        </w:rPr>
        <w:t xml:space="preserve"> Bodleian Library, Special Collections United Nations Career Records Project, Papers of Charles Harris concerning his work in Cyprus, Fols. 185-336. Lt.-Gen. Sir James Wilson 1964-6., ‘Memoir: Chapter 17, The U.N. Force Commander’, p. 19.</w:t>
      </w:r>
    </w:p>
  </w:footnote>
  <w:footnote w:id="22">
    <w:p w14:paraId="49BE6BE2" w14:textId="77777777" w:rsidR="00F50042" w:rsidRPr="004C6E53" w:rsidRDefault="00F50042" w:rsidP="00F50042">
      <w:pPr>
        <w:pStyle w:val="FootnoteText"/>
        <w:rPr>
          <w:rFonts w:cs="Times New Roman"/>
        </w:rPr>
      </w:pPr>
      <w:r w:rsidRPr="00890F55">
        <w:rPr>
          <w:rStyle w:val="FootnoteReference"/>
          <w:rFonts w:cs="Times New Roman"/>
        </w:rPr>
        <w:footnoteRef/>
      </w:r>
      <w:r w:rsidRPr="00890F55">
        <w:rPr>
          <w:rFonts w:cs="Times New Roman"/>
        </w:rPr>
        <w:t xml:space="preserve"> Arie M. Dubov and Laura Robson (Eds.), </w:t>
      </w:r>
      <w:r w:rsidRPr="00890F55">
        <w:rPr>
          <w:rFonts w:cs="Times New Roman"/>
          <w:i/>
          <w:iCs/>
        </w:rPr>
        <w:t xml:space="preserve">Partitions: A Transnational History of Twentieth-Century Territorial Separatism </w:t>
      </w:r>
      <w:r w:rsidRPr="00890F55">
        <w:rPr>
          <w:rFonts w:cs="Times New Roman"/>
        </w:rPr>
        <w:t>(Stanford</w:t>
      </w:r>
      <w:r>
        <w:rPr>
          <w:rFonts w:cs="Times New Roman"/>
        </w:rPr>
        <w:t xml:space="preserve"> University Press, 2019).</w:t>
      </w:r>
    </w:p>
  </w:footnote>
  <w:footnote w:id="23">
    <w:p w14:paraId="293DA448" w14:textId="77777777" w:rsidR="00F50042" w:rsidRPr="009D0C72" w:rsidRDefault="00F50042" w:rsidP="00F50042">
      <w:pPr>
        <w:pStyle w:val="FootnoteText"/>
        <w:rPr>
          <w:rFonts w:cs="Times New Roman"/>
        </w:rPr>
      </w:pPr>
      <w:r w:rsidRPr="009D0C72">
        <w:rPr>
          <w:rStyle w:val="FootnoteReference"/>
          <w:rFonts w:cs="Times New Roman"/>
        </w:rPr>
        <w:footnoteRef/>
      </w:r>
      <w:r w:rsidRPr="009D0C72">
        <w:rPr>
          <w:rFonts w:cs="Times New Roman"/>
        </w:rPr>
        <w:t xml:space="preserve"> [Removed to preserve author’s anonymity].</w:t>
      </w:r>
    </w:p>
  </w:footnote>
  <w:footnote w:id="24">
    <w:p w14:paraId="3CD41634" w14:textId="77777777" w:rsidR="00F50042" w:rsidRPr="009D0C72" w:rsidRDefault="00F50042" w:rsidP="00F50042">
      <w:pPr>
        <w:pStyle w:val="FootnoteText"/>
        <w:rPr>
          <w:rFonts w:cs="Times New Roman"/>
        </w:rPr>
      </w:pPr>
      <w:r w:rsidRPr="009D0C72">
        <w:rPr>
          <w:rStyle w:val="FootnoteReference"/>
          <w:rFonts w:cs="Times New Roman"/>
        </w:rPr>
        <w:footnoteRef/>
      </w:r>
      <w:r w:rsidRPr="009D0C72">
        <w:rPr>
          <w:rFonts w:cs="Times New Roman"/>
        </w:rPr>
        <w:t xml:space="preserve"> Lauren Berlant, </w:t>
      </w:r>
      <w:r w:rsidRPr="009D0C72">
        <w:rPr>
          <w:rFonts w:cs="Times New Roman"/>
          <w:i/>
          <w:iCs/>
        </w:rPr>
        <w:t xml:space="preserve">Cruel Optimism </w:t>
      </w:r>
      <w:r w:rsidRPr="009D0C72">
        <w:rPr>
          <w:rFonts w:cs="Times New Roman"/>
        </w:rPr>
        <w:t>(Duke University Press, 2011).</w:t>
      </w:r>
    </w:p>
  </w:footnote>
  <w:footnote w:id="25">
    <w:p w14:paraId="39340712" w14:textId="77777777" w:rsidR="000F76ED" w:rsidRPr="009D0C72" w:rsidRDefault="000F76ED" w:rsidP="000F76ED">
      <w:pPr>
        <w:pStyle w:val="FootnoteText"/>
        <w:rPr>
          <w:rFonts w:cs="Times New Roman"/>
        </w:rPr>
      </w:pPr>
      <w:r w:rsidRPr="009D0C72">
        <w:rPr>
          <w:rStyle w:val="FootnoteReference"/>
          <w:rFonts w:cs="Times New Roman"/>
        </w:rPr>
        <w:footnoteRef/>
      </w:r>
      <w:r w:rsidRPr="009D0C72">
        <w:rPr>
          <w:rFonts w:cs="Times New Roman"/>
        </w:rPr>
        <w:t xml:space="preserve"> Sara Salem, ‘On Anti-colonial Time: Encountering Archival Traces in a Haunted Present’, </w:t>
      </w:r>
      <w:r w:rsidRPr="009D0C72">
        <w:rPr>
          <w:rFonts w:cs="Times New Roman"/>
          <w:i/>
          <w:iCs/>
        </w:rPr>
        <w:t xml:space="preserve">The South Atlantic Quarterly, </w:t>
      </w:r>
      <w:r w:rsidRPr="009D0C72">
        <w:rPr>
          <w:rFonts w:cs="Times New Roman"/>
        </w:rPr>
        <w:t>Vol. 123:2, (2024), pp. 321 – 341.</w:t>
      </w:r>
    </w:p>
  </w:footnote>
  <w:footnote w:id="26">
    <w:p w14:paraId="6B5A0552" w14:textId="31087825" w:rsidR="00B96296" w:rsidRPr="00B96296" w:rsidRDefault="00B96296">
      <w:pPr>
        <w:pStyle w:val="FootnoteText"/>
      </w:pPr>
      <w:r>
        <w:rPr>
          <w:rStyle w:val="FootnoteReference"/>
        </w:rPr>
        <w:footnoteRef/>
      </w:r>
      <w:r>
        <w:t xml:space="preserve"> Ann L Stoler, </w:t>
      </w:r>
      <w:r w:rsidRPr="00B96296">
        <w:rPr>
          <w:i/>
          <w:iCs/>
        </w:rPr>
        <w:t>Along the Archival Grain: Epistemic Anxieties and Colonial Common Sense</w:t>
      </w:r>
      <w:r>
        <w:rPr>
          <w:i/>
          <w:iCs/>
        </w:rPr>
        <w:t xml:space="preserve"> </w:t>
      </w:r>
      <w:r>
        <w:t>(Princeton University Press, 2008).</w:t>
      </w:r>
    </w:p>
  </w:footnote>
  <w:footnote w:id="27">
    <w:p w14:paraId="57AD9BD5" w14:textId="77777777" w:rsidR="009E4F00" w:rsidRPr="009D0C72" w:rsidRDefault="009E4F00" w:rsidP="009E4F00">
      <w:pPr>
        <w:pStyle w:val="FootnoteText"/>
        <w:rPr>
          <w:rFonts w:cs="Times New Roman"/>
        </w:rPr>
      </w:pPr>
      <w:r w:rsidRPr="009D0C72">
        <w:rPr>
          <w:rStyle w:val="FootnoteReference"/>
          <w:rFonts w:cs="Times New Roman"/>
        </w:rPr>
        <w:footnoteRef/>
      </w:r>
      <w:r w:rsidRPr="009D0C72">
        <w:rPr>
          <w:rFonts w:cs="Times New Roman"/>
        </w:rPr>
        <w:t xml:space="preserve"> UN Doc, A/RES/194 (III), ‘Palestine—Progress Report of the United Nations Mediator’, 11 December 1948.</w:t>
      </w:r>
    </w:p>
  </w:footnote>
  <w:footnote w:id="28">
    <w:p w14:paraId="1ABF6C31" w14:textId="77777777" w:rsidR="00DF09F4" w:rsidRPr="009D0C72" w:rsidRDefault="00DF09F4" w:rsidP="00DF09F4">
      <w:pPr>
        <w:pStyle w:val="FootnoteText"/>
        <w:rPr>
          <w:rFonts w:cs="Times New Roman"/>
        </w:rPr>
      </w:pPr>
      <w:r w:rsidRPr="009D0C72">
        <w:rPr>
          <w:rStyle w:val="FootnoteReference"/>
          <w:rFonts w:cs="Times New Roman"/>
        </w:rPr>
        <w:footnoteRef/>
      </w:r>
      <w:r w:rsidRPr="009D0C72">
        <w:rPr>
          <w:rFonts w:cs="Times New Roman"/>
        </w:rPr>
        <w:t xml:space="preserve"> UN Doc, A/SPC/SR.28, ‘General Assembly, 11</w:t>
      </w:r>
      <w:r w:rsidRPr="009D0C72">
        <w:rPr>
          <w:rFonts w:cs="Times New Roman"/>
          <w:vertAlign w:val="superscript"/>
        </w:rPr>
        <w:t>th</w:t>
      </w:r>
      <w:r w:rsidRPr="009D0C72">
        <w:rPr>
          <w:rFonts w:cs="Times New Roman"/>
        </w:rPr>
        <w:t xml:space="preserve"> Session, Official Records, Special Political Committee, 28</w:t>
      </w:r>
      <w:r w:rsidRPr="009D0C72">
        <w:rPr>
          <w:rFonts w:cs="Times New Roman"/>
          <w:vertAlign w:val="superscript"/>
        </w:rPr>
        <w:t>th</w:t>
      </w:r>
      <w:r w:rsidRPr="009D0C72">
        <w:rPr>
          <w:rFonts w:cs="Times New Roman"/>
        </w:rPr>
        <w:t xml:space="preserve"> Meeting’, 19 February 1957, p. 127.</w:t>
      </w:r>
    </w:p>
  </w:footnote>
  <w:footnote w:id="29">
    <w:p w14:paraId="3504C487" w14:textId="787C0C2B" w:rsidR="00B74DD0" w:rsidRPr="00B74DD0" w:rsidRDefault="00B74DD0" w:rsidP="00B74DD0">
      <w:pPr>
        <w:pStyle w:val="FootnoteText"/>
      </w:pPr>
      <w:r>
        <w:rPr>
          <w:rStyle w:val="FootnoteReference"/>
        </w:rPr>
        <w:footnoteRef/>
      </w:r>
      <w:r>
        <w:t xml:space="preserve"> </w:t>
      </w:r>
      <w:r w:rsidRPr="00B74DD0">
        <w:t>Rashid Khalidi</w:t>
      </w:r>
      <w:r>
        <w:t xml:space="preserve">, </w:t>
      </w:r>
      <w:r w:rsidRPr="00B74DD0">
        <w:rPr>
          <w:i/>
          <w:iCs/>
        </w:rPr>
        <w:t>Palestinian Identity: The Construction of Modern National Consciousness</w:t>
      </w:r>
      <w:r>
        <w:rPr>
          <w:i/>
          <w:iCs/>
        </w:rPr>
        <w:t xml:space="preserve"> </w:t>
      </w:r>
      <w:r>
        <w:t>(Columbia University Press, 1997).</w:t>
      </w:r>
    </w:p>
  </w:footnote>
  <w:footnote w:id="30">
    <w:p w14:paraId="4DA9D13C" w14:textId="2C013EF5" w:rsidR="00463389" w:rsidRPr="009D0C72" w:rsidRDefault="00463389">
      <w:pPr>
        <w:pStyle w:val="FootnoteText"/>
        <w:rPr>
          <w:rFonts w:cs="Times New Roman"/>
        </w:rPr>
      </w:pPr>
      <w:r w:rsidRPr="009D0C72">
        <w:rPr>
          <w:rStyle w:val="FootnoteReference"/>
          <w:rFonts w:cs="Times New Roman"/>
        </w:rPr>
        <w:footnoteRef/>
      </w:r>
      <w:r w:rsidRPr="009D0C72">
        <w:rPr>
          <w:rFonts w:cs="Times New Roman"/>
        </w:rPr>
        <w:t xml:space="preserve"> Edward Said, </w:t>
      </w:r>
      <w:r w:rsidRPr="009D0C72">
        <w:rPr>
          <w:rFonts w:cs="Times New Roman"/>
          <w:i/>
          <w:iCs/>
        </w:rPr>
        <w:t>The Question of Palestine</w:t>
      </w:r>
      <w:r w:rsidRPr="009D0C72">
        <w:rPr>
          <w:rFonts w:cs="Times New Roman"/>
        </w:rPr>
        <w:t>, (Vintage Books, 1980).</w:t>
      </w:r>
    </w:p>
  </w:footnote>
  <w:footnote w:id="31">
    <w:p w14:paraId="377D6F84" w14:textId="5AED6F66" w:rsidR="002D1E54" w:rsidRPr="009D0C72" w:rsidRDefault="002D1E54" w:rsidP="002D1E54">
      <w:pPr>
        <w:pStyle w:val="FootnoteText"/>
        <w:rPr>
          <w:rFonts w:cs="Times New Roman"/>
        </w:rPr>
      </w:pPr>
      <w:r w:rsidRPr="009D0C72">
        <w:rPr>
          <w:rStyle w:val="FootnoteReference"/>
          <w:rFonts w:cs="Times New Roman"/>
        </w:rPr>
        <w:footnoteRef/>
      </w:r>
      <w:r w:rsidRPr="009D0C72">
        <w:rPr>
          <w:rFonts w:cs="Times New Roman"/>
        </w:rPr>
        <w:t xml:space="preserve"> Anne Irfan, </w:t>
      </w:r>
      <w:r w:rsidRPr="009D0C72">
        <w:rPr>
          <w:rFonts w:cs="Times New Roman"/>
          <w:i/>
          <w:iCs/>
        </w:rPr>
        <w:t xml:space="preserve">Refuge and Resistance: Palestinians and the International Refugee System </w:t>
      </w:r>
      <w:r w:rsidRPr="009D0C72">
        <w:rPr>
          <w:rFonts w:cs="Times New Roman"/>
        </w:rPr>
        <w:t>(Columbia University Press, 2023).</w:t>
      </w:r>
    </w:p>
  </w:footnote>
  <w:footnote w:id="32">
    <w:p w14:paraId="6044D81E" w14:textId="77777777"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UN Doc, A/RES/194 (III), ‘Palestine—Progress Report of the United Nations Mediator’, 11 December 1948.</w:t>
      </w:r>
    </w:p>
  </w:footnote>
  <w:footnote w:id="33">
    <w:p w14:paraId="5C8DD4FF" w14:textId="3756410A" w:rsidR="00803DFF" w:rsidRPr="009D0C72" w:rsidRDefault="00803DFF">
      <w:pPr>
        <w:pStyle w:val="FootnoteText"/>
        <w:rPr>
          <w:rFonts w:cs="Times New Roman"/>
        </w:rPr>
      </w:pPr>
      <w:r w:rsidRPr="009D0C72">
        <w:rPr>
          <w:rStyle w:val="FootnoteReference"/>
          <w:rFonts w:cs="Times New Roman"/>
        </w:rPr>
        <w:footnoteRef/>
      </w:r>
      <w:r w:rsidRPr="009D0C72">
        <w:rPr>
          <w:rFonts w:cs="Times New Roman"/>
        </w:rPr>
        <w:t xml:space="preserve"> James Jankowski, </w:t>
      </w:r>
      <w:r w:rsidRPr="009D0C72">
        <w:rPr>
          <w:rFonts w:cs="Times New Roman"/>
          <w:i/>
          <w:iCs/>
        </w:rPr>
        <w:t>Nasser’s Egypt, Arab Nationalism, and the United Arab Republic</w:t>
      </w:r>
      <w:r w:rsidRPr="009D0C72">
        <w:rPr>
          <w:rFonts w:cs="Times New Roman"/>
        </w:rPr>
        <w:t>, (Lynne Rienner Publishers, 2002).</w:t>
      </w:r>
    </w:p>
  </w:footnote>
  <w:footnote w:id="34">
    <w:p w14:paraId="0118BA5E" w14:textId="1C4E4EF5" w:rsidR="003C451E" w:rsidRPr="009D0C72" w:rsidRDefault="003C451E">
      <w:pPr>
        <w:pStyle w:val="FootnoteText"/>
        <w:rPr>
          <w:rFonts w:cs="Times New Roman"/>
          <w:i/>
          <w:iCs/>
        </w:rPr>
      </w:pPr>
      <w:r w:rsidRPr="009D0C72">
        <w:rPr>
          <w:rStyle w:val="FootnoteReference"/>
          <w:rFonts w:cs="Times New Roman"/>
        </w:rPr>
        <w:footnoteRef/>
      </w:r>
      <w:r w:rsidRPr="009D0C72">
        <w:rPr>
          <w:rFonts w:cs="Times New Roman"/>
        </w:rPr>
        <w:t xml:space="preserve"> Said, </w:t>
      </w:r>
      <w:r w:rsidRPr="009D0C72">
        <w:rPr>
          <w:rFonts w:cs="Times New Roman"/>
          <w:i/>
          <w:iCs/>
        </w:rPr>
        <w:t>The Question of Palestine.</w:t>
      </w:r>
    </w:p>
  </w:footnote>
  <w:footnote w:id="35">
    <w:p w14:paraId="5C3A786E" w14:textId="77777777" w:rsidR="00D266F4" w:rsidRPr="009D0C72" w:rsidRDefault="00D266F4" w:rsidP="00D266F4">
      <w:pPr>
        <w:pStyle w:val="FootnoteText"/>
        <w:rPr>
          <w:rFonts w:cs="Times New Roman"/>
        </w:rPr>
      </w:pPr>
      <w:r w:rsidRPr="009D0C72">
        <w:rPr>
          <w:rStyle w:val="FootnoteReference"/>
          <w:rFonts w:cs="Times New Roman"/>
        </w:rPr>
        <w:footnoteRef/>
      </w:r>
      <w:r w:rsidRPr="009D0C72">
        <w:rPr>
          <w:rFonts w:cs="Times New Roman"/>
        </w:rPr>
        <w:t xml:space="preserve"> UNARMS, S-0164-0002-08-01, ‘PM/3369 Statement of Henry R. Labouisse, Director, UNRWA for Palestine Refugees before the Special Political Committee’, 11 February 1957.</w:t>
      </w:r>
    </w:p>
  </w:footnote>
  <w:footnote w:id="36">
    <w:p w14:paraId="2EB9FF47" w14:textId="3C9EF224" w:rsidR="00B85B13" w:rsidRPr="009D0C72" w:rsidRDefault="00B85B13" w:rsidP="0000690B">
      <w:pPr>
        <w:pStyle w:val="FootnoteText"/>
        <w:rPr>
          <w:rFonts w:cs="Times New Roman"/>
        </w:rPr>
      </w:pPr>
      <w:r w:rsidRPr="009D0C72">
        <w:rPr>
          <w:rStyle w:val="FootnoteReference"/>
          <w:rFonts w:cs="Times New Roman"/>
        </w:rPr>
        <w:footnoteRef/>
      </w:r>
      <w:r w:rsidRPr="009D0C72">
        <w:rPr>
          <w:rFonts w:cs="Times New Roman"/>
        </w:rPr>
        <w:t xml:space="preserve"> Anne Irfan, </w:t>
      </w:r>
      <w:r w:rsidR="0000690B" w:rsidRPr="009D0C72">
        <w:rPr>
          <w:rFonts w:cs="Times New Roman"/>
        </w:rPr>
        <w:t xml:space="preserve">‘Petitioning for Palestine: refugee appeals to international authorities’, </w:t>
      </w:r>
      <w:r w:rsidR="0000690B" w:rsidRPr="009D0C72">
        <w:rPr>
          <w:rFonts w:cs="Times New Roman"/>
          <w:i/>
          <w:iCs/>
        </w:rPr>
        <w:t xml:space="preserve">Contemporary Levant, </w:t>
      </w:r>
      <w:r w:rsidR="0000690B" w:rsidRPr="009D0C72">
        <w:rPr>
          <w:rFonts w:cs="Times New Roman"/>
        </w:rPr>
        <w:t>Vol. 5:2 (2020), 79-96.</w:t>
      </w:r>
    </w:p>
  </w:footnote>
  <w:footnote w:id="37">
    <w:p w14:paraId="0C9723E1" w14:textId="77777777" w:rsidR="00CE4820" w:rsidRPr="009D0C72" w:rsidRDefault="00CE4820" w:rsidP="00CE4820">
      <w:pPr>
        <w:pStyle w:val="FootnoteText"/>
        <w:rPr>
          <w:rFonts w:cs="Times New Roman"/>
        </w:rPr>
      </w:pPr>
      <w:r w:rsidRPr="009D0C72">
        <w:rPr>
          <w:rStyle w:val="FootnoteReference"/>
          <w:rFonts w:cs="Times New Roman"/>
        </w:rPr>
        <w:footnoteRef/>
      </w:r>
      <w:r w:rsidRPr="009D0C72">
        <w:rPr>
          <w:rFonts w:cs="Times New Roman"/>
        </w:rPr>
        <w:t xml:space="preserve"> ‘UN Reports on the Gaza Strip: 275 refugees may have died in fighting’, </w:t>
      </w:r>
      <w:r w:rsidRPr="009D0C72">
        <w:rPr>
          <w:rFonts w:cs="Times New Roman"/>
          <w:i/>
          <w:iCs/>
        </w:rPr>
        <w:t xml:space="preserve">The Manchester Guardian, </w:t>
      </w:r>
      <w:r w:rsidRPr="009D0C72">
        <w:rPr>
          <w:rFonts w:cs="Times New Roman"/>
        </w:rPr>
        <w:t>15 January 1957.</w:t>
      </w:r>
    </w:p>
  </w:footnote>
  <w:footnote w:id="38">
    <w:p w14:paraId="1D48266A" w14:textId="77777777" w:rsidR="00CE4820" w:rsidRPr="009D0C72" w:rsidRDefault="00CE4820" w:rsidP="00CE4820">
      <w:pPr>
        <w:pStyle w:val="FootnoteText"/>
        <w:rPr>
          <w:rFonts w:cs="Times New Roman"/>
        </w:rPr>
      </w:pPr>
      <w:r w:rsidRPr="009D0C72">
        <w:rPr>
          <w:rStyle w:val="FootnoteReference"/>
          <w:rFonts w:cs="Times New Roman"/>
        </w:rPr>
        <w:footnoteRef/>
      </w:r>
      <w:r w:rsidRPr="009D0C72">
        <w:rPr>
          <w:rFonts w:cs="Times New Roman"/>
        </w:rPr>
        <w:t xml:space="preserve"> UN Archive (Henceforth, UNARMS), S-0316-0010-01, ‘UN Press Release: Dr Bunche Leaves Gaza for Jerusalem, EMF/</w:t>
      </w:r>
    </w:p>
    <w:p w14:paraId="73F66268" w14:textId="77777777" w:rsidR="00CE4820" w:rsidRPr="009D0C72" w:rsidRDefault="00CE4820" w:rsidP="00CE4820">
      <w:pPr>
        <w:pStyle w:val="FootnoteText"/>
        <w:rPr>
          <w:rFonts w:cs="Times New Roman"/>
        </w:rPr>
      </w:pPr>
      <w:r w:rsidRPr="009D0C72">
        <w:rPr>
          <w:rFonts w:cs="Times New Roman"/>
        </w:rPr>
        <w:t>289’, 29 April 1959.</w:t>
      </w:r>
    </w:p>
  </w:footnote>
  <w:footnote w:id="39">
    <w:p w14:paraId="4E2A2EEF" w14:textId="77777777" w:rsidR="00CE4820" w:rsidRPr="009D0C72" w:rsidRDefault="00CE4820" w:rsidP="00CE4820">
      <w:pPr>
        <w:pStyle w:val="FootnoteText"/>
        <w:rPr>
          <w:rFonts w:cs="Times New Roman"/>
        </w:rPr>
      </w:pPr>
      <w:r w:rsidRPr="009D0C72">
        <w:rPr>
          <w:rStyle w:val="FootnoteReference"/>
          <w:rFonts w:cs="Times New Roman"/>
        </w:rPr>
        <w:footnoteRef/>
      </w:r>
      <w:r w:rsidRPr="009D0C72">
        <w:rPr>
          <w:rFonts w:cs="Times New Roman"/>
        </w:rPr>
        <w:t xml:space="preserve"> R. Eghbariah, ‘Toward Nakba as Legal Concept’, </w:t>
      </w:r>
      <w:r w:rsidRPr="009D0C72">
        <w:rPr>
          <w:rFonts w:cs="Times New Roman"/>
          <w:i/>
          <w:iCs/>
        </w:rPr>
        <w:t xml:space="preserve">Columbia Law Review, </w:t>
      </w:r>
      <w:r w:rsidRPr="009D0C72">
        <w:rPr>
          <w:rFonts w:cs="Times New Roman"/>
        </w:rPr>
        <w:t>Vol. 124:4 (2024).</w:t>
      </w:r>
    </w:p>
  </w:footnote>
  <w:footnote w:id="40">
    <w:p w14:paraId="60D18D4B" w14:textId="77777777" w:rsidR="0059572F" w:rsidRPr="009D0C72" w:rsidRDefault="0059572F" w:rsidP="0059572F">
      <w:pPr>
        <w:pStyle w:val="FootnoteText"/>
        <w:rPr>
          <w:rFonts w:cs="Times New Roman"/>
        </w:rPr>
      </w:pPr>
      <w:r w:rsidRPr="009D0C72">
        <w:rPr>
          <w:rStyle w:val="FootnoteReference"/>
          <w:rFonts w:cs="Times New Roman"/>
        </w:rPr>
        <w:footnoteRef/>
      </w:r>
      <w:r w:rsidRPr="009D0C72">
        <w:rPr>
          <w:rFonts w:cs="Times New Roman"/>
        </w:rPr>
        <w:t xml:space="preserve"> ‘UNITED NATIONS INQUIRY ON GAZA: Mr Ben-Gurion's hint’, </w:t>
      </w:r>
      <w:r w:rsidRPr="009D0C72">
        <w:rPr>
          <w:rFonts w:cs="Times New Roman"/>
          <w:i/>
          <w:iCs/>
        </w:rPr>
        <w:t>The Manchester Guardian,</w:t>
      </w:r>
      <w:r w:rsidRPr="009D0C72">
        <w:rPr>
          <w:rFonts w:cs="Times New Roman"/>
        </w:rPr>
        <w:t xml:space="preserve"> 26 February 1957. </w:t>
      </w:r>
    </w:p>
  </w:footnote>
  <w:footnote w:id="41">
    <w:p w14:paraId="2224A81D" w14:textId="32E137FE"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‘A general view of the Kibbutz Einhashlosha’, 15 March 1957, Alamy Image ID: 2NGBF0J</w:t>
      </w:r>
    </w:p>
  </w:footnote>
  <w:footnote w:id="42">
    <w:p w14:paraId="735225B1" w14:textId="77777777"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UNARMS, S-0164-0002-08-01, ‘Egyptian-Israeli Mixed Armistice Commission letter from Brown and Regt to Col. Leary’, 14 February 1957.</w:t>
      </w:r>
    </w:p>
  </w:footnote>
  <w:footnote w:id="43">
    <w:p w14:paraId="317CEA3E" w14:textId="77777777"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UNARMS, S-0164-0002-08, ‘Leary cable to Cordier, Jerusalem, UNSCO 220’, 10 February 1957.</w:t>
      </w:r>
    </w:p>
  </w:footnote>
  <w:footnote w:id="44">
    <w:p w14:paraId="20331894" w14:textId="77777777"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UNARMS, S-0164-0002-08-01, ‘Egyptian-Israeli Mixed Armistice Commission letter from Brown to Col. Leary’, 21 February 1957.</w:t>
      </w:r>
    </w:p>
  </w:footnote>
  <w:footnote w:id="45">
    <w:p w14:paraId="1D0E3AC7" w14:textId="77777777" w:rsidR="000B5677" w:rsidRPr="009D0C72" w:rsidRDefault="000B5677" w:rsidP="000B5677">
      <w:pPr>
        <w:pStyle w:val="FootnoteText"/>
        <w:rPr>
          <w:rFonts w:cs="Times New Roman"/>
        </w:rPr>
      </w:pPr>
      <w:r w:rsidRPr="009D0C72">
        <w:rPr>
          <w:rStyle w:val="FootnoteReference"/>
          <w:rFonts w:cs="Times New Roman"/>
        </w:rPr>
        <w:footnoteRef/>
      </w:r>
      <w:r w:rsidRPr="009D0C72">
        <w:rPr>
          <w:rFonts w:cs="Times New Roman"/>
        </w:rPr>
        <w:t xml:space="preserve"> UN Doc, A/PV.667, 4 March 1957.</w:t>
      </w:r>
    </w:p>
  </w:footnote>
  <w:footnote w:id="46">
    <w:p w14:paraId="7AB88A2F" w14:textId="3809B241" w:rsidR="00AE4BAE" w:rsidRDefault="00AE4BAE">
      <w:pPr>
        <w:pStyle w:val="FootnoteText"/>
      </w:pPr>
      <w:r>
        <w:rPr>
          <w:rStyle w:val="FootnoteReference"/>
        </w:rPr>
        <w:footnoteRef/>
      </w:r>
      <w:r>
        <w:t xml:space="preserve"> UNARMS, S-0313-0004-05, ‘Note No. 1479, Note to Correspondents, United Nations Review interview with Fawzi’, 30 November 1956</w:t>
      </w:r>
      <w:r w:rsidR="00943C37">
        <w:t>, p. 2.</w:t>
      </w:r>
      <w:r>
        <w:t xml:space="preserve"> </w:t>
      </w:r>
    </w:p>
  </w:footnote>
  <w:footnote w:id="47">
    <w:p w14:paraId="0F173904" w14:textId="77777777"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UN Doc, A/PV.667, 4 March 1957, para. 28.</w:t>
      </w:r>
    </w:p>
  </w:footnote>
  <w:footnote w:id="48">
    <w:p w14:paraId="64586FE3" w14:textId="77777777" w:rsidR="00931863" w:rsidRPr="009D0C72" w:rsidRDefault="00931863" w:rsidP="00931863">
      <w:pPr>
        <w:pStyle w:val="FootnoteText"/>
        <w:rPr>
          <w:rFonts w:cs="Times New Roman"/>
        </w:rPr>
      </w:pPr>
      <w:r w:rsidRPr="009D0C72">
        <w:rPr>
          <w:rStyle w:val="FootnoteReference"/>
          <w:rFonts w:cs="Times New Roman"/>
        </w:rPr>
        <w:footnoteRef/>
      </w:r>
      <w:r w:rsidRPr="009D0C72">
        <w:rPr>
          <w:rFonts w:cs="Times New Roman"/>
        </w:rPr>
        <w:t xml:space="preserve"> United Stated Delegation to the General Assembly, press release 2640, 8 March 1957.</w:t>
      </w:r>
    </w:p>
  </w:footnote>
  <w:footnote w:id="49">
    <w:p w14:paraId="6D0B3FBA" w14:textId="77777777"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UN Doc, A/PV.659, 22 February 1957.</w:t>
      </w:r>
    </w:p>
  </w:footnote>
  <w:footnote w:id="50">
    <w:p w14:paraId="53ACA67D" w14:textId="789E79F3" w:rsidR="00CB5B55" w:rsidRPr="009D0C72" w:rsidRDefault="00CB5B55">
      <w:pPr>
        <w:pStyle w:val="FootnoteText"/>
        <w:rPr>
          <w:rFonts w:cs="Times New Roman"/>
        </w:rPr>
      </w:pPr>
      <w:r w:rsidRPr="009D0C72">
        <w:rPr>
          <w:rStyle w:val="FootnoteReference"/>
          <w:rFonts w:cs="Times New Roman"/>
        </w:rPr>
        <w:footnoteRef/>
      </w:r>
      <w:r w:rsidRPr="009D0C72">
        <w:rPr>
          <w:rFonts w:cs="Times New Roman"/>
        </w:rPr>
        <w:t xml:space="preserve"> </w:t>
      </w:r>
      <w:r w:rsidR="00604534" w:rsidRPr="009D0C72">
        <w:rPr>
          <w:rFonts w:cs="Times New Roman"/>
        </w:rPr>
        <w:t>UNARMS, S-0164-0002-08, ‘PM/3369 Statement of Henry R. Labouisse, Director, UNRWA for Palestine Refugees before the Special Political Committee’, 11 February 1957.</w:t>
      </w:r>
    </w:p>
  </w:footnote>
  <w:footnote w:id="51">
    <w:p w14:paraId="439AFB4D" w14:textId="7E7A686E" w:rsidR="00451F02" w:rsidRDefault="00451F02">
      <w:pPr>
        <w:pStyle w:val="FootnoteText"/>
      </w:pPr>
      <w:r>
        <w:rPr>
          <w:rStyle w:val="FootnoteReference"/>
        </w:rPr>
        <w:footnoteRef/>
      </w:r>
      <w:r w:rsidR="00CD7BF6">
        <w:rPr>
          <w:rFonts w:cs="Times New Roman"/>
        </w:rPr>
        <w:t xml:space="preserve"> Princeton</w:t>
      </w:r>
      <w:r w:rsidRPr="009D0C72">
        <w:rPr>
          <w:rFonts w:cs="Times New Roman"/>
        </w:rPr>
        <w:t>, Henry Labouisse Papers, Box 1</w:t>
      </w:r>
      <w:r>
        <w:rPr>
          <w:rFonts w:cs="Times New Roman"/>
        </w:rPr>
        <w:t>4</w:t>
      </w:r>
      <w:r w:rsidRPr="009D0C72">
        <w:rPr>
          <w:rFonts w:cs="Times New Roman"/>
        </w:rPr>
        <w:t xml:space="preserve">, Folder </w:t>
      </w:r>
      <w:r>
        <w:rPr>
          <w:rFonts w:cs="Times New Roman"/>
        </w:rPr>
        <w:t>11</w:t>
      </w:r>
      <w:r w:rsidRPr="009D0C72">
        <w:rPr>
          <w:rFonts w:cs="Times New Roman"/>
        </w:rPr>
        <w:t xml:space="preserve">, ‘Speech for </w:t>
      </w:r>
      <w:r>
        <w:rPr>
          <w:rFonts w:cs="Times New Roman"/>
        </w:rPr>
        <w:t>Service Bureau for Women’s Organization, Hartford</w:t>
      </w:r>
      <w:r w:rsidRPr="009D0C72">
        <w:rPr>
          <w:rFonts w:cs="Times New Roman"/>
        </w:rPr>
        <w:t xml:space="preserve">– cue cards’, </w:t>
      </w:r>
      <w:r>
        <w:rPr>
          <w:rFonts w:cs="Times New Roman"/>
        </w:rPr>
        <w:t>26 March 1959.</w:t>
      </w:r>
      <w:r w:rsidR="003F5CD9">
        <w:rPr>
          <w:rFonts w:cs="Times New Roman"/>
        </w:rPr>
        <w:t xml:space="preserve"> </w:t>
      </w:r>
      <w:r w:rsidR="00F974B6">
        <w:rPr>
          <w:rFonts w:cs="Times New Roman"/>
        </w:rPr>
        <w:t>[</w:t>
      </w:r>
      <w:r w:rsidR="003F5CD9">
        <w:rPr>
          <w:rFonts w:cs="Times New Roman"/>
        </w:rPr>
        <w:t>emphasis as in source</w:t>
      </w:r>
      <w:r w:rsidR="00F974B6">
        <w:rPr>
          <w:rFonts w:cs="Times New Roman"/>
        </w:rPr>
        <w:t>].</w:t>
      </w:r>
    </w:p>
  </w:footnote>
  <w:footnote w:id="52">
    <w:p w14:paraId="44105566" w14:textId="0296CA5D" w:rsidR="002D12E7" w:rsidRPr="009D0C72" w:rsidRDefault="002D12E7" w:rsidP="002D12E7">
      <w:pPr>
        <w:pStyle w:val="FootnoteText"/>
        <w:rPr>
          <w:rFonts w:cs="Times New Roman"/>
        </w:rPr>
      </w:pPr>
      <w:r w:rsidRPr="009D0C72">
        <w:rPr>
          <w:rStyle w:val="FootnoteReference"/>
          <w:rFonts w:cs="Times New Roman"/>
        </w:rPr>
        <w:footnoteRef/>
      </w:r>
      <w:r w:rsidRPr="009D0C72">
        <w:rPr>
          <w:rFonts w:cs="Times New Roman"/>
        </w:rPr>
        <w:t xml:space="preserve"> Princeton, Labouisse Papers, Box 15, Folder 5, ‘Speech for Council of Foreign Affairs – cue cards’, 17 November 1955.</w:t>
      </w:r>
    </w:p>
  </w:footnote>
  <w:footnote w:id="53">
    <w:p w14:paraId="61C8AF30" w14:textId="6DDDF719" w:rsidR="005D00C5" w:rsidRDefault="005D00C5">
      <w:pPr>
        <w:pStyle w:val="FootnoteText"/>
      </w:pPr>
      <w:r>
        <w:rPr>
          <w:rStyle w:val="FootnoteReference"/>
        </w:rPr>
        <w:footnoteRef/>
      </w:r>
      <w:r>
        <w:t xml:space="preserve"> </w:t>
      </w:r>
      <w:r w:rsidR="00451F02" w:rsidRPr="009D0C72">
        <w:rPr>
          <w:rFonts w:cs="Times New Roman"/>
        </w:rPr>
        <w:t>Princeton, Labouisse Papers, Box 1</w:t>
      </w:r>
      <w:r w:rsidR="00451F02">
        <w:rPr>
          <w:rFonts w:cs="Times New Roman"/>
        </w:rPr>
        <w:t>4</w:t>
      </w:r>
      <w:r w:rsidR="00451F02" w:rsidRPr="009D0C72">
        <w:rPr>
          <w:rFonts w:cs="Times New Roman"/>
        </w:rPr>
        <w:t xml:space="preserve">, Folder </w:t>
      </w:r>
      <w:r w:rsidR="00451F02">
        <w:rPr>
          <w:rFonts w:cs="Times New Roman"/>
        </w:rPr>
        <w:t>11</w:t>
      </w:r>
      <w:r w:rsidR="00451F02" w:rsidRPr="009D0C72">
        <w:rPr>
          <w:rFonts w:cs="Times New Roman"/>
        </w:rPr>
        <w:t xml:space="preserve">, ‘Speech for </w:t>
      </w:r>
      <w:r w:rsidR="00451F02">
        <w:rPr>
          <w:rFonts w:cs="Times New Roman"/>
        </w:rPr>
        <w:t xml:space="preserve">Cosmopolitan Club </w:t>
      </w:r>
      <w:r w:rsidR="00451F02" w:rsidRPr="009D0C72">
        <w:rPr>
          <w:rFonts w:cs="Times New Roman"/>
        </w:rPr>
        <w:t xml:space="preserve">– cue cards’, </w:t>
      </w:r>
      <w:r w:rsidR="00451F02">
        <w:rPr>
          <w:rFonts w:cs="Times New Roman"/>
        </w:rPr>
        <w:t>3 December 1958.</w:t>
      </w:r>
    </w:p>
  </w:footnote>
  <w:footnote w:id="54">
    <w:p w14:paraId="4B8E15C8" w14:textId="775D6574" w:rsidR="002D12E7" w:rsidRPr="009D0C72" w:rsidRDefault="002D12E7" w:rsidP="002D12E7">
      <w:pPr>
        <w:pStyle w:val="FootnoteText"/>
        <w:rPr>
          <w:rFonts w:cs="Times New Roman"/>
        </w:rPr>
      </w:pPr>
      <w:r w:rsidRPr="009D0C72">
        <w:rPr>
          <w:rStyle w:val="FootnoteReference"/>
          <w:rFonts w:cs="Times New Roman"/>
        </w:rPr>
        <w:footnoteRef/>
      </w:r>
      <w:r w:rsidRPr="009D0C72">
        <w:rPr>
          <w:rFonts w:cs="Times New Roman"/>
        </w:rPr>
        <w:t xml:space="preserve"> Princeton, Labouisse Papers, Box 1</w:t>
      </w:r>
      <w:r>
        <w:rPr>
          <w:rFonts w:cs="Times New Roman"/>
        </w:rPr>
        <w:t>4</w:t>
      </w:r>
      <w:r w:rsidRPr="009D0C72">
        <w:rPr>
          <w:rFonts w:cs="Times New Roman"/>
        </w:rPr>
        <w:t xml:space="preserve">, Folder </w:t>
      </w:r>
      <w:r>
        <w:rPr>
          <w:rFonts w:cs="Times New Roman"/>
        </w:rPr>
        <w:t>11</w:t>
      </w:r>
      <w:r w:rsidRPr="009D0C72">
        <w:rPr>
          <w:rFonts w:cs="Times New Roman"/>
        </w:rPr>
        <w:t xml:space="preserve">, ‘Speech for </w:t>
      </w:r>
      <w:r>
        <w:rPr>
          <w:rFonts w:cs="Times New Roman"/>
        </w:rPr>
        <w:t xml:space="preserve">Cosmopolitan Club </w:t>
      </w:r>
      <w:r w:rsidRPr="009D0C72">
        <w:rPr>
          <w:rFonts w:cs="Times New Roman"/>
        </w:rPr>
        <w:t xml:space="preserve">– cue cards’, </w:t>
      </w:r>
      <w:r>
        <w:rPr>
          <w:rFonts w:cs="Times New Roman"/>
        </w:rPr>
        <w:t>3 December 1958.</w:t>
      </w:r>
    </w:p>
  </w:footnote>
  <w:footnote w:id="55">
    <w:p w14:paraId="4CB6FADE" w14:textId="706902F5" w:rsidR="00FB20AA" w:rsidRPr="009D0C72" w:rsidRDefault="00FB20AA">
      <w:pPr>
        <w:pStyle w:val="FootnoteText"/>
        <w:rPr>
          <w:rFonts w:cs="Times New Roman"/>
        </w:rPr>
      </w:pPr>
      <w:r w:rsidRPr="009D0C72">
        <w:rPr>
          <w:rStyle w:val="FootnoteReference"/>
          <w:rFonts w:cs="Times New Roman"/>
        </w:rPr>
        <w:footnoteRef/>
      </w:r>
      <w:r w:rsidRPr="009D0C72">
        <w:rPr>
          <w:rFonts w:cs="Times New Roman"/>
        </w:rPr>
        <w:t xml:space="preserve"> The ‘UN family’ refers to the multiple agencies in the field in the Middle East during this period: UNTSO, UNRWA, and UNEF I (as well as UNOGIL in 1958).</w:t>
      </w:r>
      <w:r w:rsidR="00FD2864">
        <w:rPr>
          <w:rFonts w:cs="Times New Roman"/>
        </w:rPr>
        <w:t xml:space="preserve"> </w:t>
      </w:r>
      <w:r w:rsidR="00FD2864" w:rsidRPr="00FD2864">
        <w:rPr>
          <w:rFonts w:cs="Times New Roman"/>
        </w:rPr>
        <w:t xml:space="preserve">Many of the same field staff that had been present in Gaza pre-Suez were employed in the UNEF </w:t>
      </w:r>
      <w:r w:rsidR="00FD2864">
        <w:rPr>
          <w:rFonts w:cs="Times New Roman"/>
        </w:rPr>
        <w:t>mission occupation (</w:t>
      </w:r>
      <w:r w:rsidR="00FD2864" w:rsidRPr="00FD2864">
        <w:rPr>
          <w:rFonts w:cs="Times New Roman"/>
        </w:rPr>
        <w:t xml:space="preserve">several UNRWA international officials joined the peacekeeping mission when it was established and UNTSO </w:t>
      </w:r>
      <w:r w:rsidR="00FD2864">
        <w:rPr>
          <w:rFonts w:cs="Times New Roman"/>
        </w:rPr>
        <w:t>was</w:t>
      </w:r>
      <w:r w:rsidR="00FD2864" w:rsidRPr="00FD2864">
        <w:rPr>
          <w:rFonts w:cs="Times New Roman"/>
        </w:rPr>
        <w:t xml:space="preserve"> absorbed into the armed agency to limit organisational waste</w:t>
      </w:r>
      <w:r w:rsidR="00FD2864">
        <w:rPr>
          <w:rFonts w:cs="Times New Roman"/>
        </w:rPr>
        <w:t>)</w:t>
      </w:r>
      <w:r w:rsidR="00FD2864" w:rsidRPr="00FD2864">
        <w:rPr>
          <w:rFonts w:cs="Times New Roman"/>
        </w:rPr>
        <w:t>.</w:t>
      </w:r>
    </w:p>
  </w:footnote>
  <w:footnote w:id="56">
    <w:p w14:paraId="58D3E7EE" w14:textId="62CE3275" w:rsidR="00D87E49" w:rsidRPr="009D0C72" w:rsidRDefault="00D87E49">
      <w:pPr>
        <w:pStyle w:val="FootnoteText"/>
        <w:rPr>
          <w:rFonts w:cs="Times New Roman"/>
        </w:rPr>
      </w:pPr>
      <w:r w:rsidRPr="009D0C72">
        <w:rPr>
          <w:rStyle w:val="FootnoteReference"/>
          <w:rFonts w:cs="Times New Roman"/>
        </w:rPr>
        <w:footnoteRef/>
      </w:r>
      <w:r w:rsidRPr="009D0C72">
        <w:rPr>
          <w:rFonts w:cs="Times New Roman"/>
        </w:rPr>
        <w:t xml:space="preserve"> Of 9000 UNRWA personnel, 150 were ‘non-Arabs’ and mostly in leadership positions.</w:t>
      </w:r>
    </w:p>
  </w:footnote>
  <w:footnote w:id="57">
    <w:p w14:paraId="3E1DBA1D" w14:textId="4FCECF52" w:rsidR="00CB5B55" w:rsidRPr="009D0C72" w:rsidRDefault="00CB5B55">
      <w:pPr>
        <w:pStyle w:val="FootnoteText"/>
        <w:rPr>
          <w:rFonts w:cs="Times New Roman"/>
        </w:rPr>
      </w:pPr>
      <w:r w:rsidRPr="009D0C72">
        <w:rPr>
          <w:rStyle w:val="FootnoteReference"/>
          <w:rFonts w:cs="Times New Roman"/>
        </w:rPr>
        <w:footnoteRef/>
      </w:r>
      <w:r w:rsidRPr="009D0C72">
        <w:rPr>
          <w:rFonts w:cs="Times New Roman"/>
        </w:rPr>
        <w:t xml:space="preserve"> UNARMS, S-0164-0002-08, ‘PM/3369 Statement of Henry R. Labouisse</w:t>
      </w:r>
      <w:r w:rsidR="002F587C" w:rsidRPr="009D0C72">
        <w:rPr>
          <w:rFonts w:cs="Times New Roman"/>
        </w:rPr>
        <w:t>’</w:t>
      </w:r>
      <w:r w:rsidRPr="009D0C72">
        <w:rPr>
          <w:rFonts w:cs="Times New Roman"/>
        </w:rPr>
        <w:t>, 11 February 1957.</w:t>
      </w:r>
      <w:r w:rsidR="005F367A" w:rsidRPr="009D0C72">
        <w:rPr>
          <w:rFonts w:cs="Times New Roman"/>
        </w:rPr>
        <w:t xml:space="preserve"> </w:t>
      </w:r>
    </w:p>
  </w:footnote>
  <w:footnote w:id="58">
    <w:p w14:paraId="22FB89C7" w14:textId="550A0F25" w:rsidR="004A3D19" w:rsidRPr="009D0C72" w:rsidRDefault="004A3D19">
      <w:pPr>
        <w:pStyle w:val="FootnoteText"/>
        <w:rPr>
          <w:rFonts w:cs="Times New Roman"/>
        </w:rPr>
      </w:pPr>
      <w:r w:rsidRPr="009D0C72">
        <w:rPr>
          <w:rStyle w:val="FootnoteReference"/>
          <w:rFonts w:cs="Times New Roman"/>
        </w:rPr>
        <w:footnoteRef/>
      </w:r>
      <w:r w:rsidRPr="009D0C72">
        <w:rPr>
          <w:rFonts w:cs="Times New Roman"/>
        </w:rPr>
        <w:t xml:space="preserve"> Princeton, Labouisse Papers, Box 15, Folder 5, ‘Speech before Council on Foreign Relations’, 17 November 1955. [emphasis in original text].</w:t>
      </w:r>
    </w:p>
  </w:footnote>
  <w:footnote w:id="59">
    <w:p w14:paraId="6B485C39" w14:textId="2FD64479" w:rsidR="00E4061D" w:rsidRPr="009D0C72" w:rsidRDefault="00E4061D">
      <w:pPr>
        <w:pStyle w:val="FootnoteText"/>
        <w:rPr>
          <w:rFonts w:cs="Times New Roman"/>
        </w:rPr>
      </w:pPr>
      <w:r w:rsidRPr="009D0C72">
        <w:rPr>
          <w:rStyle w:val="FootnoteReference"/>
          <w:rFonts w:cs="Times New Roman"/>
        </w:rPr>
        <w:footnoteRef/>
      </w:r>
      <w:r w:rsidRPr="009D0C72">
        <w:rPr>
          <w:rFonts w:cs="Times New Roman"/>
        </w:rPr>
        <w:t xml:space="preserve"> Ibid. </w:t>
      </w:r>
    </w:p>
  </w:footnote>
  <w:footnote w:id="60">
    <w:p w14:paraId="29F8343A" w14:textId="02FD55FC" w:rsidR="004A3D19" w:rsidRPr="009D0C72" w:rsidRDefault="004A3D19">
      <w:pPr>
        <w:pStyle w:val="FootnoteText"/>
        <w:rPr>
          <w:rFonts w:cs="Times New Roman"/>
        </w:rPr>
      </w:pPr>
      <w:r w:rsidRPr="009D0C72">
        <w:rPr>
          <w:rStyle w:val="FootnoteReference"/>
          <w:rFonts w:cs="Times New Roman"/>
        </w:rPr>
        <w:footnoteRef/>
      </w:r>
      <w:r w:rsidRPr="009D0C72">
        <w:rPr>
          <w:rFonts w:cs="Times New Roman"/>
        </w:rPr>
        <w:t xml:space="preserve"> Ibid.</w:t>
      </w:r>
    </w:p>
  </w:footnote>
  <w:footnote w:id="61">
    <w:p w14:paraId="0F797C66" w14:textId="6A036CE4" w:rsidR="007E76BE" w:rsidRPr="009D0C72" w:rsidRDefault="007E76BE">
      <w:pPr>
        <w:pStyle w:val="FootnoteText"/>
        <w:rPr>
          <w:rFonts w:cs="Times New Roman"/>
        </w:rPr>
      </w:pPr>
      <w:r w:rsidRPr="009D0C72">
        <w:rPr>
          <w:rStyle w:val="FootnoteReference"/>
          <w:rFonts w:cs="Times New Roman"/>
        </w:rPr>
        <w:footnoteRef/>
      </w:r>
      <w:r w:rsidRPr="009D0C72">
        <w:rPr>
          <w:rFonts w:cs="Times New Roman"/>
        </w:rPr>
        <w:t xml:space="preserve"> For more on the racist and colonial history of the term ‘fanatic’, see: Mark Condos, ‘</w:t>
      </w:r>
      <w:r w:rsidR="009C7E96" w:rsidRPr="009D0C72">
        <w:rPr>
          <w:rFonts w:cs="Times New Roman"/>
        </w:rPr>
        <w:t xml:space="preserve">“‘Fanaticism’ and the Politics of Resistance along the North-West Frontier of British India.” </w:t>
      </w:r>
      <w:r w:rsidR="009C7E96" w:rsidRPr="009D0C72">
        <w:rPr>
          <w:rFonts w:cs="Times New Roman"/>
          <w:i/>
          <w:iCs/>
        </w:rPr>
        <w:t xml:space="preserve">Comparative Studies in Society and History, </w:t>
      </w:r>
      <w:r w:rsidR="009C7E96" w:rsidRPr="009D0C72">
        <w:rPr>
          <w:rFonts w:cs="Times New Roman"/>
        </w:rPr>
        <w:t>Vol. 58: 3 (2016), pp. 717–45.</w:t>
      </w:r>
    </w:p>
  </w:footnote>
  <w:footnote w:id="62">
    <w:p w14:paraId="58AEDEEE" w14:textId="761889C9" w:rsidR="00BF38F8" w:rsidRPr="009D0C72" w:rsidRDefault="00BF38F8">
      <w:pPr>
        <w:pStyle w:val="FootnoteText"/>
        <w:rPr>
          <w:rFonts w:cs="Times New Roman"/>
        </w:rPr>
      </w:pPr>
      <w:r w:rsidRPr="009D0C72">
        <w:rPr>
          <w:rStyle w:val="FootnoteReference"/>
          <w:rFonts w:cs="Times New Roman"/>
        </w:rPr>
        <w:footnoteRef/>
      </w:r>
      <w:r w:rsidRPr="009D0C72">
        <w:rPr>
          <w:rFonts w:cs="Times New Roman"/>
        </w:rPr>
        <w:t xml:space="preserve"> ‘Speech before Council on Foreign Relations’, [emphasis in original text].</w:t>
      </w:r>
    </w:p>
  </w:footnote>
  <w:footnote w:id="63">
    <w:p w14:paraId="49ECCED3" w14:textId="28DAB666" w:rsidR="00BB10D5" w:rsidRDefault="00BB10D5">
      <w:pPr>
        <w:pStyle w:val="FootnoteText"/>
      </w:pPr>
      <w:r>
        <w:rPr>
          <w:rStyle w:val="FootnoteReference"/>
        </w:rPr>
        <w:footnoteRef/>
      </w:r>
      <w:r>
        <w:t xml:space="preserve"> </w:t>
      </w:r>
      <w:r w:rsidR="00863827">
        <w:t>UNARMS, S-0316-0003-24, ‘Incoming Code Cable from Burns to Bunche</w:t>
      </w:r>
      <w:r w:rsidR="00921764">
        <w:t>’, 1 June 1959.</w:t>
      </w:r>
    </w:p>
  </w:footnote>
  <w:footnote w:id="64">
    <w:p w14:paraId="21CF4944" w14:textId="36C8A831" w:rsidR="00863827" w:rsidRDefault="00863827">
      <w:pPr>
        <w:pStyle w:val="FootnoteText"/>
      </w:pPr>
      <w:r>
        <w:rPr>
          <w:rStyle w:val="FootnoteReference"/>
        </w:rPr>
        <w:footnoteRef/>
      </w:r>
      <w:r>
        <w:t xml:space="preserve"> UNARMS, S-0316-0003-24, ‘Handwritten note from Ralph Bunch’, undated.</w:t>
      </w:r>
    </w:p>
  </w:footnote>
  <w:footnote w:id="65">
    <w:p w14:paraId="79A76D51" w14:textId="2C557CE8" w:rsidR="00CA1E58" w:rsidRDefault="00CA1E58">
      <w:pPr>
        <w:pStyle w:val="FootnoteText"/>
      </w:pPr>
      <w:r>
        <w:rPr>
          <w:rStyle w:val="FootnoteReference"/>
        </w:rPr>
        <w:footnoteRef/>
      </w:r>
      <w:r>
        <w:t xml:space="preserve"> UNARMS, S-0313-0005-04, ‘UNEF HQ – Periodic Intelligence Report No. 3, OPS/INT 3-3</w:t>
      </w:r>
      <w:r w:rsidR="006E701D">
        <w:t>, Appendix A</w:t>
      </w:r>
      <w:r>
        <w:t>’, 7 February 1957.</w:t>
      </w:r>
    </w:p>
  </w:footnote>
  <w:footnote w:id="66">
    <w:p w14:paraId="08C126E6" w14:textId="428DE903" w:rsidR="0064115B" w:rsidRPr="0064115B" w:rsidRDefault="0064115B">
      <w:pPr>
        <w:pStyle w:val="FootnoteText"/>
        <w:rPr>
          <w:i/>
          <w:iCs/>
        </w:rPr>
      </w:pPr>
      <w:r>
        <w:rPr>
          <w:rStyle w:val="FootnoteReference"/>
        </w:rPr>
        <w:footnoteRef/>
      </w:r>
      <w:r>
        <w:t xml:space="preserve"> ‘Troops Quell Arab Rioting in Gaza; U.N. Takes Up Egypt’s Charges Friday’, </w:t>
      </w:r>
      <w:r>
        <w:rPr>
          <w:i/>
          <w:iCs/>
        </w:rPr>
        <w:t xml:space="preserve">The Hartford Courant, </w:t>
      </w:r>
      <w:r>
        <w:t>3 March 1955.</w:t>
      </w:r>
      <w:r>
        <w:rPr>
          <w:i/>
          <w:iCs/>
        </w:rPr>
        <w:t xml:space="preserve"> </w:t>
      </w:r>
    </w:p>
  </w:footnote>
  <w:footnote w:id="67">
    <w:p w14:paraId="72D9AC8B" w14:textId="77777777" w:rsidR="00652622" w:rsidRPr="009D0C72" w:rsidRDefault="00652622" w:rsidP="00652622">
      <w:pPr>
        <w:pStyle w:val="FootnoteText"/>
        <w:rPr>
          <w:rFonts w:cs="Times New Roman"/>
        </w:rPr>
      </w:pPr>
      <w:r w:rsidRPr="009D0C72">
        <w:rPr>
          <w:rStyle w:val="FootnoteReference"/>
          <w:rFonts w:cs="Times New Roman"/>
        </w:rPr>
        <w:footnoteRef/>
      </w:r>
      <w:r w:rsidRPr="009D0C72">
        <w:rPr>
          <w:rFonts w:cs="Times New Roman"/>
        </w:rPr>
        <w:t xml:space="preserve"> UN Doc, A/3508, 8 March 1957.</w:t>
      </w:r>
    </w:p>
  </w:footnote>
  <w:footnote w:id="68">
    <w:p w14:paraId="23BD3D38" w14:textId="77777777" w:rsidR="00652622" w:rsidRPr="009D0C72" w:rsidRDefault="00652622" w:rsidP="00652622">
      <w:pPr>
        <w:pStyle w:val="FootnoteText"/>
        <w:rPr>
          <w:rFonts w:cs="Times New Roman"/>
        </w:rPr>
      </w:pPr>
      <w:r w:rsidRPr="009D0C72">
        <w:rPr>
          <w:rStyle w:val="FootnoteReference"/>
          <w:rFonts w:cs="Times New Roman"/>
        </w:rPr>
        <w:footnoteRef/>
      </w:r>
      <w:r w:rsidRPr="009D0C72">
        <w:rPr>
          <w:rFonts w:cs="Times New Roman"/>
        </w:rPr>
        <w:t xml:space="preserve"> British Pathe,  ‘Israel/Egypt: U.N. troops enter Gaza’, 14 March 1957, Reuters, </w:t>
      </w:r>
      <w:hyperlink r:id="rId2" w:history="1">
        <w:r w:rsidRPr="009D0C72">
          <w:rPr>
            <w:rStyle w:val="Hyperlink"/>
            <w:rFonts w:cs="Times New Roman"/>
          </w:rPr>
          <w:t>https://www.britishpathe.com/asset/139819/</w:t>
        </w:r>
      </w:hyperlink>
      <w:r w:rsidRPr="009D0C72">
        <w:rPr>
          <w:rStyle w:val="Hyperlink"/>
          <w:rFonts w:cs="Times New Roman"/>
        </w:rPr>
        <w:t xml:space="preserve">. </w:t>
      </w:r>
    </w:p>
  </w:footnote>
  <w:footnote w:id="69">
    <w:p w14:paraId="49B1060B" w14:textId="77777777"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UNARMS, S-0164-0002-08, ‘PM/3369 Statement of Henry R. Labouisse, Director, UNRWA for Palestine Refugees before the Special Political Committee’, 11 February 1957, p. 11.</w:t>
      </w:r>
    </w:p>
  </w:footnote>
  <w:footnote w:id="70">
    <w:p w14:paraId="30DE6D6B" w14:textId="7BF39595" w:rsidR="0059019F" w:rsidRDefault="0059019F">
      <w:pPr>
        <w:pStyle w:val="FootnoteText"/>
      </w:pPr>
      <w:r>
        <w:rPr>
          <w:rStyle w:val="FootnoteReference"/>
        </w:rPr>
        <w:footnoteRef/>
      </w:r>
      <w:r>
        <w:t xml:space="preserve"> </w:t>
      </w:r>
      <w:r w:rsidRPr="009D0C72">
        <w:rPr>
          <w:rFonts w:cs="Times New Roman"/>
          <w:i/>
          <w:iCs/>
        </w:rPr>
        <w:t>Al-Ittihad</w:t>
      </w:r>
      <w:r w:rsidRPr="009D0C72">
        <w:rPr>
          <w:rFonts w:cs="Times New Roman"/>
        </w:rPr>
        <w:t>, March 12, 1957</w:t>
      </w:r>
      <w:r>
        <w:rPr>
          <w:rFonts w:cs="Times New Roman"/>
        </w:rPr>
        <w:t>.</w:t>
      </w:r>
    </w:p>
  </w:footnote>
  <w:footnote w:id="71">
    <w:p w14:paraId="2741B0C2" w14:textId="77777777"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Camille Mansour, and Leila Fawaz, </w:t>
      </w:r>
      <w:r w:rsidRPr="009D0C72">
        <w:rPr>
          <w:rFonts w:cs="Times New Roman"/>
          <w:i/>
          <w:iCs/>
        </w:rPr>
        <w:t xml:space="preserve">Transformed Landscapes: Essays on Palestine and the Middle East in Honor of Walid Khalidi </w:t>
      </w:r>
      <w:r w:rsidRPr="009D0C72">
        <w:rPr>
          <w:rFonts w:cs="Times New Roman"/>
        </w:rPr>
        <w:t>(Cairo, 2009), 273-298.</w:t>
      </w:r>
    </w:p>
  </w:footnote>
  <w:footnote w:id="72">
    <w:p w14:paraId="1E26D75F" w14:textId="77777777"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Mansour and Fawaz, </w:t>
      </w:r>
      <w:r w:rsidRPr="009D0C72">
        <w:rPr>
          <w:rFonts w:cs="Times New Roman"/>
          <w:i/>
          <w:iCs/>
        </w:rPr>
        <w:t>Transformed Landscapes</w:t>
      </w:r>
      <w:r w:rsidRPr="009D0C72">
        <w:rPr>
          <w:rFonts w:cs="Times New Roman"/>
        </w:rPr>
        <w:t>, 175-196.</w:t>
      </w:r>
    </w:p>
  </w:footnote>
  <w:footnote w:id="73">
    <w:p w14:paraId="532129A2" w14:textId="77777777"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More than 100 Palestinians remained detained in the prison behind the new UNEF HQs after the UN took over control of the building on 5</w:t>
      </w:r>
      <w:r w:rsidRPr="009D0C72">
        <w:rPr>
          <w:rFonts w:cs="Times New Roman"/>
          <w:vertAlign w:val="superscript"/>
        </w:rPr>
        <w:t xml:space="preserve"> </w:t>
      </w:r>
      <w:r w:rsidRPr="009D0C72">
        <w:rPr>
          <w:rFonts w:cs="Times New Roman"/>
        </w:rPr>
        <w:t xml:space="preserve">March: Homer Bigart, ‘UN troops halt rioters in Gaza asking Cairo link’, </w:t>
      </w:r>
      <w:r w:rsidRPr="009D0C72">
        <w:rPr>
          <w:rFonts w:cs="Times New Roman"/>
          <w:i/>
          <w:iCs/>
        </w:rPr>
        <w:t xml:space="preserve">The New York Times, </w:t>
      </w:r>
      <w:r w:rsidRPr="009D0C72">
        <w:rPr>
          <w:rFonts w:cs="Times New Roman"/>
        </w:rPr>
        <w:t>11 March 1957.</w:t>
      </w:r>
    </w:p>
  </w:footnote>
  <w:footnote w:id="74">
    <w:p w14:paraId="76B46513" w14:textId="6036E92D" w:rsidR="002B228F" w:rsidRPr="009D0C72" w:rsidRDefault="002B228F">
      <w:pPr>
        <w:pStyle w:val="FootnoteText"/>
        <w:rPr>
          <w:rFonts w:cs="Times New Roman"/>
        </w:rPr>
      </w:pPr>
      <w:r w:rsidRPr="009D0C72">
        <w:rPr>
          <w:rStyle w:val="FootnoteReference"/>
          <w:rFonts w:cs="Times New Roman"/>
        </w:rPr>
        <w:footnoteRef/>
      </w:r>
      <w:r w:rsidRPr="009D0C72">
        <w:rPr>
          <w:rFonts w:cs="Times New Roman"/>
        </w:rPr>
        <w:t xml:space="preserve"> </w:t>
      </w:r>
      <w:r w:rsidRPr="009D0C72">
        <w:rPr>
          <w:rFonts w:cs="Times New Roman"/>
          <w:i/>
          <w:iCs/>
        </w:rPr>
        <w:t xml:space="preserve">Al HaMishmar, </w:t>
      </w:r>
      <w:r w:rsidRPr="009D0C72">
        <w:rPr>
          <w:rFonts w:cs="Times New Roman"/>
        </w:rPr>
        <w:t xml:space="preserve">11 March 1957; </w:t>
      </w:r>
      <w:r w:rsidRPr="009D0C72">
        <w:rPr>
          <w:rFonts w:cs="Times New Roman"/>
          <w:i/>
          <w:iCs/>
        </w:rPr>
        <w:t xml:space="preserve">Al HaMishmar, </w:t>
      </w:r>
      <w:r w:rsidRPr="009D0C72">
        <w:rPr>
          <w:rFonts w:cs="Times New Roman"/>
        </w:rPr>
        <w:t>12 March 1957.</w:t>
      </w:r>
    </w:p>
  </w:footnote>
  <w:footnote w:id="75">
    <w:p w14:paraId="3A4708B0" w14:textId="240B0BC5"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British Pathe,</w:t>
      </w:r>
      <w:r w:rsidR="00FF61C4" w:rsidRPr="009D0C72">
        <w:rPr>
          <w:rFonts w:cs="Times New Roman"/>
        </w:rPr>
        <w:t xml:space="preserve"> </w:t>
      </w:r>
      <w:r w:rsidRPr="009D0C72">
        <w:rPr>
          <w:rFonts w:cs="Times New Roman"/>
        </w:rPr>
        <w:t xml:space="preserve">‘Israel/Egypt: U.N. troops enter Gaza’, 14 March 1957, Reuters, </w:t>
      </w:r>
      <w:hyperlink r:id="rId3" w:history="1">
        <w:r w:rsidRPr="009D0C72">
          <w:rPr>
            <w:rStyle w:val="Hyperlink"/>
            <w:rFonts w:cs="Times New Roman"/>
          </w:rPr>
          <w:t>https://www.britishpathe.com/asset/139819/</w:t>
        </w:r>
      </w:hyperlink>
      <w:r w:rsidRPr="009D0C72">
        <w:rPr>
          <w:rFonts w:cs="Times New Roman"/>
        </w:rPr>
        <w:t xml:space="preserve"> </w:t>
      </w:r>
    </w:p>
  </w:footnote>
  <w:footnote w:id="76">
    <w:p w14:paraId="522523CC" w14:textId="77777777" w:rsidR="00B85B13" w:rsidRPr="009D0C72" w:rsidRDefault="00B85B13" w:rsidP="00B85B13">
      <w:pPr>
        <w:pStyle w:val="FootnoteText"/>
        <w:rPr>
          <w:rFonts w:cs="Times New Roman"/>
          <w:i/>
          <w:iCs/>
        </w:rPr>
      </w:pPr>
      <w:r w:rsidRPr="009D0C72">
        <w:rPr>
          <w:rStyle w:val="FootnoteReference"/>
          <w:rFonts w:cs="Times New Roman"/>
        </w:rPr>
        <w:footnoteRef/>
      </w:r>
      <w:r w:rsidRPr="009D0C72">
        <w:rPr>
          <w:rFonts w:cs="Times New Roman"/>
        </w:rPr>
        <w:t xml:space="preserve"> Hansard HC Deb, 14 March 1957, vol 566, col. 1322; ‘Nasser challenges UN’, </w:t>
      </w:r>
      <w:r w:rsidRPr="009D0C72">
        <w:rPr>
          <w:rFonts w:cs="Times New Roman"/>
          <w:i/>
          <w:iCs/>
        </w:rPr>
        <w:t xml:space="preserve">The New York Times, </w:t>
      </w:r>
      <w:r w:rsidRPr="009D0C72">
        <w:rPr>
          <w:rFonts w:cs="Times New Roman"/>
        </w:rPr>
        <w:t>12 March 1957.</w:t>
      </w:r>
    </w:p>
  </w:footnote>
  <w:footnote w:id="77">
    <w:p w14:paraId="76D2282A" w14:textId="77777777"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Homer Bigart, ‘UN troops halt rioters in Gaza asking Cairo link’, </w:t>
      </w:r>
      <w:r w:rsidRPr="009D0C72">
        <w:rPr>
          <w:rFonts w:cs="Times New Roman"/>
          <w:i/>
          <w:iCs/>
        </w:rPr>
        <w:t xml:space="preserve">The New York Times, </w:t>
      </w:r>
      <w:r w:rsidRPr="009D0C72">
        <w:rPr>
          <w:rFonts w:cs="Times New Roman"/>
        </w:rPr>
        <w:t>11 March 1957.</w:t>
      </w:r>
    </w:p>
  </w:footnote>
  <w:footnote w:id="78">
    <w:p w14:paraId="775BD1F5" w14:textId="77777777"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Homer Bigart, ‘UN troops halt rioters in Gaza asking Cairo link’, </w:t>
      </w:r>
      <w:r w:rsidRPr="009D0C72">
        <w:rPr>
          <w:rFonts w:cs="Times New Roman"/>
          <w:i/>
          <w:iCs/>
        </w:rPr>
        <w:t xml:space="preserve">The New York Times, </w:t>
      </w:r>
      <w:r w:rsidRPr="009D0C72">
        <w:rPr>
          <w:rFonts w:cs="Times New Roman"/>
        </w:rPr>
        <w:t>11 March 1957.</w:t>
      </w:r>
    </w:p>
  </w:footnote>
  <w:footnote w:id="79">
    <w:p w14:paraId="1892AA34" w14:textId="77777777"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Thomas J. Hamilton, ‘UN Chief Suggests Move Aims to Placate Egyptians’, </w:t>
      </w:r>
      <w:r w:rsidRPr="009D0C72">
        <w:rPr>
          <w:rFonts w:cs="Times New Roman"/>
          <w:i/>
          <w:iCs/>
        </w:rPr>
        <w:t xml:space="preserve">The New York Times, </w:t>
      </w:r>
      <w:r w:rsidRPr="009D0C72">
        <w:rPr>
          <w:rFonts w:cs="Times New Roman"/>
        </w:rPr>
        <w:t>12 March 1957.</w:t>
      </w:r>
    </w:p>
  </w:footnote>
  <w:footnote w:id="80">
    <w:p w14:paraId="311739DD" w14:textId="77777777" w:rsidR="007D2E43" w:rsidRPr="009D0C72" w:rsidRDefault="007D2E43" w:rsidP="007D2E43">
      <w:pPr>
        <w:pStyle w:val="FootnoteText"/>
        <w:rPr>
          <w:rFonts w:cs="Times New Roman"/>
        </w:rPr>
      </w:pPr>
      <w:r w:rsidRPr="009D0C72">
        <w:rPr>
          <w:rStyle w:val="FootnoteReference"/>
          <w:rFonts w:cs="Times New Roman"/>
        </w:rPr>
        <w:footnoteRef/>
      </w:r>
      <w:r w:rsidRPr="009D0C72">
        <w:rPr>
          <w:rFonts w:cs="Times New Roman"/>
        </w:rPr>
        <w:t xml:space="preserve"> Homer Bigart, ‘Burns and Bunche Prepare Gaza Guard Compromise’, </w:t>
      </w:r>
      <w:r w:rsidRPr="009D0C72">
        <w:rPr>
          <w:rFonts w:cs="Times New Roman"/>
          <w:i/>
          <w:iCs/>
        </w:rPr>
        <w:t xml:space="preserve">The New York Times, </w:t>
      </w:r>
      <w:r w:rsidRPr="009D0C72">
        <w:rPr>
          <w:rFonts w:cs="Times New Roman"/>
        </w:rPr>
        <w:t>18 March 1957.</w:t>
      </w:r>
    </w:p>
  </w:footnote>
  <w:footnote w:id="81">
    <w:p w14:paraId="4690F912" w14:textId="10F335EC" w:rsidR="00337F12" w:rsidRPr="009D0C72" w:rsidRDefault="00337F12">
      <w:pPr>
        <w:pStyle w:val="FootnoteText"/>
        <w:rPr>
          <w:rFonts w:cs="Times New Roman"/>
        </w:rPr>
      </w:pPr>
      <w:r w:rsidRPr="009D0C72">
        <w:rPr>
          <w:rStyle w:val="FootnoteReference"/>
          <w:rFonts w:cs="Times New Roman"/>
        </w:rPr>
        <w:footnoteRef/>
      </w:r>
      <w:r w:rsidRPr="009D0C72">
        <w:rPr>
          <w:rFonts w:cs="Times New Roman"/>
        </w:rPr>
        <w:t xml:space="preserve"> </w:t>
      </w:r>
      <w:r w:rsidR="00400078" w:rsidRPr="009D0C72">
        <w:rPr>
          <w:rFonts w:cs="Times New Roman"/>
          <w:i/>
          <w:iCs/>
        </w:rPr>
        <w:t>Al-Ittihad</w:t>
      </w:r>
      <w:r w:rsidR="00400078" w:rsidRPr="009D0C72">
        <w:rPr>
          <w:rFonts w:cs="Times New Roman"/>
        </w:rPr>
        <w:t>, March 12, 1957</w:t>
      </w:r>
      <w:r w:rsidR="00E93BFA" w:rsidRPr="009D0C72">
        <w:rPr>
          <w:rFonts w:cs="Times New Roman"/>
        </w:rPr>
        <w:t xml:space="preserve">; </w:t>
      </w:r>
      <w:r w:rsidR="00E93BFA" w:rsidRPr="009D0C72">
        <w:rPr>
          <w:rFonts w:cs="Times New Roman"/>
          <w:i/>
          <w:iCs/>
        </w:rPr>
        <w:t>Al-Ittihad</w:t>
      </w:r>
      <w:r w:rsidR="00E93BFA" w:rsidRPr="009D0C72">
        <w:rPr>
          <w:rFonts w:cs="Times New Roman"/>
        </w:rPr>
        <w:t>, March 15, 1957</w:t>
      </w:r>
      <w:r w:rsidR="005C685D" w:rsidRPr="009D0C72">
        <w:rPr>
          <w:rFonts w:cs="Times New Roman"/>
        </w:rPr>
        <w:t xml:space="preserve">; </w:t>
      </w:r>
      <w:r w:rsidR="005C685D" w:rsidRPr="009D0C72">
        <w:rPr>
          <w:rFonts w:cs="Times New Roman"/>
          <w:i/>
          <w:iCs/>
        </w:rPr>
        <w:t>Al-Ittihad</w:t>
      </w:r>
      <w:r w:rsidR="005C685D" w:rsidRPr="009D0C72">
        <w:rPr>
          <w:rFonts w:cs="Times New Roman"/>
        </w:rPr>
        <w:t>, March 19, 1957</w:t>
      </w:r>
      <w:r w:rsidR="00E93BFA" w:rsidRPr="009D0C72">
        <w:rPr>
          <w:rFonts w:cs="Times New Roman"/>
        </w:rPr>
        <w:t xml:space="preserve"> [</w:t>
      </w:r>
      <w:r w:rsidR="00400078" w:rsidRPr="009D0C72">
        <w:rPr>
          <w:rFonts w:cs="Times New Roman"/>
        </w:rPr>
        <w:t>available on Jrayed]</w:t>
      </w:r>
    </w:p>
  </w:footnote>
  <w:footnote w:id="82">
    <w:p w14:paraId="7D60208B" w14:textId="0CFFD6A9" w:rsidR="00F63F77" w:rsidRPr="009D0C72" w:rsidRDefault="00F63F77">
      <w:pPr>
        <w:pStyle w:val="FootnoteText"/>
        <w:rPr>
          <w:rFonts w:cs="Times New Roman"/>
        </w:rPr>
      </w:pPr>
      <w:r w:rsidRPr="009D0C72">
        <w:rPr>
          <w:rStyle w:val="FootnoteReference"/>
          <w:rFonts w:cs="Times New Roman"/>
        </w:rPr>
        <w:footnoteRef/>
      </w:r>
      <w:r w:rsidRPr="009D0C72">
        <w:rPr>
          <w:rFonts w:cs="Times New Roman"/>
        </w:rPr>
        <w:t xml:space="preserve"> ‘What Comes After Withdrawal?’, </w:t>
      </w:r>
      <w:r w:rsidRPr="009D0C72">
        <w:rPr>
          <w:rFonts w:cs="Times New Roman"/>
          <w:i/>
          <w:iCs/>
        </w:rPr>
        <w:t>Al-Ittihad</w:t>
      </w:r>
      <w:r w:rsidRPr="009D0C72">
        <w:rPr>
          <w:rFonts w:cs="Times New Roman"/>
        </w:rPr>
        <w:t>, March 12, 1957</w:t>
      </w:r>
      <w:r w:rsidR="00DD5F6C" w:rsidRPr="009D0C72">
        <w:rPr>
          <w:rFonts w:cs="Times New Roman"/>
        </w:rPr>
        <w:t xml:space="preserve">; </w:t>
      </w:r>
      <w:r w:rsidR="00DD5F6C" w:rsidRPr="009D0C72">
        <w:rPr>
          <w:rFonts w:cs="Times New Roman"/>
          <w:i/>
          <w:iCs/>
        </w:rPr>
        <w:t>Al-Ittihad</w:t>
      </w:r>
      <w:r w:rsidR="00DD5F6C" w:rsidRPr="009D0C72">
        <w:rPr>
          <w:rFonts w:cs="Times New Roman"/>
        </w:rPr>
        <w:t>, March 22, 1957</w:t>
      </w:r>
    </w:p>
  </w:footnote>
  <w:footnote w:id="83">
    <w:p w14:paraId="0C39C33C" w14:textId="4501DF1A" w:rsidR="00E630BE" w:rsidRPr="009D0C72" w:rsidRDefault="00E630BE">
      <w:pPr>
        <w:pStyle w:val="FootnoteText"/>
        <w:rPr>
          <w:rFonts w:cs="Times New Roman"/>
        </w:rPr>
      </w:pPr>
      <w:r w:rsidRPr="009D0C72">
        <w:rPr>
          <w:rStyle w:val="FootnoteReference"/>
          <w:rFonts w:cs="Times New Roman"/>
        </w:rPr>
        <w:footnoteRef/>
      </w:r>
      <w:r w:rsidRPr="009D0C72">
        <w:rPr>
          <w:rFonts w:cs="Times New Roman"/>
        </w:rPr>
        <w:t xml:space="preserve"> UNARMS, S-0316-0003-27, ‘Handwritten note from Bunche to Hammarskjöld’, 26</w:t>
      </w:r>
      <w:r w:rsidRPr="009D0C72">
        <w:rPr>
          <w:rFonts w:cs="Times New Roman"/>
          <w:vertAlign w:val="superscript"/>
        </w:rPr>
        <w:t>th</w:t>
      </w:r>
      <w:r w:rsidRPr="009D0C72">
        <w:rPr>
          <w:rFonts w:cs="Times New Roman"/>
        </w:rPr>
        <w:t xml:space="preserve"> February 1959.</w:t>
      </w:r>
    </w:p>
  </w:footnote>
  <w:footnote w:id="84">
    <w:p w14:paraId="68596923" w14:textId="77777777" w:rsidR="002102A0" w:rsidRPr="009D0C72" w:rsidRDefault="002102A0" w:rsidP="004F4CE0">
      <w:pPr>
        <w:pStyle w:val="FootnoteText"/>
        <w:rPr>
          <w:rFonts w:cs="Times New Roman"/>
        </w:rPr>
      </w:pPr>
      <w:r w:rsidRPr="009D0C72">
        <w:rPr>
          <w:rStyle w:val="FootnoteReference"/>
          <w:rFonts w:cs="Times New Roman"/>
        </w:rPr>
        <w:footnoteRef/>
      </w:r>
      <w:r w:rsidRPr="009D0C72">
        <w:rPr>
          <w:rFonts w:cs="Times New Roman"/>
        </w:rPr>
        <w:t xml:space="preserve"> Thomas J. Hamilton, ‘UN Chief Suggests Move Aims to Placate Egyptians’, </w:t>
      </w:r>
      <w:r w:rsidRPr="009D0C72">
        <w:rPr>
          <w:rFonts w:cs="Times New Roman"/>
          <w:i/>
          <w:iCs/>
        </w:rPr>
        <w:t xml:space="preserve">The New York Times, </w:t>
      </w:r>
      <w:r w:rsidRPr="009D0C72">
        <w:rPr>
          <w:rFonts w:cs="Times New Roman"/>
        </w:rPr>
        <w:t>12 March 1957.</w:t>
      </w:r>
    </w:p>
  </w:footnote>
  <w:footnote w:id="85">
    <w:p w14:paraId="4923589A" w14:textId="77777777" w:rsidR="002102A0" w:rsidRPr="009D0C72" w:rsidRDefault="002102A0" w:rsidP="004F4CE0">
      <w:pPr>
        <w:pStyle w:val="FootnoteText"/>
        <w:rPr>
          <w:rFonts w:cs="Times New Roman"/>
        </w:rPr>
      </w:pPr>
      <w:r w:rsidRPr="009D0C72">
        <w:rPr>
          <w:rStyle w:val="FootnoteReference"/>
          <w:rFonts w:cs="Times New Roman"/>
        </w:rPr>
        <w:footnoteRef/>
      </w:r>
      <w:r w:rsidRPr="009D0C72">
        <w:rPr>
          <w:rFonts w:cs="Times New Roman"/>
        </w:rPr>
        <w:t xml:space="preserve"> Homer Bigart, ‘UN troops halt rioters in Gaza asking Cairo link’, </w:t>
      </w:r>
      <w:r w:rsidRPr="009D0C72">
        <w:rPr>
          <w:rFonts w:cs="Times New Roman"/>
          <w:i/>
          <w:iCs/>
        </w:rPr>
        <w:t xml:space="preserve">The New York Times, </w:t>
      </w:r>
      <w:r w:rsidRPr="009D0C72">
        <w:rPr>
          <w:rFonts w:cs="Times New Roman"/>
        </w:rPr>
        <w:t>11 March 1957.</w:t>
      </w:r>
    </w:p>
  </w:footnote>
  <w:footnote w:id="86">
    <w:p w14:paraId="41F3AA69" w14:textId="77777777" w:rsidR="002102A0" w:rsidRPr="009D0C72" w:rsidRDefault="002102A0" w:rsidP="00B72AB3">
      <w:pPr>
        <w:pStyle w:val="FootnoteText"/>
        <w:rPr>
          <w:rFonts w:cs="Times New Roman"/>
        </w:rPr>
      </w:pPr>
      <w:r w:rsidRPr="009D0C72">
        <w:rPr>
          <w:rStyle w:val="FootnoteReference"/>
          <w:rFonts w:cs="Times New Roman"/>
        </w:rPr>
        <w:footnoteRef/>
      </w:r>
      <w:r w:rsidRPr="009D0C72">
        <w:rPr>
          <w:rFonts w:cs="Times New Roman"/>
        </w:rPr>
        <w:t xml:space="preserve"> UN Doc, A/SPC/SR.28, p. 127.</w:t>
      </w:r>
    </w:p>
  </w:footnote>
  <w:footnote w:id="87">
    <w:p w14:paraId="3BDD56AC" w14:textId="77777777" w:rsidR="002102A0" w:rsidRPr="009D0C72" w:rsidRDefault="002102A0" w:rsidP="00B72AB3">
      <w:pPr>
        <w:pStyle w:val="FootnoteText"/>
        <w:rPr>
          <w:rFonts w:cs="Times New Roman"/>
        </w:rPr>
      </w:pPr>
      <w:r w:rsidRPr="009D0C72">
        <w:rPr>
          <w:rStyle w:val="FootnoteReference"/>
          <w:rFonts w:cs="Times New Roman"/>
        </w:rPr>
        <w:footnoteRef/>
      </w:r>
      <w:r w:rsidRPr="009D0C72">
        <w:rPr>
          <w:rFonts w:cs="Times New Roman"/>
        </w:rPr>
        <w:t xml:space="preserve"> UN Doc, A/SPC/SR.28, p. 127.</w:t>
      </w:r>
    </w:p>
  </w:footnote>
  <w:footnote w:id="88">
    <w:p w14:paraId="152AB69C" w14:textId="77777777" w:rsidR="000D557D" w:rsidRPr="009D0C72" w:rsidRDefault="000D557D" w:rsidP="000D557D">
      <w:pPr>
        <w:pStyle w:val="FootnoteText"/>
        <w:rPr>
          <w:rFonts w:cs="Times New Roman"/>
        </w:rPr>
      </w:pPr>
      <w:r w:rsidRPr="009D0C72">
        <w:rPr>
          <w:rStyle w:val="FootnoteReference"/>
          <w:rFonts w:cs="Times New Roman"/>
        </w:rPr>
        <w:footnoteRef/>
      </w:r>
      <w:r w:rsidRPr="009D0C72">
        <w:rPr>
          <w:rFonts w:cs="Times New Roman"/>
        </w:rPr>
        <w:t xml:space="preserve"> UN Doc, A/SPC/SR.28, p. 131.</w:t>
      </w:r>
    </w:p>
  </w:footnote>
  <w:footnote w:id="89">
    <w:p w14:paraId="00497E52" w14:textId="77777777" w:rsidR="004328A1" w:rsidRPr="009D0C72" w:rsidRDefault="004328A1" w:rsidP="004328A1">
      <w:pPr>
        <w:pStyle w:val="FootnoteText"/>
        <w:rPr>
          <w:rFonts w:cs="Times New Roman"/>
        </w:rPr>
      </w:pPr>
      <w:r w:rsidRPr="009D0C72">
        <w:rPr>
          <w:rStyle w:val="FootnoteReference"/>
          <w:rFonts w:cs="Times New Roman"/>
        </w:rPr>
        <w:footnoteRef/>
      </w:r>
      <w:r w:rsidRPr="009D0C72">
        <w:rPr>
          <w:rFonts w:cs="Times New Roman"/>
        </w:rPr>
        <w:t xml:space="preserve"> ‘New Phase for Mideast: U.N. take-over and a major problem’, </w:t>
      </w:r>
      <w:r w:rsidRPr="009D0C72">
        <w:rPr>
          <w:rFonts w:cs="Times New Roman"/>
          <w:i/>
          <w:iCs/>
        </w:rPr>
        <w:t xml:space="preserve">The New York Times, </w:t>
      </w:r>
      <w:r w:rsidRPr="009D0C72">
        <w:rPr>
          <w:rFonts w:cs="Times New Roman"/>
        </w:rPr>
        <w:t>10 March 1957.</w:t>
      </w:r>
    </w:p>
  </w:footnote>
  <w:footnote w:id="90">
    <w:p w14:paraId="6C0AF392" w14:textId="77777777" w:rsidR="002102A0" w:rsidRPr="009D0C72" w:rsidRDefault="002102A0" w:rsidP="004F4CE0">
      <w:pPr>
        <w:pStyle w:val="FootnoteText"/>
        <w:rPr>
          <w:rFonts w:cs="Times New Roman"/>
        </w:rPr>
      </w:pPr>
      <w:r w:rsidRPr="009D0C72">
        <w:rPr>
          <w:rStyle w:val="FootnoteReference"/>
          <w:rFonts w:cs="Times New Roman"/>
        </w:rPr>
        <w:footnoteRef/>
      </w:r>
      <w:r w:rsidRPr="009D0C72">
        <w:rPr>
          <w:rFonts w:cs="Times New Roman"/>
        </w:rPr>
        <w:t xml:space="preserve"> Hamilton Fish Armstrong, ‘The U. N. Experience in Gaza’, </w:t>
      </w:r>
      <w:r w:rsidRPr="009D0C72">
        <w:rPr>
          <w:rFonts w:cs="Times New Roman"/>
          <w:i/>
          <w:iCs/>
        </w:rPr>
        <w:t xml:space="preserve">Foreign Affairs, </w:t>
      </w:r>
      <w:r w:rsidRPr="009D0C72">
        <w:rPr>
          <w:rFonts w:cs="Times New Roman"/>
        </w:rPr>
        <w:t>1 July 1957.</w:t>
      </w:r>
    </w:p>
  </w:footnote>
  <w:footnote w:id="91">
    <w:p w14:paraId="7B2F09E4" w14:textId="77777777" w:rsidR="002102A0" w:rsidRPr="009D0C72" w:rsidRDefault="002102A0" w:rsidP="004F4CE0">
      <w:pPr>
        <w:pStyle w:val="FootnoteText"/>
        <w:rPr>
          <w:rFonts w:cs="Times New Roman"/>
        </w:rPr>
      </w:pPr>
      <w:r w:rsidRPr="009D0C72">
        <w:rPr>
          <w:rStyle w:val="FootnoteReference"/>
          <w:rFonts w:cs="Times New Roman"/>
        </w:rPr>
        <w:footnoteRef/>
      </w:r>
      <w:r w:rsidRPr="009D0C72">
        <w:rPr>
          <w:rFonts w:cs="Times New Roman"/>
        </w:rPr>
        <w:t xml:space="preserve"> ‘For years the United Nations had been debating this complex of problems and passing resolutions about them; for years some of its members had been giving unselfish service and large sums of money to mitigate the human misery involved.’: Hamilton Fish Armstrong, ‘The U. N. Experience in Gaza’, </w:t>
      </w:r>
      <w:r w:rsidRPr="009D0C72">
        <w:rPr>
          <w:rFonts w:cs="Times New Roman"/>
          <w:i/>
          <w:iCs/>
        </w:rPr>
        <w:t xml:space="preserve">Foreign Affairs, </w:t>
      </w:r>
      <w:r w:rsidRPr="009D0C72">
        <w:rPr>
          <w:rFonts w:cs="Times New Roman"/>
        </w:rPr>
        <w:t>1 July 1957.</w:t>
      </w:r>
    </w:p>
  </w:footnote>
  <w:footnote w:id="92">
    <w:p w14:paraId="6D74FA46" w14:textId="2E9DFCA7" w:rsidR="00C1029E" w:rsidRPr="009D0C72" w:rsidRDefault="00C1029E">
      <w:pPr>
        <w:pStyle w:val="FootnoteText"/>
        <w:rPr>
          <w:rFonts w:cs="Times New Roman"/>
        </w:rPr>
      </w:pPr>
      <w:r w:rsidRPr="009D0C72">
        <w:rPr>
          <w:rStyle w:val="FootnoteReference"/>
          <w:rFonts w:cs="Times New Roman"/>
        </w:rPr>
        <w:footnoteRef/>
      </w:r>
      <w:r w:rsidRPr="009D0C72">
        <w:rPr>
          <w:rFonts w:cs="Times New Roman"/>
        </w:rPr>
        <w:t xml:space="preserve"> Hamilton Fish Armstrong, ‘The U. N. Experience in Gaza’, </w:t>
      </w:r>
      <w:r w:rsidRPr="009D0C72">
        <w:rPr>
          <w:rFonts w:cs="Times New Roman"/>
          <w:i/>
          <w:iCs/>
        </w:rPr>
        <w:t xml:space="preserve">Foreign Affairs, </w:t>
      </w:r>
      <w:r w:rsidRPr="009D0C72">
        <w:rPr>
          <w:rFonts w:cs="Times New Roman"/>
        </w:rPr>
        <w:t>1 July 1957.</w:t>
      </w:r>
    </w:p>
  </w:footnote>
  <w:footnote w:id="93">
    <w:p w14:paraId="5ECD4EB0" w14:textId="77777777" w:rsidR="00B85B13" w:rsidRPr="009D0C72" w:rsidRDefault="00B85B13" w:rsidP="00B85B13">
      <w:pPr>
        <w:pStyle w:val="FootnoteText"/>
        <w:rPr>
          <w:rFonts w:cs="Times New Roman"/>
        </w:rPr>
      </w:pPr>
      <w:r w:rsidRPr="009D0C72">
        <w:rPr>
          <w:rStyle w:val="FootnoteReference"/>
          <w:rFonts w:cs="Times New Roman"/>
        </w:rPr>
        <w:footnoteRef/>
      </w:r>
      <w:r w:rsidRPr="009D0C72">
        <w:rPr>
          <w:rFonts w:cs="Times New Roman"/>
        </w:rPr>
        <w:t xml:space="preserve"> Homer Bigart, ‘Nasser moving to take over Gaza’, </w:t>
      </w:r>
      <w:r w:rsidRPr="009D0C72">
        <w:rPr>
          <w:rFonts w:cs="Times New Roman"/>
          <w:i/>
          <w:iCs/>
        </w:rPr>
        <w:t xml:space="preserve">The New York Times, </w:t>
      </w:r>
      <w:r w:rsidRPr="009D0C72">
        <w:rPr>
          <w:rFonts w:cs="Times New Roman"/>
        </w:rPr>
        <w:t>12 March 1957.</w:t>
      </w:r>
    </w:p>
  </w:footnote>
  <w:footnote w:id="94">
    <w:p w14:paraId="42FFB280" w14:textId="77777777" w:rsidR="00043ED5" w:rsidRPr="009D0C72" w:rsidRDefault="00043ED5" w:rsidP="00043ED5">
      <w:pPr>
        <w:pStyle w:val="FootnoteText"/>
        <w:rPr>
          <w:rFonts w:cs="Times New Roman"/>
        </w:rPr>
      </w:pPr>
      <w:r w:rsidRPr="009D0C72">
        <w:rPr>
          <w:rStyle w:val="FootnoteReference"/>
          <w:rFonts w:cs="Times New Roman"/>
        </w:rPr>
        <w:footnoteRef/>
      </w:r>
      <w:r w:rsidRPr="009D0C72">
        <w:rPr>
          <w:rFonts w:cs="Times New Roman"/>
        </w:rPr>
        <w:t xml:space="preserve"> ‘Gaza at Flash Point’, </w:t>
      </w:r>
      <w:r w:rsidRPr="009D0C72">
        <w:rPr>
          <w:rFonts w:cs="Times New Roman"/>
          <w:i/>
          <w:iCs/>
        </w:rPr>
        <w:t xml:space="preserve">The Economist, </w:t>
      </w:r>
      <w:r w:rsidRPr="009D0C72">
        <w:rPr>
          <w:rFonts w:cs="Times New Roman"/>
        </w:rPr>
        <w:t xml:space="preserve">16 March 1957. </w:t>
      </w:r>
    </w:p>
  </w:footnote>
  <w:footnote w:id="95">
    <w:p w14:paraId="0B3860C1" w14:textId="3E846CF9" w:rsidR="00043ED5" w:rsidRPr="009D0C72" w:rsidRDefault="00043ED5">
      <w:pPr>
        <w:pStyle w:val="FootnoteText"/>
        <w:rPr>
          <w:rFonts w:cs="Times New Roman"/>
        </w:rPr>
      </w:pPr>
      <w:r w:rsidRPr="009D0C72">
        <w:rPr>
          <w:rStyle w:val="FootnoteReference"/>
          <w:rFonts w:cs="Times New Roman"/>
        </w:rPr>
        <w:footnoteRef/>
      </w:r>
      <w:r w:rsidRPr="009D0C72">
        <w:rPr>
          <w:rFonts w:cs="Times New Roman"/>
        </w:rPr>
        <w:t xml:space="preserve"> </w:t>
      </w:r>
      <w:r w:rsidRPr="009D0C72">
        <w:rPr>
          <w:rFonts w:cs="Times New Roman"/>
          <w:i/>
          <w:iCs/>
        </w:rPr>
        <w:t xml:space="preserve">The Times, </w:t>
      </w:r>
      <w:r w:rsidRPr="009D0C72">
        <w:rPr>
          <w:rFonts w:cs="Times New Roman"/>
        </w:rPr>
        <w:t>12 March 1957.</w:t>
      </w:r>
    </w:p>
  </w:footnote>
  <w:footnote w:id="96">
    <w:p w14:paraId="60651B2D" w14:textId="6F9AD372" w:rsidR="001231A0" w:rsidRPr="009D0C72" w:rsidRDefault="001231A0" w:rsidP="001231A0">
      <w:pPr>
        <w:pStyle w:val="FootnoteText"/>
        <w:rPr>
          <w:rFonts w:cs="Times New Roman"/>
        </w:rPr>
      </w:pPr>
      <w:r w:rsidRPr="009D0C72">
        <w:rPr>
          <w:rStyle w:val="FootnoteReference"/>
          <w:rFonts w:cs="Times New Roman"/>
        </w:rPr>
        <w:footnoteRef/>
      </w:r>
      <w:r w:rsidRPr="009D0C72">
        <w:rPr>
          <w:rFonts w:cs="Times New Roman"/>
        </w:rPr>
        <w:t xml:space="preserve"> Hansard HC Deb, 14 March 1957, vol 566, col. 1323. </w:t>
      </w:r>
      <w:r w:rsidR="00AE22A4" w:rsidRPr="009D0C72">
        <w:rPr>
          <w:rFonts w:cs="Times New Roman"/>
        </w:rPr>
        <w:t>[italics are author’s own]</w:t>
      </w:r>
    </w:p>
  </w:footnote>
  <w:footnote w:id="97">
    <w:p w14:paraId="21A7C812" w14:textId="77777777" w:rsidR="00F82A9C" w:rsidRPr="009D0C72" w:rsidRDefault="00F82A9C" w:rsidP="00F82A9C">
      <w:pPr>
        <w:pStyle w:val="FootnoteText"/>
        <w:rPr>
          <w:rFonts w:cs="Times New Roman"/>
        </w:rPr>
      </w:pPr>
      <w:r w:rsidRPr="009D0C72">
        <w:rPr>
          <w:rStyle w:val="FootnoteReference"/>
          <w:rFonts w:cs="Times New Roman"/>
        </w:rPr>
        <w:footnoteRef/>
      </w:r>
      <w:r w:rsidRPr="009D0C72">
        <w:rPr>
          <w:rFonts w:cs="Times New Roman"/>
        </w:rPr>
        <w:t xml:space="preserve"> Omar Jabary Salamanca, Mezna Qato, Kareem Rabie &amp; Sobhi Samou, ‘Past is Present: Settler Colonialism in Palestine’, </w:t>
      </w:r>
      <w:r w:rsidRPr="009D0C72">
        <w:rPr>
          <w:rFonts w:cs="Times New Roman"/>
          <w:i/>
          <w:iCs/>
        </w:rPr>
        <w:t xml:space="preserve">Settler Colonial Studies, </w:t>
      </w:r>
      <w:r w:rsidRPr="009D0C72">
        <w:rPr>
          <w:rFonts w:cs="Times New Roman"/>
        </w:rPr>
        <w:t>Vol. 2:1 (2012), p. 2.</w:t>
      </w:r>
    </w:p>
  </w:footnote>
  <w:footnote w:id="98">
    <w:p w14:paraId="2539380A" w14:textId="3DD1A27F" w:rsidR="0055726D" w:rsidRPr="009D0C72" w:rsidRDefault="0055726D">
      <w:pPr>
        <w:pStyle w:val="FootnoteText"/>
        <w:rPr>
          <w:rFonts w:cs="Times New Roman"/>
        </w:rPr>
      </w:pPr>
      <w:r w:rsidRPr="009D0C72">
        <w:rPr>
          <w:rStyle w:val="FootnoteReference"/>
          <w:rFonts w:cs="Times New Roman"/>
        </w:rPr>
        <w:footnoteRef/>
      </w:r>
      <w:r w:rsidRPr="009D0C72">
        <w:rPr>
          <w:rFonts w:cs="Times New Roman"/>
        </w:rPr>
        <w:t xml:space="preserve"> Jessica Whyte, ‘A “Tragic Humanitarian Crisis”: Israel’s Weaponization of Starvation and the Question of Intent’, </w:t>
      </w:r>
      <w:r w:rsidRPr="009D0C72">
        <w:rPr>
          <w:rFonts w:cs="Times New Roman"/>
          <w:i/>
          <w:iCs/>
        </w:rPr>
        <w:t>Journal of Genocide Research</w:t>
      </w:r>
      <w:r w:rsidRPr="009D0C72">
        <w:rPr>
          <w:rFonts w:cs="Times New Roman"/>
        </w:rPr>
        <w:t>, (2024), 1–15.</w:t>
      </w:r>
    </w:p>
  </w:footnote>
  <w:footnote w:id="99">
    <w:p w14:paraId="4992D8DE" w14:textId="132DA429" w:rsidR="00B73D11" w:rsidRPr="009D0C72" w:rsidRDefault="00B73D11" w:rsidP="00B73D11">
      <w:pPr>
        <w:pStyle w:val="FootnoteText"/>
        <w:rPr>
          <w:rFonts w:cs="Times New Roman"/>
        </w:rPr>
      </w:pPr>
      <w:r w:rsidRPr="009D0C72">
        <w:rPr>
          <w:rStyle w:val="FootnoteReference"/>
          <w:rFonts w:cs="Times New Roman"/>
        </w:rPr>
        <w:footnoteRef/>
      </w:r>
      <w:r w:rsidR="00BD1F3A">
        <w:rPr>
          <w:rFonts w:cs="Times New Roman"/>
        </w:rPr>
        <w:t xml:space="preserve"> </w:t>
      </w:r>
      <w:r w:rsidR="00BD1F3A" w:rsidRPr="00BD1F3A">
        <w:rPr>
          <w:rFonts w:cs="Times New Roman"/>
        </w:rPr>
        <w:t>@m7mdkurd</w:t>
      </w:r>
      <w:r w:rsidR="00BD1F3A">
        <w:rPr>
          <w:rFonts w:cs="Times New Roman"/>
        </w:rPr>
        <w:t xml:space="preserve">, (2024), 24 September, [Available at: </w:t>
      </w:r>
      <w:hyperlink r:id="rId4" w:history="1">
        <w:r w:rsidRPr="009D0C72">
          <w:rPr>
            <w:rStyle w:val="Hyperlink"/>
            <w:rFonts w:cs="Times New Roman"/>
          </w:rPr>
          <w:t>https://x.com/m7mdkurd/status/1838436072851693994</w:t>
        </w:r>
      </w:hyperlink>
      <w:r w:rsidR="00BD1F3A">
        <w:rPr>
          <w:rFonts w:cs="Times New Roman"/>
        </w:rPr>
        <w:t xml:space="preserve">, Accessed on 3 March 2025].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93CA8"/>
    <w:multiLevelType w:val="hybridMultilevel"/>
    <w:tmpl w:val="B2A27A32"/>
    <w:lvl w:ilvl="0" w:tplc="F2703E8A">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8F0394"/>
    <w:multiLevelType w:val="hybridMultilevel"/>
    <w:tmpl w:val="FFF62FBE"/>
    <w:lvl w:ilvl="0" w:tplc="A81E16DA">
      <w:start w:val="14"/>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5A58BC"/>
    <w:multiLevelType w:val="hybridMultilevel"/>
    <w:tmpl w:val="864EEF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13329826">
    <w:abstractNumId w:val="0"/>
  </w:num>
  <w:num w:numId="2" w16cid:durableId="838347667">
    <w:abstractNumId w:val="1"/>
  </w:num>
  <w:num w:numId="3" w16cid:durableId="20410031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B13"/>
    <w:rsid w:val="00000D56"/>
    <w:rsid w:val="00001E1F"/>
    <w:rsid w:val="000029B1"/>
    <w:rsid w:val="00003DC6"/>
    <w:rsid w:val="00005284"/>
    <w:rsid w:val="00006004"/>
    <w:rsid w:val="0000690B"/>
    <w:rsid w:val="00013DB1"/>
    <w:rsid w:val="0001531F"/>
    <w:rsid w:val="00017108"/>
    <w:rsid w:val="00025CC1"/>
    <w:rsid w:val="00027620"/>
    <w:rsid w:val="00030179"/>
    <w:rsid w:val="00031FC3"/>
    <w:rsid w:val="00033266"/>
    <w:rsid w:val="00035933"/>
    <w:rsid w:val="00037054"/>
    <w:rsid w:val="00037257"/>
    <w:rsid w:val="00043ED5"/>
    <w:rsid w:val="00046787"/>
    <w:rsid w:val="00052C77"/>
    <w:rsid w:val="00054AB9"/>
    <w:rsid w:val="00057F81"/>
    <w:rsid w:val="000626A4"/>
    <w:rsid w:val="00065288"/>
    <w:rsid w:val="0006671D"/>
    <w:rsid w:val="000733E2"/>
    <w:rsid w:val="000827BE"/>
    <w:rsid w:val="0008306E"/>
    <w:rsid w:val="000909A0"/>
    <w:rsid w:val="00093EAB"/>
    <w:rsid w:val="000968A7"/>
    <w:rsid w:val="000A41EF"/>
    <w:rsid w:val="000A5D69"/>
    <w:rsid w:val="000B030C"/>
    <w:rsid w:val="000B0DF1"/>
    <w:rsid w:val="000B1706"/>
    <w:rsid w:val="000B1FA0"/>
    <w:rsid w:val="000B2619"/>
    <w:rsid w:val="000B435D"/>
    <w:rsid w:val="000B5677"/>
    <w:rsid w:val="000C0F01"/>
    <w:rsid w:val="000C6D1C"/>
    <w:rsid w:val="000D1D2C"/>
    <w:rsid w:val="000D557D"/>
    <w:rsid w:val="000E0B2E"/>
    <w:rsid w:val="000E2747"/>
    <w:rsid w:val="000F2BBE"/>
    <w:rsid w:val="000F7088"/>
    <w:rsid w:val="000F72BF"/>
    <w:rsid w:val="000F76ED"/>
    <w:rsid w:val="0010106B"/>
    <w:rsid w:val="001028C1"/>
    <w:rsid w:val="0010472E"/>
    <w:rsid w:val="0010718C"/>
    <w:rsid w:val="001169B8"/>
    <w:rsid w:val="001205E9"/>
    <w:rsid w:val="00120A29"/>
    <w:rsid w:val="00121045"/>
    <w:rsid w:val="00122426"/>
    <w:rsid w:val="001231A0"/>
    <w:rsid w:val="00132E8B"/>
    <w:rsid w:val="001336F8"/>
    <w:rsid w:val="0013483E"/>
    <w:rsid w:val="00136417"/>
    <w:rsid w:val="00137497"/>
    <w:rsid w:val="00141793"/>
    <w:rsid w:val="00143260"/>
    <w:rsid w:val="001459BC"/>
    <w:rsid w:val="00150789"/>
    <w:rsid w:val="00153A3A"/>
    <w:rsid w:val="00155B49"/>
    <w:rsid w:val="00164D8D"/>
    <w:rsid w:val="001659FF"/>
    <w:rsid w:val="0016631E"/>
    <w:rsid w:val="00166B30"/>
    <w:rsid w:val="0017111B"/>
    <w:rsid w:val="001735F5"/>
    <w:rsid w:val="00174E68"/>
    <w:rsid w:val="00175647"/>
    <w:rsid w:val="00176777"/>
    <w:rsid w:val="00183236"/>
    <w:rsid w:val="00187FE3"/>
    <w:rsid w:val="0019042F"/>
    <w:rsid w:val="001957F6"/>
    <w:rsid w:val="001A2DE1"/>
    <w:rsid w:val="001B6DE2"/>
    <w:rsid w:val="001C4FD9"/>
    <w:rsid w:val="001D1B0A"/>
    <w:rsid w:val="001D1CF8"/>
    <w:rsid w:val="001D1FE6"/>
    <w:rsid w:val="001D2FED"/>
    <w:rsid w:val="001E34D6"/>
    <w:rsid w:val="001E3908"/>
    <w:rsid w:val="001F071A"/>
    <w:rsid w:val="00204342"/>
    <w:rsid w:val="00205F8B"/>
    <w:rsid w:val="0020720C"/>
    <w:rsid w:val="002102A0"/>
    <w:rsid w:val="0021055C"/>
    <w:rsid w:val="00215AB5"/>
    <w:rsid w:val="00222DC9"/>
    <w:rsid w:val="002316E5"/>
    <w:rsid w:val="002338A4"/>
    <w:rsid w:val="00234A02"/>
    <w:rsid w:val="0024587D"/>
    <w:rsid w:val="00247B29"/>
    <w:rsid w:val="002533BB"/>
    <w:rsid w:val="00256E91"/>
    <w:rsid w:val="00263527"/>
    <w:rsid w:val="002637F4"/>
    <w:rsid w:val="0026437B"/>
    <w:rsid w:val="00267ADA"/>
    <w:rsid w:val="00270ED5"/>
    <w:rsid w:val="00277212"/>
    <w:rsid w:val="00283E17"/>
    <w:rsid w:val="00284A24"/>
    <w:rsid w:val="002871E6"/>
    <w:rsid w:val="00287368"/>
    <w:rsid w:val="002916B2"/>
    <w:rsid w:val="00297142"/>
    <w:rsid w:val="002A391C"/>
    <w:rsid w:val="002A4BA7"/>
    <w:rsid w:val="002A572F"/>
    <w:rsid w:val="002B228F"/>
    <w:rsid w:val="002B2AD3"/>
    <w:rsid w:val="002B2C3F"/>
    <w:rsid w:val="002B5334"/>
    <w:rsid w:val="002B5E25"/>
    <w:rsid w:val="002D12E7"/>
    <w:rsid w:val="002D1430"/>
    <w:rsid w:val="002D1D1D"/>
    <w:rsid w:val="002D1E54"/>
    <w:rsid w:val="002D2591"/>
    <w:rsid w:val="002D4232"/>
    <w:rsid w:val="002E2C8F"/>
    <w:rsid w:val="002F3C42"/>
    <w:rsid w:val="002F587C"/>
    <w:rsid w:val="002F6A03"/>
    <w:rsid w:val="00300BB6"/>
    <w:rsid w:val="00303247"/>
    <w:rsid w:val="00303D7B"/>
    <w:rsid w:val="00304EB4"/>
    <w:rsid w:val="00313407"/>
    <w:rsid w:val="00314087"/>
    <w:rsid w:val="003172CE"/>
    <w:rsid w:val="00317ADA"/>
    <w:rsid w:val="00320250"/>
    <w:rsid w:val="003217E4"/>
    <w:rsid w:val="00321E91"/>
    <w:rsid w:val="00324E1D"/>
    <w:rsid w:val="00326BE3"/>
    <w:rsid w:val="00330B50"/>
    <w:rsid w:val="00332830"/>
    <w:rsid w:val="00332A97"/>
    <w:rsid w:val="00337F12"/>
    <w:rsid w:val="00342F2E"/>
    <w:rsid w:val="003431DE"/>
    <w:rsid w:val="00343AE0"/>
    <w:rsid w:val="00345691"/>
    <w:rsid w:val="0034731B"/>
    <w:rsid w:val="00352044"/>
    <w:rsid w:val="00352A4D"/>
    <w:rsid w:val="003552B9"/>
    <w:rsid w:val="00357479"/>
    <w:rsid w:val="00357E79"/>
    <w:rsid w:val="00361ED1"/>
    <w:rsid w:val="00363E07"/>
    <w:rsid w:val="00370744"/>
    <w:rsid w:val="00371CF6"/>
    <w:rsid w:val="00375EE1"/>
    <w:rsid w:val="0038110D"/>
    <w:rsid w:val="00384C70"/>
    <w:rsid w:val="00387089"/>
    <w:rsid w:val="00391722"/>
    <w:rsid w:val="00392440"/>
    <w:rsid w:val="003951E8"/>
    <w:rsid w:val="00396C02"/>
    <w:rsid w:val="003A4BA9"/>
    <w:rsid w:val="003B13B3"/>
    <w:rsid w:val="003B2337"/>
    <w:rsid w:val="003B311E"/>
    <w:rsid w:val="003B31D8"/>
    <w:rsid w:val="003C041B"/>
    <w:rsid w:val="003C451E"/>
    <w:rsid w:val="003C5A57"/>
    <w:rsid w:val="003D1D0C"/>
    <w:rsid w:val="003D5CF3"/>
    <w:rsid w:val="003E0424"/>
    <w:rsid w:val="003E0BF6"/>
    <w:rsid w:val="003E0E09"/>
    <w:rsid w:val="003E22FE"/>
    <w:rsid w:val="003E32C9"/>
    <w:rsid w:val="003E3B5C"/>
    <w:rsid w:val="003E5F8B"/>
    <w:rsid w:val="003F2286"/>
    <w:rsid w:val="003F49CB"/>
    <w:rsid w:val="003F5CD9"/>
    <w:rsid w:val="003F6CD3"/>
    <w:rsid w:val="003F6D2E"/>
    <w:rsid w:val="00400078"/>
    <w:rsid w:val="00400984"/>
    <w:rsid w:val="00402050"/>
    <w:rsid w:val="004029C6"/>
    <w:rsid w:val="0040573D"/>
    <w:rsid w:val="00412653"/>
    <w:rsid w:val="0041738D"/>
    <w:rsid w:val="0042085A"/>
    <w:rsid w:val="00424AD9"/>
    <w:rsid w:val="004279E7"/>
    <w:rsid w:val="004328A1"/>
    <w:rsid w:val="004419E4"/>
    <w:rsid w:val="00441EF0"/>
    <w:rsid w:val="00445688"/>
    <w:rsid w:val="00451F02"/>
    <w:rsid w:val="004542A8"/>
    <w:rsid w:val="00454BB6"/>
    <w:rsid w:val="00456C73"/>
    <w:rsid w:val="00457228"/>
    <w:rsid w:val="00461C5C"/>
    <w:rsid w:val="00461D24"/>
    <w:rsid w:val="00463389"/>
    <w:rsid w:val="00463F6D"/>
    <w:rsid w:val="004654A5"/>
    <w:rsid w:val="004726AF"/>
    <w:rsid w:val="00484B1B"/>
    <w:rsid w:val="00487636"/>
    <w:rsid w:val="0049214B"/>
    <w:rsid w:val="00493192"/>
    <w:rsid w:val="00493898"/>
    <w:rsid w:val="00493F5A"/>
    <w:rsid w:val="004963C8"/>
    <w:rsid w:val="00496C11"/>
    <w:rsid w:val="004A3D19"/>
    <w:rsid w:val="004A5C46"/>
    <w:rsid w:val="004A60E2"/>
    <w:rsid w:val="004A6526"/>
    <w:rsid w:val="004B3A56"/>
    <w:rsid w:val="004B3CD9"/>
    <w:rsid w:val="004C3292"/>
    <w:rsid w:val="004C3847"/>
    <w:rsid w:val="004C6E53"/>
    <w:rsid w:val="004D12E0"/>
    <w:rsid w:val="004D3704"/>
    <w:rsid w:val="004E32A1"/>
    <w:rsid w:val="004E4132"/>
    <w:rsid w:val="004F471B"/>
    <w:rsid w:val="004F4CE0"/>
    <w:rsid w:val="004F7F9B"/>
    <w:rsid w:val="00502E8F"/>
    <w:rsid w:val="005108E3"/>
    <w:rsid w:val="00515296"/>
    <w:rsid w:val="005152A6"/>
    <w:rsid w:val="00515E3D"/>
    <w:rsid w:val="00522F86"/>
    <w:rsid w:val="00531353"/>
    <w:rsid w:val="005333E3"/>
    <w:rsid w:val="00541732"/>
    <w:rsid w:val="00542822"/>
    <w:rsid w:val="00544568"/>
    <w:rsid w:val="00545D1D"/>
    <w:rsid w:val="005471DE"/>
    <w:rsid w:val="00553380"/>
    <w:rsid w:val="00553DCB"/>
    <w:rsid w:val="00554CE0"/>
    <w:rsid w:val="0055648C"/>
    <w:rsid w:val="0055726D"/>
    <w:rsid w:val="0056586B"/>
    <w:rsid w:val="005735EF"/>
    <w:rsid w:val="00575E6A"/>
    <w:rsid w:val="005764CC"/>
    <w:rsid w:val="00577519"/>
    <w:rsid w:val="005827CB"/>
    <w:rsid w:val="0059019F"/>
    <w:rsid w:val="00591302"/>
    <w:rsid w:val="0059572F"/>
    <w:rsid w:val="00595D47"/>
    <w:rsid w:val="005A1C95"/>
    <w:rsid w:val="005A3017"/>
    <w:rsid w:val="005A665C"/>
    <w:rsid w:val="005A7AD2"/>
    <w:rsid w:val="005B040F"/>
    <w:rsid w:val="005B0859"/>
    <w:rsid w:val="005B23ED"/>
    <w:rsid w:val="005B3FC7"/>
    <w:rsid w:val="005B7C1C"/>
    <w:rsid w:val="005C2D60"/>
    <w:rsid w:val="005C460B"/>
    <w:rsid w:val="005C5C7C"/>
    <w:rsid w:val="005C685D"/>
    <w:rsid w:val="005D00C5"/>
    <w:rsid w:val="005D0A91"/>
    <w:rsid w:val="005D16F9"/>
    <w:rsid w:val="005D286C"/>
    <w:rsid w:val="005D3424"/>
    <w:rsid w:val="005D5BA1"/>
    <w:rsid w:val="005E3D9C"/>
    <w:rsid w:val="005E4AA0"/>
    <w:rsid w:val="005E4AC8"/>
    <w:rsid w:val="005E6C32"/>
    <w:rsid w:val="005F367A"/>
    <w:rsid w:val="00600FBB"/>
    <w:rsid w:val="00603F97"/>
    <w:rsid w:val="00604534"/>
    <w:rsid w:val="00610B33"/>
    <w:rsid w:val="006111A4"/>
    <w:rsid w:val="00612698"/>
    <w:rsid w:val="00616B2E"/>
    <w:rsid w:val="00626DA8"/>
    <w:rsid w:val="006307F6"/>
    <w:rsid w:val="00634FCD"/>
    <w:rsid w:val="00636A28"/>
    <w:rsid w:val="006377DC"/>
    <w:rsid w:val="00637ACF"/>
    <w:rsid w:val="006405CC"/>
    <w:rsid w:val="0064115B"/>
    <w:rsid w:val="00645AB3"/>
    <w:rsid w:val="00647DDB"/>
    <w:rsid w:val="006509CD"/>
    <w:rsid w:val="006516D4"/>
    <w:rsid w:val="00652622"/>
    <w:rsid w:val="00654901"/>
    <w:rsid w:val="0065688B"/>
    <w:rsid w:val="006615AD"/>
    <w:rsid w:val="006627EE"/>
    <w:rsid w:val="006647A6"/>
    <w:rsid w:val="006658C9"/>
    <w:rsid w:val="0066733B"/>
    <w:rsid w:val="006702BE"/>
    <w:rsid w:val="00670712"/>
    <w:rsid w:val="006757AB"/>
    <w:rsid w:val="006819F5"/>
    <w:rsid w:val="006839C2"/>
    <w:rsid w:val="006870EF"/>
    <w:rsid w:val="006958EB"/>
    <w:rsid w:val="00695A20"/>
    <w:rsid w:val="00696B41"/>
    <w:rsid w:val="006A6219"/>
    <w:rsid w:val="006B1743"/>
    <w:rsid w:val="006B2BE7"/>
    <w:rsid w:val="006B5FBF"/>
    <w:rsid w:val="006C0C44"/>
    <w:rsid w:val="006C3E0F"/>
    <w:rsid w:val="006C763C"/>
    <w:rsid w:val="006D02FC"/>
    <w:rsid w:val="006D09C1"/>
    <w:rsid w:val="006D11E8"/>
    <w:rsid w:val="006D28F2"/>
    <w:rsid w:val="006D35ED"/>
    <w:rsid w:val="006E0F18"/>
    <w:rsid w:val="006E11CA"/>
    <w:rsid w:val="006E1E39"/>
    <w:rsid w:val="006E2588"/>
    <w:rsid w:val="006E5601"/>
    <w:rsid w:val="006E5ED6"/>
    <w:rsid w:val="006E6DC0"/>
    <w:rsid w:val="006E701D"/>
    <w:rsid w:val="006F1050"/>
    <w:rsid w:val="007073EF"/>
    <w:rsid w:val="0071348A"/>
    <w:rsid w:val="00714EA4"/>
    <w:rsid w:val="007230FE"/>
    <w:rsid w:val="00725D02"/>
    <w:rsid w:val="00727453"/>
    <w:rsid w:val="00727565"/>
    <w:rsid w:val="00727911"/>
    <w:rsid w:val="007324B6"/>
    <w:rsid w:val="00737284"/>
    <w:rsid w:val="00745470"/>
    <w:rsid w:val="00751171"/>
    <w:rsid w:val="007537E5"/>
    <w:rsid w:val="00754B66"/>
    <w:rsid w:val="0076145E"/>
    <w:rsid w:val="00761726"/>
    <w:rsid w:val="00764178"/>
    <w:rsid w:val="00765D32"/>
    <w:rsid w:val="00770EB6"/>
    <w:rsid w:val="007828B8"/>
    <w:rsid w:val="00782E8D"/>
    <w:rsid w:val="00793663"/>
    <w:rsid w:val="00794034"/>
    <w:rsid w:val="007A0157"/>
    <w:rsid w:val="007A0681"/>
    <w:rsid w:val="007A3EF5"/>
    <w:rsid w:val="007B1453"/>
    <w:rsid w:val="007B6DAC"/>
    <w:rsid w:val="007B73A0"/>
    <w:rsid w:val="007C0B7B"/>
    <w:rsid w:val="007C25F0"/>
    <w:rsid w:val="007C3C28"/>
    <w:rsid w:val="007D089F"/>
    <w:rsid w:val="007D1245"/>
    <w:rsid w:val="007D2E43"/>
    <w:rsid w:val="007D5CF9"/>
    <w:rsid w:val="007E0812"/>
    <w:rsid w:val="007E125A"/>
    <w:rsid w:val="007E3EC6"/>
    <w:rsid w:val="007E6CE4"/>
    <w:rsid w:val="007E76BE"/>
    <w:rsid w:val="007E7D01"/>
    <w:rsid w:val="007E7D71"/>
    <w:rsid w:val="00800039"/>
    <w:rsid w:val="0080012E"/>
    <w:rsid w:val="00800351"/>
    <w:rsid w:val="00802BAE"/>
    <w:rsid w:val="00803DFF"/>
    <w:rsid w:val="00815D5A"/>
    <w:rsid w:val="00817B65"/>
    <w:rsid w:val="00820AA5"/>
    <w:rsid w:val="00821530"/>
    <w:rsid w:val="00823DB6"/>
    <w:rsid w:val="00826221"/>
    <w:rsid w:val="00830FDD"/>
    <w:rsid w:val="008340C2"/>
    <w:rsid w:val="0084316A"/>
    <w:rsid w:val="00844D6E"/>
    <w:rsid w:val="00851DE6"/>
    <w:rsid w:val="00854608"/>
    <w:rsid w:val="00860898"/>
    <w:rsid w:val="00863827"/>
    <w:rsid w:val="0086590B"/>
    <w:rsid w:val="00865EDA"/>
    <w:rsid w:val="00867337"/>
    <w:rsid w:val="008720CE"/>
    <w:rsid w:val="0087240A"/>
    <w:rsid w:val="00876FC2"/>
    <w:rsid w:val="00876FF9"/>
    <w:rsid w:val="00881DFD"/>
    <w:rsid w:val="008867B4"/>
    <w:rsid w:val="00886B7F"/>
    <w:rsid w:val="00890F55"/>
    <w:rsid w:val="008977DB"/>
    <w:rsid w:val="008978FB"/>
    <w:rsid w:val="008B3E07"/>
    <w:rsid w:val="008B7D84"/>
    <w:rsid w:val="008C0FAF"/>
    <w:rsid w:val="008C3396"/>
    <w:rsid w:val="008C4D87"/>
    <w:rsid w:val="008D442C"/>
    <w:rsid w:val="008D6748"/>
    <w:rsid w:val="008E2052"/>
    <w:rsid w:val="008E33C5"/>
    <w:rsid w:val="008F7D6B"/>
    <w:rsid w:val="00900606"/>
    <w:rsid w:val="009019ED"/>
    <w:rsid w:val="00910477"/>
    <w:rsid w:val="00911600"/>
    <w:rsid w:val="009133DE"/>
    <w:rsid w:val="009166F8"/>
    <w:rsid w:val="00921764"/>
    <w:rsid w:val="00922E32"/>
    <w:rsid w:val="00931863"/>
    <w:rsid w:val="00940F40"/>
    <w:rsid w:val="009438FB"/>
    <w:rsid w:val="00943B6A"/>
    <w:rsid w:val="00943C37"/>
    <w:rsid w:val="00944698"/>
    <w:rsid w:val="00950E73"/>
    <w:rsid w:val="00955759"/>
    <w:rsid w:val="00956BAB"/>
    <w:rsid w:val="00963496"/>
    <w:rsid w:val="00972D26"/>
    <w:rsid w:val="0098019A"/>
    <w:rsid w:val="00980893"/>
    <w:rsid w:val="00981413"/>
    <w:rsid w:val="00985601"/>
    <w:rsid w:val="0098710E"/>
    <w:rsid w:val="00990EE0"/>
    <w:rsid w:val="009917D5"/>
    <w:rsid w:val="00993A08"/>
    <w:rsid w:val="00994BB0"/>
    <w:rsid w:val="009A7495"/>
    <w:rsid w:val="009B194F"/>
    <w:rsid w:val="009B6B28"/>
    <w:rsid w:val="009C1321"/>
    <w:rsid w:val="009C7A18"/>
    <w:rsid w:val="009C7E96"/>
    <w:rsid w:val="009D0C72"/>
    <w:rsid w:val="009D1AAE"/>
    <w:rsid w:val="009E0EA0"/>
    <w:rsid w:val="009E1973"/>
    <w:rsid w:val="009E4F00"/>
    <w:rsid w:val="009F6AE4"/>
    <w:rsid w:val="009F6E4C"/>
    <w:rsid w:val="00A0138A"/>
    <w:rsid w:val="00A05241"/>
    <w:rsid w:val="00A135CA"/>
    <w:rsid w:val="00A1796E"/>
    <w:rsid w:val="00A2344B"/>
    <w:rsid w:val="00A24E27"/>
    <w:rsid w:val="00A252FB"/>
    <w:rsid w:val="00A31787"/>
    <w:rsid w:val="00A32B89"/>
    <w:rsid w:val="00A33B0F"/>
    <w:rsid w:val="00A3434E"/>
    <w:rsid w:val="00A35457"/>
    <w:rsid w:val="00A35810"/>
    <w:rsid w:val="00A374B1"/>
    <w:rsid w:val="00A37671"/>
    <w:rsid w:val="00A42B30"/>
    <w:rsid w:val="00A47CD3"/>
    <w:rsid w:val="00A52218"/>
    <w:rsid w:val="00A53A1D"/>
    <w:rsid w:val="00A60E89"/>
    <w:rsid w:val="00A655F7"/>
    <w:rsid w:val="00A675FB"/>
    <w:rsid w:val="00A72957"/>
    <w:rsid w:val="00A72A53"/>
    <w:rsid w:val="00A764E7"/>
    <w:rsid w:val="00A77D92"/>
    <w:rsid w:val="00A81D9F"/>
    <w:rsid w:val="00A826D7"/>
    <w:rsid w:val="00A85B77"/>
    <w:rsid w:val="00A86D50"/>
    <w:rsid w:val="00A94CF4"/>
    <w:rsid w:val="00A958C5"/>
    <w:rsid w:val="00A97345"/>
    <w:rsid w:val="00AA1F87"/>
    <w:rsid w:val="00AA20FD"/>
    <w:rsid w:val="00AA6F4F"/>
    <w:rsid w:val="00AA7825"/>
    <w:rsid w:val="00AB1220"/>
    <w:rsid w:val="00AB5CE6"/>
    <w:rsid w:val="00AB7477"/>
    <w:rsid w:val="00AC090F"/>
    <w:rsid w:val="00AD08E7"/>
    <w:rsid w:val="00AD1679"/>
    <w:rsid w:val="00AD1FF5"/>
    <w:rsid w:val="00AD2321"/>
    <w:rsid w:val="00AE0CA0"/>
    <w:rsid w:val="00AE1019"/>
    <w:rsid w:val="00AE1D33"/>
    <w:rsid w:val="00AE22A4"/>
    <w:rsid w:val="00AE4BAE"/>
    <w:rsid w:val="00AF2796"/>
    <w:rsid w:val="00AF3861"/>
    <w:rsid w:val="00AF6FC8"/>
    <w:rsid w:val="00B045C1"/>
    <w:rsid w:val="00B06262"/>
    <w:rsid w:val="00B06AE6"/>
    <w:rsid w:val="00B11AE7"/>
    <w:rsid w:val="00B12B9B"/>
    <w:rsid w:val="00B1326F"/>
    <w:rsid w:val="00B305A7"/>
    <w:rsid w:val="00B32245"/>
    <w:rsid w:val="00B32BD4"/>
    <w:rsid w:val="00B416CF"/>
    <w:rsid w:val="00B42A51"/>
    <w:rsid w:val="00B54055"/>
    <w:rsid w:val="00B704F5"/>
    <w:rsid w:val="00B70CB4"/>
    <w:rsid w:val="00B724E1"/>
    <w:rsid w:val="00B72AB3"/>
    <w:rsid w:val="00B73D11"/>
    <w:rsid w:val="00B74DD0"/>
    <w:rsid w:val="00B7747F"/>
    <w:rsid w:val="00B83A4F"/>
    <w:rsid w:val="00B8436E"/>
    <w:rsid w:val="00B85B13"/>
    <w:rsid w:val="00B90CF9"/>
    <w:rsid w:val="00B9167D"/>
    <w:rsid w:val="00B9221B"/>
    <w:rsid w:val="00B96296"/>
    <w:rsid w:val="00B96599"/>
    <w:rsid w:val="00BA2580"/>
    <w:rsid w:val="00BB10D5"/>
    <w:rsid w:val="00BB19F1"/>
    <w:rsid w:val="00BB29E7"/>
    <w:rsid w:val="00BB427C"/>
    <w:rsid w:val="00BB62FD"/>
    <w:rsid w:val="00BC3AE6"/>
    <w:rsid w:val="00BC568F"/>
    <w:rsid w:val="00BC7D6E"/>
    <w:rsid w:val="00BD1F3A"/>
    <w:rsid w:val="00BE2A0D"/>
    <w:rsid w:val="00BE3D8C"/>
    <w:rsid w:val="00BE45E9"/>
    <w:rsid w:val="00BE4A51"/>
    <w:rsid w:val="00BE6689"/>
    <w:rsid w:val="00BE78A1"/>
    <w:rsid w:val="00BF38F8"/>
    <w:rsid w:val="00BF4353"/>
    <w:rsid w:val="00BF5823"/>
    <w:rsid w:val="00BF7E31"/>
    <w:rsid w:val="00C01CE4"/>
    <w:rsid w:val="00C04E64"/>
    <w:rsid w:val="00C1029E"/>
    <w:rsid w:val="00C1061C"/>
    <w:rsid w:val="00C10838"/>
    <w:rsid w:val="00C25D5C"/>
    <w:rsid w:val="00C26B09"/>
    <w:rsid w:val="00C330F9"/>
    <w:rsid w:val="00C3495D"/>
    <w:rsid w:val="00C36CC2"/>
    <w:rsid w:val="00C40E5A"/>
    <w:rsid w:val="00C414AC"/>
    <w:rsid w:val="00C41606"/>
    <w:rsid w:val="00C4480E"/>
    <w:rsid w:val="00C46CDE"/>
    <w:rsid w:val="00C47ECB"/>
    <w:rsid w:val="00C53EB3"/>
    <w:rsid w:val="00C6254A"/>
    <w:rsid w:val="00C64B41"/>
    <w:rsid w:val="00C65C76"/>
    <w:rsid w:val="00C678DE"/>
    <w:rsid w:val="00C67ECB"/>
    <w:rsid w:val="00C701B1"/>
    <w:rsid w:val="00C70864"/>
    <w:rsid w:val="00C7230B"/>
    <w:rsid w:val="00C7249B"/>
    <w:rsid w:val="00C724F8"/>
    <w:rsid w:val="00C802BC"/>
    <w:rsid w:val="00C8075A"/>
    <w:rsid w:val="00C83BF7"/>
    <w:rsid w:val="00C92283"/>
    <w:rsid w:val="00C92786"/>
    <w:rsid w:val="00C92FAB"/>
    <w:rsid w:val="00C96E29"/>
    <w:rsid w:val="00CA1E58"/>
    <w:rsid w:val="00CA254B"/>
    <w:rsid w:val="00CA4E62"/>
    <w:rsid w:val="00CA552C"/>
    <w:rsid w:val="00CA585A"/>
    <w:rsid w:val="00CA7C96"/>
    <w:rsid w:val="00CB0989"/>
    <w:rsid w:val="00CB4240"/>
    <w:rsid w:val="00CB4928"/>
    <w:rsid w:val="00CB5B55"/>
    <w:rsid w:val="00CC10FC"/>
    <w:rsid w:val="00CC78BC"/>
    <w:rsid w:val="00CD5947"/>
    <w:rsid w:val="00CD7BF6"/>
    <w:rsid w:val="00CE4820"/>
    <w:rsid w:val="00CF04A1"/>
    <w:rsid w:val="00D0364B"/>
    <w:rsid w:val="00D03F0B"/>
    <w:rsid w:val="00D04991"/>
    <w:rsid w:val="00D04E46"/>
    <w:rsid w:val="00D04FA7"/>
    <w:rsid w:val="00D10367"/>
    <w:rsid w:val="00D224BB"/>
    <w:rsid w:val="00D266F4"/>
    <w:rsid w:val="00D33CCE"/>
    <w:rsid w:val="00D369C9"/>
    <w:rsid w:val="00D41C19"/>
    <w:rsid w:val="00D42014"/>
    <w:rsid w:val="00D4240F"/>
    <w:rsid w:val="00D43555"/>
    <w:rsid w:val="00D5417F"/>
    <w:rsid w:val="00D66714"/>
    <w:rsid w:val="00D67C1F"/>
    <w:rsid w:val="00D70033"/>
    <w:rsid w:val="00D71995"/>
    <w:rsid w:val="00D745D3"/>
    <w:rsid w:val="00D76E2B"/>
    <w:rsid w:val="00D829B4"/>
    <w:rsid w:val="00D86510"/>
    <w:rsid w:val="00D87E49"/>
    <w:rsid w:val="00D97CB2"/>
    <w:rsid w:val="00DA6809"/>
    <w:rsid w:val="00DA6C71"/>
    <w:rsid w:val="00DA7634"/>
    <w:rsid w:val="00DA77B2"/>
    <w:rsid w:val="00DB17BA"/>
    <w:rsid w:val="00DB1D33"/>
    <w:rsid w:val="00DB4378"/>
    <w:rsid w:val="00DB46EE"/>
    <w:rsid w:val="00DD06CC"/>
    <w:rsid w:val="00DD5F6C"/>
    <w:rsid w:val="00DE0C62"/>
    <w:rsid w:val="00DE0FE3"/>
    <w:rsid w:val="00DE53FA"/>
    <w:rsid w:val="00DE5A4B"/>
    <w:rsid w:val="00DF09F4"/>
    <w:rsid w:val="00DF2D80"/>
    <w:rsid w:val="00DF5151"/>
    <w:rsid w:val="00DF5D7C"/>
    <w:rsid w:val="00DF6EC1"/>
    <w:rsid w:val="00E051E7"/>
    <w:rsid w:val="00E1090A"/>
    <w:rsid w:val="00E11CAC"/>
    <w:rsid w:val="00E14920"/>
    <w:rsid w:val="00E14BC5"/>
    <w:rsid w:val="00E21158"/>
    <w:rsid w:val="00E21B77"/>
    <w:rsid w:val="00E242C1"/>
    <w:rsid w:val="00E261DD"/>
    <w:rsid w:val="00E30828"/>
    <w:rsid w:val="00E32435"/>
    <w:rsid w:val="00E32EE2"/>
    <w:rsid w:val="00E33BDE"/>
    <w:rsid w:val="00E34B2D"/>
    <w:rsid w:val="00E375E9"/>
    <w:rsid w:val="00E37AD3"/>
    <w:rsid w:val="00E4061D"/>
    <w:rsid w:val="00E4068E"/>
    <w:rsid w:val="00E52317"/>
    <w:rsid w:val="00E53DB9"/>
    <w:rsid w:val="00E55CC3"/>
    <w:rsid w:val="00E60BD5"/>
    <w:rsid w:val="00E630BE"/>
    <w:rsid w:val="00E65455"/>
    <w:rsid w:val="00E655DE"/>
    <w:rsid w:val="00E66266"/>
    <w:rsid w:val="00E66B74"/>
    <w:rsid w:val="00E70366"/>
    <w:rsid w:val="00E7458B"/>
    <w:rsid w:val="00E74912"/>
    <w:rsid w:val="00E74D99"/>
    <w:rsid w:val="00E75CC7"/>
    <w:rsid w:val="00E84236"/>
    <w:rsid w:val="00E845DA"/>
    <w:rsid w:val="00E84666"/>
    <w:rsid w:val="00E8701F"/>
    <w:rsid w:val="00E93BFA"/>
    <w:rsid w:val="00E93D13"/>
    <w:rsid w:val="00E9604C"/>
    <w:rsid w:val="00E96597"/>
    <w:rsid w:val="00EA51C6"/>
    <w:rsid w:val="00EA7DBD"/>
    <w:rsid w:val="00EB0A1D"/>
    <w:rsid w:val="00EB0D97"/>
    <w:rsid w:val="00EB1C88"/>
    <w:rsid w:val="00EB6EA6"/>
    <w:rsid w:val="00EC16B6"/>
    <w:rsid w:val="00EC1948"/>
    <w:rsid w:val="00EC52A0"/>
    <w:rsid w:val="00EC7B3D"/>
    <w:rsid w:val="00ED7D5F"/>
    <w:rsid w:val="00EE267C"/>
    <w:rsid w:val="00EE3B79"/>
    <w:rsid w:val="00EE3CB3"/>
    <w:rsid w:val="00EF1F90"/>
    <w:rsid w:val="00EF6F78"/>
    <w:rsid w:val="00EF7471"/>
    <w:rsid w:val="00F046AD"/>
    <w:rsid w:val="00F078E5"/>
    <w:rsid w:val="00F1079C"/>
    <w:rsid w:val="00F1548A"/>
    <w:rsid w:val="00F16318"/>
    <w:rsid w:val="00F168F8"/>
    <w:rsid w:val="00F216E5"/>
    <w:rsid w:val="00F24BD4"/>
    <w:rsid w:val="00F27480"/>
    <w:rsid w:val="00F3339F"/>
    <w:rsid w:val="00F3665E"/>
    <w:rsid w:val="00F37D2F"/>
    <w:rsid w:val="00F42486"/>
    <w:rsid w:val="00F43ADC"/>
    <w:rsid w:val="00F50042"/>
    <w:rsid w:val="00F52EC0"/>
    <w:rsid w:val="00F54224"/>
    <w:rsid w:val="00F54917"/>
    <w:rsid w:val="00F5526E"/>
    <w:rsid w:val="00F628FF"/>
    <w:rsid w:val="00F62CB2"/>
    <w:rsid w:val="00F63F77"/>
    <w:rsid w:val="00F66E75"/>
    <w:rsid w:val="00F703D6"/>
    <w:rsid w:val="00F772FE"/>
    <w:rsid w:val="00F82A9C"/>
    <w:rsid w:val="00F85214"/>
    <w:rsid w:val="00F85DA5"/>
    <w:rsid w:val="00F92489"/>
    <w:rsid w:val="00F927BE"/>
    <w:rsid w:val="00F92D8A"/>
    <w:rsid w:val="00F95120"/>
    <w:rsid w:val="00F96F1F"/>
    <w:rsid w:val="00F974B6"/>
    <w:rsid w:val="00FA14E6"/>
    <w:rsid w:val="00FA4496"/>
    <w:rsid w:val="00FB20AA"/>
    <w:rsid w:val="00FB6C1E"/>
    <w:rsid w:val="00FB6ECF"/>
    <w:rsid w:val="00FC4F7F"/>
    <w:rsid w:val="00FC5D64"/>
    <w:rsid w:val="00FC652C"/>
    <w:rsid w:val="00FC7F7C"/>
    <w:rsid w:val="00FD1538"/>
    <w:rsid w:val="00FD200B"/>
    <w:rsid w:val="00FD2864"/>
    <w:rsid w:val="00FD694E"/>
    <w:rsid w:val="00FD730E"/>
    <w:rsid w:val="00FE02C6"/>
    <w:rsid w:val="00FE7E84"/>
    <w:rsid w:val="00FF5301"/>
    <w:rsid w:val="00FF5500"/>
    <w:rsid w:val="00FF61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DA07E"/>
  <w15:chartTrackingRefBased/>
  <w15:docId w15:val="{A1B7F4BF-BA76-469E-B601-6C2D22404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B13"/>
    <w:rPr>
      <w:rFonts w:ascii="Garamond" w:hAnsi="Garamond"/>
      <w:sz w:val="24"/>
    </w:rPr>
  </w:style>
  <w:style w:type="paragraph" w:styleId="Heading1">
    <w:name w:val="heading 1"/>
    <w:basedOn w:val="Normal"/>
    <w:next w:val="Normal"/>
    <w:link w:val="Heading1Char"/>
    <w:uiPriority w:val="9"/>
    <w:qFormat/>
    <w:rsid w:val="009019ED"/>
    <w:pPr>
      <w:spacing w:after="0" w:line="240" w:lineRule="auto"/>
      <w:contextualSpacing/>
      <w:jc w:val="both"/>
      <w:outlineLvl w:val="0"/>
    </w:pPr>
    <w:rPr>
      <w:b/>
      <w:bCs/>
    </w:rPr>
  </w:style>
  <w:style w:type="paragraph" w:styleId="Heading2">
    <w:name w:val="heading 2"/>
    <w:basedOn w:val="Normal"/>
    <w:next w:val="Normal"/>
    <w:link w:val="Heading2Char"/>
    <w:uiPriority w:val="9"/>
    <w:unhideWhenUsed/>
    <w:qFormat/>
    <w:rsid w:val="009019ED"/>
    <w:pPr>
      <w:spacing w:after="0" w:line="240" w:lineRule="auto"/>
      <w:contextualSpacing/>
      <w:jc w:val="both"/>
      <w:outlineLvl w:val="1"/>
    </w:pPr>
    <w:rPr>
      <w:i/>
      <w:iCs/>
    </w:rPr>
  </w:style>
  <w:style w:type="paragraph" w:styleId="Heading3">
    <w:name w:val="heading 3"/>
    <w:basedOn w:val="Normal"/>
    <w:next w:val="Normal"/>
    <w:link w:val="Heading3Char"/>
    <w:uiPriority w:val="9"/>
    <w:semiHidden/>
    <w:unhideWhenUsed/>
    <w:qFormat/>
    <w:rsid w:val="00B85B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5B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5B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5B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B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B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B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9ED"/>
    <w:rPr>
      <w:rFonts w:ascii="Garamond" w:hAnsi="Garamond"/>
      <w:b/>
      <w:bCs/>
      <w:sz w:val="24"/>
    </w:rPr>
  </w:style>
  <w:style w:type="character" w:customStyle="1" w:styleId="Heading2Char">
    <w:name w:val="Heading 2 Char"/>
    <w:basedOn w:val="DefaultParagraphFont"/>
    <w:link w:val="Heading2"/>
    <w:uiPriority w:val="9"/>
    <w:rsid w:val="009019ED"/>
    <w:rPr>
      <w:rFonts w:ascii="Garamond" w:hAnsi="Garamond"/>
      <w:i/>
      <w:iCs/>
      <w:sz w:val="24"/>
    </w:rPr>
  </w:style>
  <w:style w:type="character" w:customStyle="1" w:styleId="Heading3Char">
    <w:name w:val="Heading 3 Char"/>
    <w:basedOn w:val="DefaultParagraphFont"/>
    <w:link w:val="Heading3"/>
    <w:uiPriority w:val="9"/>
    <w:semiHidden/>
    <w:rsid w:val="00B85B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5B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5B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5B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B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B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B13"/>
    <w:rPr>
      <w:rFonts w:eastAsiaTheme="majorEastAsia" w:cstheme="majorBidi"/>
      <w:color w:val="272727" w:themeColor="text1" w:themeTint="D8"/>
    </w:rPr>
  </w:style>
  <w:style w:type="paragraph" w:styleId="Title">
    <w:name w:val="Title"/>
    <w:basedOn w:val="Normal"/>
    <w:next w:val="Normal"/>
    <w:link w:val="TitleChar"/>
    <w:uiPriority w:val="10"/>
    <w:qFormat/>
    <w:rsid w:val="00B85B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B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B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B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B13"/>
    <w:pPr>
      <w:spacing w:before="160"/>
      <w:jc w:val="center"/>
    </w:pPr>
    <w:rPr>
      <w:i/>
      <w:iCs/>
      <w:color w:val="404040" w:themeColor="text1" w:themeTint="BF"/>
    </w:rPr>
  </w:style>
  <w:style w:type="character" w:customStyle="1" w:styleId="QuoteChar">
    <w:name w:val="Quote Char"/>
    <w:basedOn w:val="DefaultParagraphFont"/>
    <w:link w:val="Quote"/>
    <w:uiPriority w:val="29"/>
    <w:rsid w:val="00B85B13"/>
    <w:rPr>
      <w:i/>
      <w:iCs/>
      <w:color w:val="404040" w:themeColor="text1" w:themeTint="BF"/>
    </w:rPr>
  </w:style>
  <w:style w:type="paragraph" w:styleId="ListParagraph">
    <w:name w:val="List Paragraph"/>
    <w:basedOn w:val="Normal"/>
    <w:uiPriority w:val="34"/>
    <w:qFormat/>
    <w:rsid w:val="00B85B13"/>
    <w:pPr>
      <w:ind w:left="720"/>
      <w:contextualSpacing/>
    </w:pPr>
  </w:style>
  <w:style w:type="character" w:styleId="IntenseEmphasis">
    <w:name w:val="Intense Emphasis"/>
    <w:basedOn w:val="DefaultParagraphFont"/>
    <w:uiPriority w:val="21"/>
    <w:qFormat/>
    <w:rsid w:val="00B85B13"/>
    <w:rPr>
      <w:i/>
      <w:iCs/>
      <w:color w:val="2F5496" w:themeColor="accent1" w:themeShade="BF"/>
    </w:rPr>
  </w:style>
  <w:style w:type="paragraph" w:styleId="IntenseQuote">
    <w:name w:val="Intense Quote"/>
    <w:basedOn w:val="Normal"/>
    <w:next w:val="Normal"/>
    <w:link w:val="IntenseQuoteChar"/>
    <w:uiPriority w:val="30"/>
    <w:qFormat/>
    <w:rsid w:val="00B85B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5B13"/>
    <w:rPr>
      <w:i/>
      <w:iCs/>
      <w:color w:val="2F5496" w:themeColor="accent1" w:themeShade="BF"/>
    </w:rPr>
  </w:style>
  <w:style w:type="character" w:styleId="IntenseReference">
    <w:name w:val="Intense Reference"/>
    <w:basedOn w:val="DefaultParagraphFont"/>
    <w:uiPriority w:val="32"/>
    <w:qFormat/>
    <w:rsid w:val="00B85B13"/>
    <w:rPr>
      <w:b/>
      <w:bCs/>
      <w:smallCaps/>
      <w:color w:val="2F5496" w:themeColor="accent1" w:themeShade="BF"/>
      <w:spacing w:val="5"/>
    </w:rPr>
  </w:style>
  <w:style w:type="character" w:styleId="Hyperlink">
    <w:name w:val="Hyperlink"/>
    <w:basedOn w:val="DefaultParagraphFont"/>
    <w:uiPriority w:val="99"/>
    <w:unhideWhenUsed/>
    <w:rsid w:val="00B85B13"/>
    <w:rPr>
      <w:color w:val="0563C1" w:themeColor="hyperlink"/>
      <w:u w:val="single"/>
    </w:rPr>
  </w:style>
  <w:style w:type="paragraph" w:styleId="FootnoteText">
    <w:name w:val="footnote text"/>
    <w:basedOn w:val="Normal"/>
    <w:link w:val="FootnoteTextChar"/>
    <w:uiPriority w:val="99"/>
    <w:unhideWhenUsed/>
    <w:rsid w:val="00B85B13"/>
    <w:pPr>
      <w:spacing w:after="0" w:line="240" w:lineRule="auto"/>
    </w:pPr>
    <w:rPr>
      <w:sz w:val="20"/>
      <w:szCs w:val="20"/>
    </w:rPr>
  </w:style>
  <w:style w:type="character" w:customStyle="1" w:styleId="FootnoteTextChar">
    <w:name w:val="Footnote Text Char"/>
    <w:basedOn w:val="DefaultParagraphFont"/>
    <w:link w:val="FootnoteText"/>
    <w:uiPriority w:val="99"/>
    <w:rsid w:val="00B85B13"/>
    <w:rPr>
      <w:rFonts w:ascii="Garamond" w:hAnsi="Garamond"/>
      <w:sz w:val="20"/>
      <w:szCs w:val="20"/>
    </w:rPr>
  </w:style>
  <w:style w:type="character" w:styleId="FootnoteReference">
    <w:name w:val="footnote reference"/>
    <w:basedOn w:val="DefaultParagraphFont"/>
    <w:uiPriority w:val="99"/>
    <w:semiHidden/>
    <w:unhideWhenUsed/>
    <w:rsid w:val="00B85B13"/>
    <w:rPr>
      <w:vertAlign w:val="superscript"/>
    </w:rPr>
  </w:style>
  <w:style w:type="paragraph" w:styleId="NoSpacing">
    <w:name w:val="No Spacing"/>
    <w:uiPriority w:val="1"/>
    <w:qFormat/>
    <w:rsid w:val="00C1061C"/>
    <w:pPr>
      <w:spacing w:after="0" w:line="240" w:lineRule="auto"/>
    </w:pPr>
    <w:rPr>
      <w:rFonts w:ascii="Garamond" w:hAnsi="Garamond"/>
      <w:sz w:val="24"/>
    </w:rPr>
  </w:style>
  <w:style w:type="paragraph" w:styleId="Header">
    <w:name w:val="header"/>
    <w:basedOn w:val="Normal"/>
    <w:link w:val="HeaderChar"/>
    <w:uiPriority w:val="99"/>
    <w:unhideWhenUsed/>
    <w:rsid w:val="007C0B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0B7B"/>
    <w:rPr>
      <w:rFonts w:ascii="Garamond" w:hAnsi="Garamond"/>
      <w:sz w:val="24"/>
    </w:rPr>
  </w:style>
  <w:style w:type="paragraph" w:styleId="Footer">
    <w:name w:val="footer"/>
    <w:basedOn w:val="Normal"/>
    <w:link w:val="FooterChar"/>
    <w:uiPriority w:val="99"/>
    <w:unhideWhenUsed/>
    <w:rsid w:val="007C0B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B7B"/>
    <w:rPr>
      <w:rFonts w:ascii="Garamond" w:hAnsi="Garamond"/>
      <w:sz w:val="24"/>
    </w:rPr>
  </w:style>
  <w:style w:type="character" w:styleId="UnresolvedMention">
    <w:name w:val="Unresolved Mention"/>
    <w:basedOn w:val="DefaultParagraphFont"/>
    <w:uiPriority w:val="99"/>
    <w:semiHidden/>
    <w:unhideWhenUsed/>
    <w:rsid w:val="001E34D6"/>
    <w:rPr>
      <w:color w:val="605E5C"/>
      <w:shd w:val="clear" w:color="auto" w:fill="E1DFDD"/>
    </w:rPr>
  </w:style>
  <w:style w:type="paragraph" w:styleId="EndnoteText">
    <w:name w:val="endnote text"/>
    <w:basedOn w:val="Normal"/>
    <w:link w:val="EndnoteTextChar"/>
    <w:uiPriority w:val="99"/>
    <w:semiHidden/>
    <w:unhideWhenUsed/>
    <w:rsid w:val="004F4CE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F4CE0"/>
    <w:rPr>
      <w:rFonts w:ascii="Garamond" w:hAnsi="Garamond"/>
      <w:sz w:val="20"/>
      <w:szCs w:val="20"/>
    </w:rPr>
  </w:style>
  <w:style w:type="character" w:styleId="EndnoteReference">
    <w:name w:val="endnote reference"/>
    <w:basedOn w:val="DefaultParagraphFont"/>
    <w:uiPriority w:val="99"/>
    <w:semiHidden/>
    <w:unhideWhenUsed/>
    <w:rsid w:val="004F4CE0"/>
    <w:rPr>
      <w:vertAlign w:val="superscript"/>
    </w:rPr>
  </w:style>
  <w:style w:type="paragraph" w:styleId="Revision">
    <w:name w:val="Revision"/>
    <w:hidden/>
    <w:uiPriority w:val="99"/>
    <w:semiHidden/>
    <w:rsid w:val="00955759"/>
    <w:pPr>
      <w:spacing w:after="0" w:line="240" w:lineRule="auto"/>
    </w:pPr>
    <w:rPr>
      <w:rFonts w:ascii="Garamond"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53669">
      <w:bodyDiv w:val="1"/>
      <w:marLeft w:val="0"/>
      <w:marRight w:val="0"/>
      <w:marTop w:val="0"/>
      <w:marBottom w:val="0"/>
      <w:divBdr>
        <w:top w:val="none" w:sz="0" w:space="0" w:color="auto"/>
        <w:left w:val="none" w:sz="0" w:space="0" w:color="auto"/>
        <w:bottom w:val="none" w:sz="0" w:space="0" w:color="auto"/>
        <w:right w:val="none" w:sz="0" w:space="0" w:color="auto"/>
      </w:divBdr>
    </w:div>
    <w:div w:id="1252549416">
      <w:bodyDiv w:val="1"/>
      <w:marLeft w:val="0"/>
      <w:marRight w:val="0"/>
      <w:marTop w:val="0"/>
      <w:marBottom w:val="0"/>
      <w:divBdr>
        <w:top w:val="none" w:sz="0" w:space="0" w:color="auto"/>
        <w:left w:val="none" w:sz="0" w:space="0" w:color="auto"/>
        <w:bottom w:val="none" w:sz="0" w:space="0" w:color="auto"/>
        <w:right w:val="none" w:sz="0" w:space="0" w:color="auto"/>
      </w:divBdr>
    </w:div>
    <w:div w:id="1739329013">
      <w:bodyDiv w:val="1"/>
      <w:marLeft w:val="0"/>
      <w:marRight w:val="0"/>
      <w:marTop w:val="0"/>
      <w:marBottom w:val="0"/>
      <w:divBdr>
        <w:top w:val="none" w:sz="0" w:space="0" w:color="auto"/>
        <w:left w:val="none" w:sz="0" w:space="0" w:color="auto"/>
        <w:bottom w:val="none" w:sz="0" w:space="0" w:color="auto"/>
        <w:right w:val="none" w:sz="0" w:space="0" w:color="auto"/>
      </w:divBdr>
    </w:div>
    <w:div w:id="208942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got.tudor@city.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britishpathe.com/asset/139819/" TargetMode="External"/><Relationship Id="rId2" Type="http://schemas.openxmlformats.org/officeDocument/2006/relationships/hyperlink" Target="https://www.britishpathe.com/asset/139819/" TargetMode="External"/><Relationship Id="rId1" Type="http://schemas.openxmlformats.org/officeDocument/2006/relationships/hyperlink" Target="https://www.aljazeera.com/news/2025/2/5/what-donald-trump-said-about-his-plans-to-take-over-gaza" TargetMode="External"/><Relationship Id="rId4" Type="http://schemas.openxmlformats.org/officeDocument/2006/relationships/hyperlink" Target="https://x.com/m7mdkurd/status/18384360728516939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29DF3-115E-4B68-B216-AFBFB12B9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41</Pages>
  <Words>8642</Words>
  <Characters>49260</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Margot Tudor</dc:creator>
  <cp:keywords/>
  <dc:description/>
  <cp:lastModifiedBy>Margot Tudor</cp:lastModifiedBy>
  <cp:revision>53</cp:revision>
  <cp:lastPrinted>2025-03-31T14:53:00Z</cp:lastPrinted>
  <dcterms:created xsi:type="dcterms:W3CDTF">2025-12-02T20:04:00Z</dcterms:created>
  <dcterms:modified xsi:type="dcterms:W3CDTF">2025-12-16T11:15:00Z</dcterms:modified>
</cp:coreProperties>
</file>